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F96CF6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539E5" w:rsidRPr="00F96CF6">
        <w:rPr>
          <w:sz w:val="28"/>
        </w:rPr>
        <w:t>9</w:t>
      </w:r>
      <w:r w:rsidR="00E97AA5" w:rsidRPr="00E97AA5">
        <w:rPr>
          <w:sz w:val="28"/>
        </w:rPr>
        <w:t>.</w:t>
      </w:r>
      <w:r w:rsidR="00E539E5" w:rsidRPr="00F96CF6">
        <w:rPr>
          <w:sz w:val="28"/>
        </w:rPr>
        <w:t>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\d{9}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</w:t>
            </w:r>
            <w:r w:rsidRPr="00C316CF">
              <w:rPr>
                <w:sz w:val="20"/>
              </w:rPr>
              <w:lastRenderedPageBreak/>
              <w:t>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оператор.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>ванный во внешней 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</w:t>
            </w:r>
            <w:r w:rsidRPr="00ED33B6">
              <w:rPr>
                <w:bCs/>
                <w:sz w:val="20"/>
              </w:rPr>
              <w:lastRenderedPageBreak/>
              <w:t>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 прикрепленных </w:t>
            </w:r>
            <w:r w:rsidRPr="00162C8B">
              <w:rPr>
                <w:sz w:val="20"/>
              </w:rPr>
              <w:lastRenderedPageBreak/>
              <w:t>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(подрядчика, исполнителя) в </w:t>
            </w:r>
            <w:r w:rsidRPr="00ED33B6">
              <w:rPr>
                <w:bCs/>
                <w:sz w:val="20"/>
              </w:rPr>
              <w:lastRenderedPageBreak/>
              <w:t>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(подрядчика, исполнителя) в </w:t>
            </w:r>
            <w:r w:rsidRPr="00ED33B6">
              <w:rPr>
                <w:bCs/>
                <w:sz w:val="20"/>
              </w:rPr>
              <w:lastRenderedPageBreak/>
              <w:t>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</w:t>
            </w:r>
            <w:r w:rsidRPr="00C316CF">
              <w:rPr>
                <w:sz w:val="20"/>
              </w:rPr>
              <w:t>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</w:t>
            </w:r>
            <w:r w:rsidRPr="00626863">
              <w:rPr>
                <w:sz w:val="20"/>
              </w:rPr>
              <w:lastRenderedPageBreak/>
              <w:t>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 xml:space="preserve">Номер документа-основания, </w:t>
            </w:r>
            <w:r w:rsidRPr="00626863">
              <w:rPr>
                <w:sz w:val="20"/>
              </w:rPr>
              <w:lastRenderedPageBreak/>
              <w:t>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lastRenderedPageBreak/>
              <w:t xml:space="preserve">Игнорируется при приеме, </w:t>
            </w:r>
            <w:r w:rsidRPr="00A81D56">
              <w:rPr>
                <w:sz w:val="20"/>
              </w:rPr>
              <w:lastRenderedPageBreak/>
              <w:t>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</w:t>
            </w:r>
            <w:r w:rsidRPr="006909CE">
              <w:rPr>
                <w:sz w:val="20"/>
              </w:rPr>
              <w:lastRenderedPageBreak/>
              <w:t>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Информация об особенностях </w:t>
            </w:r>
            <w:r w:rsidRPr="006909CE">
              <w:rPr>
                <w:sz w:val="20"/>
              </w:rPr>
              <w:lastRenderedPageBreak/>
              <w:t>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</w:t>
            </w:r>
            <w:r w:rsidRPr="00C316CF">
              <w:rPr>
                <w:sz w:val="20"/>
              </w:rPr>
              <w:lastRenderedPageBreak/>
              <w:t>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Должен быть заполнен в случае, </w:t>
            </w:r>
            <w:r w:rsidRPr="00C316CF">
              <w:rPr>
                <w:sz w:val="20"/>
              </w:rPr>
              <w:lastRenderedPageBreak/>
              <w:t>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</w:t>
            </w:r>
            <w:r w:rsidRPr="00C316CF">
              <w:rPr>
                <w:sz w:val="20"/>
              </w:rPr>
              <w:lastRenderedPageBreak/>
              <w:t>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приёме. Рассчитывается автоматически как отношение размера обеспечения (contractGuarantee/amount) к </w:t>
            </w:r>
            <w:r w:rsidRPr="00C316CF">
              <w:rPr>
                <w:sz w:val="20"/>
              </w:rPr>
              <w:lastRenderedPageBreak/>
              <w:t>НМЦК в валюте контракта (contractConditionsInfo/maxPriceInfo/maxPriceCurrency)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приёме. Рассчитывается автоматически как отношение размера обеспечения (contractGuarantee/amount) к НМЦК в валюте контракта (contractConditionsInfo/maxPriceInfo/maxPriceCurrency)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Начальная (максимальная) цена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  <w:p w:rsidR="0051570C" w:rsidRPr="0051570C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Заполняется автоматически по формуле:</w:t>
            </w:r>
          </w:p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Сроки доставки товара, </w:t>
            </w:r>
            <w:r w:rsidRPr="00C316CF">
              <w:rPr>
                <w:sz w:val="20"/>
              </w:rPr>
              <w:lastRenderedPageBreak/>
              <w:t>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позиций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[ 1 - 1000 </w:t>
            </w:r>
            <w:r w:rsidRPr="00C316CF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Полное наименование единицы </w:t>
            </w:r>
            <w:r w:rsidRPr="00C316CF">
              <w:rPr>
                <w:sz w:val="20"/>
              </w:rPr>
              <w:lastRenderedPageBreak/>
              <w:t>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Игнорируется при приеме. </w:t>
            </w:r>
            <w:r w:rsidRPr="00C316CF">
              <w:rPr>
                <w:sz w:val="20"/>
              </w:rPr>
              <w:lastRenderedPageBreak/>
              <w:t>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1 - неизменяемая заказчиком (в применении КТРУ невозможно переопределить справочные значения); 2 - изменяемая 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Международное, группировочное или химическое наименование </w:t>
            </w:r>
            <w:r w:rsidRPr="00C316CF">
              <w:rPr>
                <w:sz w:val="20"/>
              </w:rPr>
              <w:lastRenderedPageBreak/>
              <w:t>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При приеме контролируется принадлежность каждого из </w:t>
            </w:r>
            <w:r w:rsidRPr="00C316CF">
              <w:rPr>
                <w:sz w:val="20"/>
              </w:rPr>
              <w:lastRenderedPageBreak/>
              <w:t>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заполнено в принимаемом документе, то считается, что внешняя система явно указала 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внешний код МНН по справочнику "Лекарственные препараты" (поле </w:t>
            </w:r>
            <w:r w:rsidRPr="00C316CF">
              <w:rPr>
                <w:sz w:val="20"/>
              </w:rPr>
              <w:lastRenderedPageBreak/>
              <w:t>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При приеме контролируется наличие в справочнике "Лекарственные препараты" ЕИС </w:t>
            </w:r>
            <w:r w:rsidRPr="00C316CF">
              <w:rPr>
                <w:sz w:val="20"/>
              </w:rPr>
              <w:lastRenderedPageBreak/>
              <w:t>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 по справочнику 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 по справочнику "Лекарственные 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643DC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643DC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43DC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43DC9" w:rsidRPr="00301389" w:rsidRDefault="00643DC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643DC9" w:rsidRPr="00643DC9" w:rsidRDefault="00643DC9" w:rsidP="0068765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lastRenderedPageBreak/>
              <w:t>nsiFarmDrugDictionary)</w:t>
            </w:r>
          </w:p>
        </w:tc>
        <w:tc>
          <w:tcPr>
            <w:tcW w:w="1387" w:type="pct"/>
            <w:shd w:val="clear" w:color="auto" w:fill="auto"/>
          </w:tcPr>
          <w:p w:rsidR="00643DC9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Десятичное значение. </w:t>
            </w: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наличие в справочнике "Лекарственные препараты" ЕИС лекарственного препарата по торговому наименованию с таким </w:t>
            </w:r>
            <w:r w:rsidRPr="00C316CF">
              <w:rPr>
                <w:sz w:val="20"/>
              </w:rPr>
              <w:lastRenderedPageBreak/>
              <w:t>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643DC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43DC9" w:rsidRPr="00301389" w:rsidRDefault="00643DC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643DC9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643DC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43DC9" w:rsidRPr="00301389" w:rsidRDefault="00643DC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643DC9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6B43" w:rsidRPr="00301389" w:rsidRDefault="00556B43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56B43" w:rsidRPr="00301389" w:rsidRDefault="00556B43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56B43" w:rsidRPr="00301389" w:rsidRDefault="00556B43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EC32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заполнения блока mustSpecifyDrugPackage при </w:t>
            </w:r>
            <w:r w:rsidRPr="00C316CF">
              <w:rPr>
                <w:sz w:val="20"/>
              </w:rPr>
              <w:lastRenderedPageBreak/>
              <w:t>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EC32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</w:t>
            </w:r>
            <w:r w:rsidR="007164F6" w:rsidRPr="00C316CF">
              <w:rPr>
                <w:sz w:val="20"/>
              </w:rPr>
              <w:t>Единицы измерения потребительских единиц измерения лекарственных препаратов по ОКЕИ" (nsiDrugOKEI)</w:t>
            </w:r>
          </w:p>
          <w:p w:rsidR="007164F6" w:rsidRPr="007164F6" w:rsidRDefault="007164F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EC32CF" w:rsidRDefault="00EC32CF" w:rsidP="00687656">
            <w:pPr>
              <w:spacing w:before="0" w:after="0"/>
              <w:rPr>
                <w:sz w:val="20"/>
              </w:rPr>
            </w:pPr>
          </w:p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EC32CF" w:rsidRDefault="00EC32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EC32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EC32CF" w:rsidRPr="00162C8B" w:rsidRDefault="00EC32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B22" w:rsidRPr="00301389" w:rsidRDefault="002A6B2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B22" w:rsidRPr="00301389" w:rsidRDefault="002A6B2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2A6B22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</w:t>
            </w:r>
            <w:r w:rsidRPr="00C316CF">
              <w:rPr>
                <w:b/>
                <w:bCs/>
                <w:sz w:val="20"/>
              </w:rPr>
              <w:lastRenderedPageBreak/>
              <w:t>ementInfo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Ограничения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6FFD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6FFD" w:rsidRPr="00301389" w:rsidRDefault="00546FF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46FFD" w:rsidRPr="00C316CF" w:rsidRDefault="00546FFD" w:rsidP="0068765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546FFD" w:rsidRPr="00546FFD" w:rsidRDefault="00546FFD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46FFD" w:rsidRPr="00546FFD" w:rsidRDefault="00546FFD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46FFD" w:rsidRPr="00C316CF" w:rsidRDefault="00546FFD" w:rsidP="00546FFD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546FFD" w:rsidRDefault="00546FFD" w:rsidP="0068765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546FFD" w:rsidRDefault="00546FFD" w:rsidP="00687656">
            <w:pPr>
              <w:spacing w:before="0" w:after="0"/>
              <w:jc w:val="both"/>
              <w:rPr>
                <w:sz w:val="20"/>
              </w:rPr>
            </w:pPr>
          </w:p>
          <w:p w:rsidR="00546FFD" w:rsidRPr="00162C8B" w:rsidRDefault="00546FF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</w:t>
            </w:r>
            <w:r w:rsidRPr="00C316CF">
              <w:rPr>
                <w:b/>
                <w:bCs/>
                <w:sz w:val="20"/>
              </w:rPr>
              <w:lastRenderedPageBreak/>
              <w:t>ementInfo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055ECF" w:rsidRP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802E9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2E99" w:rsidRPr="00301389" w:rsidRDefault="00802E9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02E99" w:rsidRDefault="00802E9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FD449A" w:rsidRPr="00162C8B" w:rsidRDefault="00FD449A" w:rsidP="0068765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C457C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C457C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</w:t>
            </w:r>
            <w:r w:rsidRPr="00C316CF"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C727A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C727A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CP - Цена контракта. MC - Расходы на эксплуатацию и ремонт товаров, использование результатов работ. TC - Стоимость жизненного цикла товара или созданного в результате выполнения работы объекта. 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Значимость критерия в процентах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C47338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C727A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C47338" w:rsidRPr="00C316CF" w:rsidRDefault="00C47338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3A078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Критерий оценки с показателями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A078D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162C8B" w:rsidRDefault="003A078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3A078D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A078D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</w:t>
            </w:r>
            <w:r w:rsidRPr="00C316CF">
              <w:rPr>
                <w:sz w:val="20"/>
              </w:rPr>
              <w:lastRenderedPageBreak/>
              <w:t>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</w:t>
            </w:r>
            <w:r w:rsidRPr="00C316CF">
              <w:rPr>
                <w:sz w:val="20"/>
              </w:rPr>
              <w:lastRenderedPageBreak/>
              <w:t>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Предусмотрено выполнение научно-исследовательских, опытно-конструкторских, технологических работ или оказание консультационных </w:t>
            </w:r>
            <w:r w:rsidRPr="00C316CF">
              <w:rPr>
                <w:sz w:val="20"/>
              </w:rPr>
              <w:lastRenderedPageBreak/>
              <w:t>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QF - Качественные, функциональные и экологические </w:t>
            </w:r>
            <w:r w:rsidRPr="00C316CF">
              <w:rPr>
                <w:sz w:val="20"/>
              </w:rPr>
              <w:lastRenderedPageBreak/>
              <w:t>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5 всего, до 2 после </w:t>
            </w:r>
            <w:r w:rsidRPr="00C316CF">
              <w:rPr>
                <w:sz w:val="20"/>
              </w:rPr>
              <w:lastRenderedPageBreak/>
              <w:t>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lastRenderedPageBreak/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>. Запись 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приеме. При передаче заполняется значением из справочника "Общероссийский </w:t>
            </w:r>
            <w:r w:rsidRPr="00C316CF">
              <w:rPr>
                <w:sz w:val="20"/>
              </w:rPr>
              <w:lastRenderedPageBreak/>
              <w:t>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CP - Цена контракта. MC - Расходы на эксплуатацию и ремонт товаров, использование результатов работ. TC - Стоимость жизненного цикла товара или созданного в результате выполнения работы объекта. 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</w:t>
            </w:r>
            <w:r w:rsidRPr="00A07418">
              <w:rPr>
                <w:sz w:val="20"/>
              </w:rPr>
              <w:lastRenderedPageBreak/>
              <w:t>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 xml:space="preserve">Информация в протоколе  о рассмотрении единственной </w:t>
            </w:r>
            <w:r w:rsidRPr="00C86B57">
              <w:rPr>
                <w:sz w:val="20"/>
              </w:rPr>
              <w:lastRenderedPageBreak/>
              <w:t>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</w:rPr>
              <w:lastRenderedPageBreak/>
              <w:t>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lastRenderedPageBreak/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 xml:space="preserve">о </w:t>
            </w:r>
            <w:r>
              <w:rPr>
                <w:bCs/>
                <w:sz w:val="20"/>
              </w:rPr>
              <w:lastRenderedPageBreak/>
              <w:t>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</w:t>
            </w:r>
            <w:r w:rsidRPr="00C316CF">
              <w:rPr>
                <w:sz w:val="20"/>
              </w:rPr>
              <w:lastRenderedPageBreak/>
              <w:t>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</w:t>
            </w:r>
            <w:r w:rsidRPr="00C316CF">
              <w:rPr>
                <w:sz w:val="20"/>
              </w:rPr>
              <w:lastRenderedPageBreak/>
              <w:t>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</w:t>
            </w:r>
            <w:r w:rsidRPr="00C316C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lastRenderedPageBreak/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проведении ЭOK (открытый </w:t>
            </w:r>
            <w:r w:rsidRPr="000E44B2">
              <w:rPr>
                <w:sz w:val="20"/>
              </w:rPr>
              <w:lastRenderedPageBreak/>
              <w:t>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Начальная (максимальная) цена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  <w:p w:rsidR="00FE764A" w:rsidRPr="0051570C" w:rsidRDefault="00FE764A" w:rsidP="00FE764A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Заполняется автоматически по формуле:</w:t>
            </w:r>
          </w:p>
          <w:p w:rsidR="00FE764A" w:rsidRPr="002C7C2C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(-)?\d+(\.\d{1,2})?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CP-Цена контракта. MC-Расходы на эксплуатацию и ремонт товаров, использование результатов работ. TC-Стоимость жизненного цикла товара или созданного в результате выполнения работы объекта. EN-Предложение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(-)?\d+(\.\d{1,2})?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0"/>
        <w:gridCol w:w="6"/>
        <w:gridCol w:w="415"/>
        <w:gridCol w:w="6"/>
        <w:gridCol w:w="1043"/>
        <w:gridCol w:w="6"/>
        <w:gridCol w:w="2926"/>
        <w:gridCol w:w="15"/>
        <w:gridCol w:w="2918"/>
        <w:gridCol w:w="23"/>
      </w:tblGrid>
      <w:tr w:rsidR="00F4468D" w:rsidRPr="00301389" w:rsidTr="00A7100E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A7100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CP-Цена контракта. MC-Расходы на эксплуатацию и ремонт товаров, использование результатов работ. TC-Стоимость жизненного цикла товара или созданного в результате выполнения работы объекта. EN-Предложение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EB594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6"/>
        <w:gridCol w:w="417"/>
        <w:gridCol w:w="6"/>
        <w:gridCol w:w="1044"/>
        <w:gridCol w:w="6"/>
        <w:gridCol w:w="2927"/>
        <w:gridCol w:w="13"/>
        <w:gridCol w:w="2922"/>
        <w:gridCol w:w="21"/>
      </w:tblGrid>
      <w:tr w:rsidR="009A5BAF" w:rsidRPr="00301389" w:rsidTr="005D29C5">
        <w:trPr>
          <w:gridAfter w:val="1"/>
          <w:wAfter w:w="10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8.3, 9.0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5D29C5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B72C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B72CD2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B72C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B72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B72CD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B72CD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B72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B72CD2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B72C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B72CD2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B72CD2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B72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B72CD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B72CD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B72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B72CD2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B72C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B72C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B72CD2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B72CD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B72CD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B72CD2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B72CD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B72CD2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B72CD2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B72CD2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B72C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B72CD2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B72C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B72CD2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B72CD2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B72CD2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B72C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B72C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B72CD2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B72CD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82C441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31"/>
    <w:lvlOverride w:ilvl="0">
      <w:startOverride w:val="1"/>
    </w:lvlOverride>
  </w:num>
  <w:num w:numId="42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0B69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6457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FA7"/>
    <w:rsid w:val="004261EB"/>
    <w:rsid w:val="0042771E"/>
    <w:rsid w:val="00431B90"/>
    <w:rsid w:val="00434B31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931A1"/>
    <w:rsid w:val="008966D3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F51"/>
    <w:rsid w:val="00985F3B"/>
    <w:rsid w:val="00986277"/>
    <w:rsid w:val="00987F06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1D56"/>
    <w:rsid w:val="00A83670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4539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EC5"/>
    <w:rsid w:val="00F96CF6"/>
    <w:rsid w:val="00F97C2C"/>
    <w:rsid w:val="00FA1082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F12C0AF-A27D-4FF4-BC71-DE8EDBB1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14840</TotalTime>
  <Pages>1</Pages>
  <Words>38063</Words>
  <Characters>216960</Characters>
  <Application>Microsoft Office Word</Application>
  <DocSecurity>0</DocSecurity>
  <Lines>1808</Lines>
  <Paragraphs>509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274</cp:revision>
  <dcterms:created xsi:type="dcterms:W3CDTF">2017-11-16T14:32:00Z</dcterms:created>
  <dcterms:modified xsi:type="dcterms:W3CDTF">2018-12-25T11:31:00Z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