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F96CF6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539E5" w:rsidRPr="00F96CF6">
        <w:rPr>
          <w:sz w:val="28"/>
        </w:rPr>
        <w:t>9</w:t>
      </w:r>
      <w:r w:rsidR="00E97AA5" w:rsidRPr="00E97AA5">
        <w:rPr>
          <w:sz w:val="28"/>
        </w:rPr>
        <w:t>.</w:t>
      </w:r>
      <w:r w:rsidR="00D71439" w:rsidRPr="00F51E86">
        <w:rPr>
          <w:sz w:val="28"/>
        </w:rPr>
        <w:t>2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</w:t>
            </w:r>
            <w:r w:rsidRPr="00162C8B">
              <w:rPr>
                <w:sz w:val="20"/>
              </w:rPr>
              <w:lastRenderedPageBreak/>
              <w:t>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Pr="003013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>ванный во внешней 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lastRenderedPageBreak/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Электронный документ, </w:t>
            </w:r>
            <w:r w:rsidRPr="00162C8B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162C8B">
              <w:rPr>
                <w:sz w:val="20"/>
              </w:rPr>
              <w:lastRenderedPageBreak/>
              <w:t>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</w:t>
            </w:r>
            <w:r w:rsidRPr="00C316CF">
              <w:rPr>
                <w:sz w:val="20"/>
              </w:rPr>
              <w:lastRenderedPageBreak/>
              <w:t>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</w:t>
            </w:r>
            <w:r w:rsidRPr="00C316CF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06EAB" w:rsidRPr="00C316CF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>
              <w:rPr>
                <w:sz w:val="20"/>
              </w:rPr>
              <w:t>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по коду СвР, а код СПЗ неизвестен, необходимо заполнить данное поле значением </w:t>
            </w:r>
            <w:r w:rsidRPr="00C316CF">
              <w:rPr>
                <w:sz w:val="20"/>
              </w:rPr>
              <w:lastRenderedPageBreak/>
              <w:t>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lastRenderedPageBreak/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</w:t>
            </w:r>
            <w:r w:rsidRPr="004D6719">
              <w:rPr>
                <w:sz w:val="20"/>
              </w:rPr>
              <w:lastRenderedPageBreak/>
              <w:t xml:space="preserve">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 xml:space="preserve">Извещение о проведении ЭА (электронный </w:t>
            </w:r>
            <w:r w:rsidRPr="00AA2031">
              <w:rPr>
                <w:sz w:val="20"/>
              </w:rPr>
              <w:lastRenderedPageBreak/>
              <w:t>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приёме. Рассчитывается автоматически как отношение размера обеспечения (contractGuarantee/amount) к НМЦК в валюте контракта (contractConditionsInfo/maxPriceInfo/maxPriceCurrency)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позиция КТРУ, указанная в блоке </w:t>
            </w:r>
            <w:r w:rsidRPr="003B232F">
              <w:rPr>
                <w:sz w:val="20"/>
              </w:rPr>
              <w:lastRenderedPageBreak/>
              <w:t>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Контролируется обязательное заполнение хотя бы одного из дочерних блоков characteristicsUsingReferenceInfo </w:t>
            </w:r>
            <w:r w:rsidRPr="00C316CF">
              <w:rPr>
                <w:sz w:val="20"/>
              </w:rPr>
              <w:lastRenderedPageBreak/>
              <w:t>и/или characteristicsUsingTextForm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1 - неизменяемая заказчиком (в применении КТРУ невозможно переопределить справочные значения); 2 - изменяемая 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</w:t>
            </w:r>
            <w:r w:rsidRPr="00C316CF">
              <w:rPr>
                <w:sz w:val="20"/>
              </w:rPr>
              <w:lastRenderedPageBreak/>
              <w:t>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заполнено в принимаемом документе, то считается, что внешняя система явно указала </w:t>
            </w:r>
            <w:r w:rsidRPr="00C316CF">
              <w:rPr>
                <w:sz w:val="20"/>
              </w:rPr>
              <w:lastRenderedPageBreak/>
              <w:t>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 по справочнику 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Полная форма дозировки по справочнику "Лекарственные </w:t>
            </w:r>
            <w:r w:rsidRPr="00C316CF">
              <w:rPr>
                <w:sz w:val="20"/>
              </w:rPr>
              <w:lastRenderedPageBreak/>
              <w:t>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указания блока контролируется заполненность блока packagingInfo во всех </w:t>
            </w:r>
            <w:r w:rsidRPr="00C316CF">
              <w:rPr>
                <w:sz w:val="20"/>
              </w:rPr>
              <w:lastRenderedPageBreak/>
              <w:t>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</w:t>
            </w:r>
            <w:r w:rsidRPr="00C316CF">
              <w:rPr>
                <w:b/>
                <w:bCs/>
                <w:sz w:val="20"/>
              </w:rPr>
              <w:lastRenderedPageBreak/>
              <w:t>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[ 1 - 1000 </w:t>
            </w:r>
            <w:r w:rsidRPr="00C316CF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N (до 20 </w:t>
            </w:r>
            <w:r w:rsidRPr="00C316CF">
              <w:rPr>
                <w:sz w:val="20"/>
              </w:rPr>
              <w:lastRenderedPageBreak/>
              <w:t>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</w:rPr>
              <w:lastRenderedPageBreak/>
              <w:t>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только </w:t>
            </w:r>
            <w:r w:rsidRPr="00C316CF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lastRenderedPageBreak/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 xml:space="preserve">Информация о допущенной заявке (В случае если допущена </w:t>
            </w:r>
            <w:r w:rsidRPr="00116843">
              <w:rPr>
                <w:sz w:val="20"/>
              </w:rPr>
              <w:lastRenderedPageBreak/>
              <w:t>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</w:t>
            </w:r>
            <w:r w:rsidRPr="00C316CF">
              <w:rPr>
                <w:sz w:val="20"/>
              </w:rPr>
              <w:lastRenderedPageBreak/>
              <w:t>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20 всего, до 4 </w:t>
            </w:r>
            <w:r w:rsidRPr="00C316CF">
              <w:rPr>
                <w:sz w:val="20"/>
              </w:rPr>
              <w:lastRenderedPageBreak/>
              <w:t>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>. Запись 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Pr="00AC1D6B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(-)\d+(\.\d{1,2})?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A8577C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(-)\d+(\.\d{1,2})?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A8577C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(-)\d+(\.\d{1,2})?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1468F8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1468F8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= 1 или 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(-)\d+(\.\d{1,2})?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T[1-21]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(-)\d+(\.\d{1,2})?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0"/>
        <w:gridCol w:w="6"/>
        <w:gridCol w:w="415"/>
        <w:gridCol w:w="6"/>
        <w:gridCol w:w="1043"/>
        <w:gridCol w:w="6"/>
        <w:gridCol w:w="2926"/>
        <w:gridCol w:w="15"/>
        <w:gridCol w:w="2918"/>
        <w:gridCol w:w="23"/>
      </w:tblGrid>
      <w:tr w:rsidR="00F4468D" w:rsidRPr="00301389" w:rsidTr="00A7100E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A7100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D3DBD" w:rsidRPr="00DD3DBD" w:rsidRDefault="00EB5947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EB5947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EB5947" w:rsidP="00EB594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EB5947" w:rsidRDefault="00EB5947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A7100E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trHeight w:val="60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A7100E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6"/>
        <w:gridCol w:w="417"/>
        <w:gridCol w:w="6"/>
        <w:gridCol w:w="1044"/>
        <w:gridCol w:w="6"/>
        <w:gridCol w:w="2927"/>
        <w:gridCol w:w="13"/>
        <w:gridCol w:w="2922"/>
        <w:gridCol w:w="21"/>
      </w:tblGrid>
      <w:tr w:rsidR="009A5BAF" w:rsidRPr="00301389" w:rsidTr="005D29C5">
        <w:trPr>
          <w:gridAfter w:val="1"/>
          <w:wAfter w:w="10" w:type="pct"/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5D29C5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5D29C5">
        <w:trPr>
          <w:gridAfter w:val="1"/>
          <w:wAfter w:w="10" w:type="pct"/>
          <w:jc w:val="center"/>
        </w:trPr>
        <w:tc>
          <w:tcPr>
            <w:tcW w:w="741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FD3C60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T[1-21]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(-)\d+(\.\d{1,2})?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8.2, 8.2.100, 8.3, 9.0, 9.1, 9.2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61EB"/>
    <w:rsid w:val="0042771E"/>
    <w:rsid w:val="00431B90"/>
    <w:rsid w:val="00434B31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08F9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E5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A3458"/>
    <w:rsid w:val="00BA3AD0"/>
    <w:rsid w:val="00BA745C"/>
    <w:rsid w:val="00BA76AF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EC5"/>
    <w:rsid w:val="00F96CF6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B67E43-4601-40CD-9ABF-1368FFB0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15165</TotalTime>
  <Pages>1</Pages>
  <Words>39456</Words>
  <Characters>224902</Characters>
  <Application>Microsoft Office Word</Application>
  <DocSecurity>0</DocSecurity>
  <Lines>1874</Lines>
  <Paragraphs>527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318</cp:revision>
  <dcterms:created xsi:type="dcterms:W3CDTF">2017-11-16T14:32:00Z</dcterms:created>
  <dcterms:modified xsi:type="dcterms:W3CDTF">2019-06-21T15:53:00Z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