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12C28">
        <w:t>2</w:t>
      </w:r>
    </w:p>
    <w:p w:rsidR="0065472C" w:rsidRPr="0066571E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4B35" w:rsidRPr="0066571E">
        <w:rPr>
          <w:sz w:val="28"/>
        </w:rPr>
        <w:t>9</w:t>
      </w:r>
      <w:r w:rsidR="00E97AA5" w:rsidRPr="00E97AA5">
        <w:rPr>
          <w:sz w:val="28"/>
        </w:rPr>
        <w:t>.</w:t>
      </w:r>
      <w:r w:rsidR="00927A24" w:rsidRPr="00F37E12">
        <w:rPr>
          <w:sz w:val="28"/>
        </w:rPr>
        <w:t>2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</w:t>
            </w:r>
            <w:r>
              <w:rPr>
                <w:sz w:val="20"/>
              </w:rPr>
              <w:lastRenderedPageBreak/>
              <w:t xml:space="preserve">заполнения поля </w:t>
            </w:r>
            <w:r w:rsidRPr="00E232BB">
              <w:rPr>
                <w:sz w:val="20"/>
              </w:rPr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B2EB1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F0153B" w:rsidRDefault="00E9515E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8B2EB1" w:rsidRPr="00E232BB">
                <w:rPr>
                  <w:sz w:val="20"/>
                </w:rPr>
                <w:t>customer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0153B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E232BB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E232BB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E9515E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C61469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E9515E" w:rsidP="00633356">
            <w:pPr>
              <w:spacing w:before="0" w:after="0"/>
              <w:jc w:val="both"/>
            </w:pPr>
            <w:hyperlink w:anchor="authority_" w:history="1">
              <w:r w:rsidR="008B2EB1" w:rsidRPr="00E232BB">
                <w:rPr>
                  <w:sz w:val="20"/>
                </w:rPr>
                <w:t>authority</w:t>
              </w:r>
            </w:hyperlink>
            <w:r w:rsidR="008B2EB1" w:rsidRPr="005437E9">
              <w:rPr>
                <w:sz w:val="20"/>
              </w:rPr>
              <w:t>Agency</w:t>
            </w:r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Pr="00CF443D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Default="00E9515E" w:rsidP="00633356">
            <w:pPr>
              <w:spacing w:before="0" w:after="0"/>
              <w:jc w:val="both"/>
            </w:pPr>
            <w:hyperlink w:anchor="specialized_" w:history="1">
              <w:r w:rsidR="008B2EB1" w:rsidRPr="00E232BB">
                <w:rPr>
                  <w:sz w:val="20"/>
                </w:rPr>
                <w:t>specialized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E232BB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61469" w:rsidRDefault="00E9515E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8B2EB1" w:rsidRPr="002A3897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8B2EB1" w:rsidRPr="00CF443D" w:rsidRDefault="008B2EB1" w:rsidP="00623095">
            <w:pPr>
              <w:spacing w:before="0" w:after="0"/>
              <w:rPr>
                <w:sz w:val="20"/>
              </w:rPr>
            </w:pPr>
          </w:p>
        </w:tc>
      </w:tr>
      <w:tr w:rsidR="008B2EB1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8B2EB1" w:rsidRPr="005437E9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F10512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F10512" w:rsidRDefault="008B2EB1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8B2EB1" w:rsidRDefault="008B2EB1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CF443D" w:rsidRDefault="00C2114A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8B2EB1" w:rsidRPr="00E232BB">
                <w:rPr>
                  <w:sz w:val="20"/>
                </w:rPr>
                <w:t>EP</w:t>
              </w:r>
            </w:hyperlink>
            <w:r w:rsidR="008B2EB1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Default="008B2EB1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C2114A" w:rsidRPr="00CF443D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Pr="00E232BB" w:rsidRDefault="00C2114A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3B7C0D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</w:t>
            </w:r>
            <w:r w:rsidRPr="00C2114A">
              <w:rPr>
                <w:sz w:val="20"/>
              </w:rPr>
              <w:lastRenderedPageBreak/>
              <w:t>в сфере закупок» федерального 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114A" w:rsidRP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3B7C0D" w:rsidRDefault="008B2EB1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8376F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E232BB" w:rsidRDefault="008B2EB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8B2EB1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8B2EB1" w:rsidRPr="00BE4E26" w:rsidRDefault="00BE4E2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="00F56E4B"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8B2EB1" w:rsidRPr="00CF443D" w:rsidRDefault="008B2EB1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B2EB1" w:rsidRPr="008B2EB1" w:rsidRDefault="008B2EB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68628D" w:rsidRDefault="008B2EB1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8B2EB1" w:rsidRDefault="00997BC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lastRenderedPageBreak/>
              <w:t>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</w:t>
            </w:r>
            <w:r w:rsidRPr="00A85A77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игнорируется при </w:t>
            </w:r>
            <w:r>
              <w:rPr>
                <w:sz w:val="20"/>
              </w:rPr>
              <w:lastRenderedPageBreak/>
              <w:t>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9515E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9515E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9515E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9515E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E9515E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E9515E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E9515E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</w:t>
            </w:r>
            <w:r>
              <w:rPr>
                <w:sz w:val="20"/>
              </w:rPr>
              <w:lastRenderedPageBreak/>
              <w:t>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Дата поступления информации об 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плана </w:t>
            </w:r>
            <w:r>
              <w:rPr>
                <w:sz w:val="20"/>
              </w:rPr>
              <w:lastRenderedPageBreak/>
              <w:t>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приеме первоначальной </w:t>
            </w:r>
            <w:r>
              <w:rPr>
                <w:sz w:val="20"/>
              </w:rPr>
              <w:lastRenderedPageBreak/>
              <w:t>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E9515E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E9515E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E9515E" w:rsidP="00464998">
            <w:pPr>
              <w:spacing w:before="0" w:after="0"/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E9515E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E9515E" w:rsidP="00464998">
            <w:pPr>
              <w:spacing w:before="0" w:after="0"/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5437E9" w:rsidRDefault="00E9515E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  <w:r w:rsidR="00627DA4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E9515E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E9515E" w:rsidP="00464998">
            <w:pPr>
              <w:spacing w:before="0" w:after="0"/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E9515E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Default="00E9515E" w:rsidP="00464998">
            <w:pPr>
              <w:spacing w:before="0" w:after="0"/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  <w:r w:rsidR="00627DA4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B7C0D" w:rsidRDefault="00FF40F3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8376F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68628D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B00CF5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8F74C0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847C67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8F74C0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627DA4" w:rsidRPr="002438A6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2357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923574" w:rsidRPr="00E232BB" w:rsidRDefault="0092357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923574" w:rsidRPr="00923574" w:rsidRDefault="0092357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923574" w:rsidRPr="006D7888" w:rsidRDefault="0092357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923574" w:rsidRDefault="0092357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923574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925F6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6D7888" w:rsidRDefault="00FF40F3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lastRenderedPageBreak/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№1148 )</w:t>
            </w:r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Организация  юридического лица, </w:t>
            </w:r>
            <w:r w:rsidRPr="00002AE8">
              <w:rPr>
                <w:sz w:val="20"/>
              </w:rPr>
              <w:lastRenderedPageBreak/>
              <w:t>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 xml:space="preserve">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lastRenderedPageBreak/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4927CA" w:rsidRPr="00E232BB" w:rsidRDefault="004927CA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E9515E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Default="004927CA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E9515E" w:rsidP="00633356">
            <w:pPr>
              <w:spacing w:before="0" w:after="0"/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E9515E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E9515E" w:rsidP="00633356">
            <w:pPr>
              <w:spacing w:before="0" w:after="0"/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5437E9" w:rsidRDefault="00E9515E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  <w:r w:rsidR="004927CA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E9515E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E9515E" w:rsidP="00633356">
            <w:pPr>
              <w:spacing w:before="0" w:after="0"/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E9515E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E9515E" w:rsidP="00633356">
            <w:pPr>
              <w:spacing w:before="0" w:after="0"/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  <w:r w:rsidR="004927CA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3B7C0D" w:rsidRDefault="004927CA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C8376F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68628D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5C7D2F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8533A3" w:rsidRDefault="004927CA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4900DA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B00CF5" w:rsidRDefault="004927CA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CD7AC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CD7ACB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Pr="00623095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0409FC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623095" w:rsidRDefault="004927CA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Pr="00F03CF4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6D7888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927CA" w:rsidRDefault="004927CA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организации, к которой относится комиссия  (согласно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</w:t>
            </w:r>
            <w:r w:rsidRPr="000409FC">
              <w:rPr>
                <w:sz w:val="20"/>
              </w:rPr>
              <w:lastRenderedPageBreak/>
              <w:t>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Реквизиты  юридического лица, осуществляющего полномочия </w:t>
            </w:r>
            <w:r w:rsidRPr="00CF1AA9">
              <w:rPr>
                <w:sz w:val="20"/>
              </w:rPr>
              <w:lastRenderedPageBreak/>
              <w:t>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 xml:space="preserve">вующем результате </w:t>
            </w:r>
            <w:r>
              <w:rPr>
                <w:sz w:val="20"/>
              </w:rPr>
              <w:lastRenderedPageBreak/>
              <w:t>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lastRenderedPageBreak/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случае,если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5C4173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E9515E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5C4173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E9515E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E9515E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5C4173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E9515E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E9515E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5C4173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E9515E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E9515E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C2114A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E9515E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E9515E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E9515E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E9515E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9515E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F0153B" w:rsidRDefault="00E9515E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E86266" w:rsidRPr="00E232BB">
                <w:rPr>
                  <w:sz w:val="20"/>
                </w:rPr>
                <w:t>customer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623095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9515E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61469" w:rsidRDefault="00E9515E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86266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E9515E" w:rsidP="00E86266">
            <w:pPr>
              <w:spacing w:before="0" w:after="0"/>
              <w:jc w:val="both"/>
            </w:pPr>
            <w:hyperlink w:anchor="authority_" w:history="1">
              <w:r w:rsidR="00E86266" w:rsidRPr="00E232BB">
                <w:rPr>
                  <w:sz w:val="20"/>
                </w:rPr>
                <w:t>authority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E232BB" w:rsidRDefault="00E9515E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Default="00E9515E" w:rsidP="00E86266">
            <w:pPr>
              <w:spacing w:before="0" w:after="0"/>
              <w:jc w:val="both"/>
            </w:pPr>
            <w:hyperlink w:anchor="specialized_" w:history="1">
              <w:r w:rsidR="00E86266" w:rsidRPr="00E232BB">
                <w:rPr>
                  <w:sz w:val="20"/>
                </w:rPr>
                <w:t>specialized</w:t>
              </w:r>
            </w:hyperlink>
            <w:r w:rsidR="00E86266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7606AA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7606A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7606AA" w:rsidRPr="00CF443D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7606AA" w:rsidRPr="004E0336" w:rsidRDefault="007606AA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7606AA" w:rsidRPr="00CF443D" w:rsidRDefault="007606AA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7606AA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606AA" w:rsidRPr="003B7C0D" w:rsidRDefault="00550A6F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7606AA" w:rsidRPr="00E232BB" w:rsidRDefault="007606AA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4E0336" w:rsidRDefault="00550A6F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550A6F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2114A" w:rsidRPr="00E232BB" w:rsidRDefault="00C2114A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550A6F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550A6F" w:rsidRPr="00CF443D" w:rsidRDefault="00550A6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550A6F" w:rsidRPr="00E232BB" w:rsidRDefault="001C7FF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0A6F" w:rsidRPr="003B7C0D" w:rsidRDefault="00550A6F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550A6F" w:rsidRPr="00E232BB" w:rsidRDefault="00550A6F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C2114A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2114A" w:rsidRPr="00CF443D" w:rsidRDefault="00C2114A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2114A" w:rsidRDefault="00C2114A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C2114A" w:rsidRDefault="00C2114A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C2114A" w:rsidRPr="00E232BB" w:rsidRDefault="00C2114A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3B7C0D" w:rsidRDefault="00E86266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8376F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E9515E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E9515E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C2114A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1A4780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A53C79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A53C79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5B5AC0">
              <w:rPr>
                <w:sz w:val="20"/>
                <w:lang w:eastAsia="en-US"/>
              </w:rPr>
              <w:t>Поле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 xml:space="preserve">Тип :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A53C79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7F5668" w:rsidRDefault="00DE65FA" w:rsidP="00A53C79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A53C79"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A53C7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A53C79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1F6C88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1F6C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1F6C88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1F6C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1F6C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1F6C88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>В случае если принимается 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Уполномоченная организация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B718B" w:rsidRDefault="006B718B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664D4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 xml:space="preserve">Игнорируется при приеме, заполняется автоматически при передаче в случае если заполнено поле </w:t>
            </w:r>
            <w:r w:rsidRPr="00BE6221">
              <w:rPr>
                <w:sz w:val="20"/>
                <w:lang w:val="en-US"/>
              </w:rPr>
              <w:t>averagePriceValue</w:t>
            </w:r>
            <w:r w:rsidRPr="00BE6221">
              <w:rPr>
                <w:sz w:val="20"/>
              </w:rPr>
              <w:t xml:space="preserve"> округленным значением </w:t>
            </w:r>
            <w:r w:rsidRPr="00BE6221">
              <w:rPr>
                <w:sz w:val="20"/>
                <w:lang w:val="en-US"/>
              </w:rPr>
              <w:t>drugQuantityInfo</w:t>
            </w:r>
            <w:r w:rsidRPr="00BE6221">
              <w:rPr>
                <w:sz w:val="20"/>
              </w:rPr>
              <w:t>\</w:t>
            </w:r>
            <w:r w:rsidRPr="00BE6221">
              <w:rPr>
                <w:sz w:val="20"/>
                <w:lang w:val="en-US"/>
              </w:rPr>
              <w:t>total</w:t>
            </w:r>
            <w:r w:rsidRPr="00BE6221">
              <w:rPr>
                <w:sz w:val="20"/>
              </w:rPr>
              <w:t xml:space="preserve"> * </w:t>
            </w:r>
            <w:r w:rsidRPr="00BE6221">
              <w:rPr>
                <w:sz w:val="20"/>
                <w:lang w:val="en-US"/>
              </w:rPr>
              <w:t>averagePriceValue</w:t>
            </w:r>
          </w:p>
          <w:p w:rsidR="005C3155" w:rsidRPr="00664D40" w:rsidRDefault="005C3155" w:rsidP="001927B8">
            <w:pPr>
              <w:spacing w:before="0" w:after="0"/>
              <w:jc w:val="both"/>
              <w:rPr>
                <w:sz w:val="20"/>
              </w:rPr>
            </w:pP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5C417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5C417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r w:rsidRPr="00F66DDD">
              <w:rPr>
                <w:sz w:val="20"/>
              </w:rPr>
              <w:t>поле</w:t>
            </w:r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(поле MNNInfo\positionsTradeName\positionTradeName\packagingsInfo\packagingInfo\packaging2Quantity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в ЕИС контролируется заполненность количества хотя бы на один год. Поле total в составе блока рассчитывается автоматически</w:t>
            </w:r>
          </w:p>
          <w:p w:rsidR="00F66DDD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E9515E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F2302E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>цификация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Не все позиции ТРУ по 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(//element(*,zfcs_nsiKTRUType)/position/data/OKEIs)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>Также контролируется соответствие кода по ОКЕИ (блок OKEI)  коду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Если признак «Планируется заключение энергосервисного контракта» (isEnergyServiceContract), наследован/установлен в значение 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E9515E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>Для позиций, размещенных ПОСЛЕ выхода версии 9.0 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Обоснование невозможности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по КБК" (//element(*,zfcs_purchasePlanType)/specialPurchases/specialPurchase/KBKsInfo)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\d{36}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>При приеме значение  контролируется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3D1B"/>
    <w:rsid w:val="00294591"/>
    <w:rsid w:val="00294919"/>
    <w:rsid w:val="0029638C"/>
    <w:rsid w:val="002A0EDB"/>
    <w:rsid w:val="002A293B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7BE2"/>
    <w:rsid w:val="00511E76"/>
    <w:rsid w:val="00512C28"/>
    <w:rsid w:val="005223C1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515E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80BDC1-0ACB-433B-99F6-9421B56F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10239</TotalTime>
  <Pages>1</Pages>
  <Words>49163</Words>
  <Characters>280234</Characters>
  <Application>Microsoft Office Word</Application>
  <DocSecurity>0</DocSecurity>
  <Lines>2335</Lines>
  <Paragraphs>657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257</cp:revision>
  <dcterms:created xsi:type="dcterms:W3CDTF">2014-10-22T09:24:00Z</dcterms:created>
  <dcterms:modified xsi:type="dcterms:W3CDTF">2019-06-21T15:54:00Z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