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7F77F2" w:rsidRPr="0084534B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4E4A3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4E4A3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4E4A3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4E4A3C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CE3B48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CE3B48">
              <w:rPr>
                <w:sz w:val="20"/>
              </w:rPr>
              <w:t>;</w:t>
            </w:r>
          </w:p>
          <w:p w:rsidR="00CE3B48" w:rsidRPr="00892A75" w:rsidRDefault="00CE3B48" w:rsidP="005804AB">
            <w:pPr>
              <w:spacing w:before="0" w:after="0"/>
              <w:rPr>
                <w:sz w:val="20"/>
              </w:rPr>
            </w:pPr>
            <w:r w:rsidRPr="00CE3B48">
              <w:rPr>
                <w:sz w:val="20"/>
              </w:rPr>
              <w:t>CU5CH26 - Заказчик как орган исполнительной власти по ч.5 ст.26 Закона № 44-ФЗ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lastRenderedPageBreak/>
              <w:t>В остальных случаях обязателен для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E4A3C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E4A3C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4E4A3C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9A0453" w:rsidRPr="001A4780" w:rsidTr="004E4A3C">
        <w:tc>
          <w:tcPr>
            <w:tcW w:w="929" w:type="pct"/>
            <w:gridSpan w:val="2"/>
            <w:shd w:val="clear" w:color="auto" w:fill="auto"/>
          </w:tcPr>
          <w:p w:rsidR="009A0453" w:rsidRPr="001A4780" w:rsidRDefault="009A0453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A0453" w:rsidRPr="004243D7" w:rsidRDefault="00D604EE" w:rsidP="00EB3549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advancePaymentSum</w:t>
            </w:r>
          </w:p>
        </w:tc>
        <w:tc>
          <w:tcPr>
            <w:tcW w:w="178" w:type="pct"/>
            <w:shd w:val="clear" w:color="auto" w:fill="auto"/>
          </w:tcPr>
          <w:p w:rsidR="009A0453" w:rsidRPr="00D604EE" w:rsidRDefault="00D604E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A0453" w:rsidRDefault="00D604E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A0453" w:rsidRPr="004243D7" w:rsidRDefault="00D604EE" w:rsidP="004243D7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Предусмотрена выплата аванса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0453" w:rsidRDefault="009A0453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4E4A3C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</w:t>
            </w:r>
            <w:r w:rsidRPr="007F3EAF">
              <w:rPr>
                <w:sz w:val="20"/>
              </w:rPr>
              <w:lastRenderedPageBreak/>
              <w:t xml:space="preserve">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78" w:type="pct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4E4A3C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Предусмотрена выплата аванса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advancePaymentSum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</w:rPr>
              <w:t>sumInPercents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  <w:lang w:val="en-US"/>
              </w:rPr>
              <w:t>Размер аванса в процентах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94A08" w:rsidRDefault="00E94A08" w:rsidP="007422D6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Обеспечение гарантийных обязательств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provisionWarranty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(maxPrice)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Порядок внесения денежных средств в качестве обеспечения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При приеме контролируется наличие у организации заказчика актуальных счетов с  указанным БИК  и расчетным счетом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account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9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settlementAccount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расчётного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personalAccount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лицевого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4E4A3C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4E4A3C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6A700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6A7000" w:rsidRPr="00F849BD" w:rsidRDefault="006A7000" w:rsidP="00AC471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EB3549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</w:t>
            </w:r>
            <w:r w:rsidRPr="006A7000">
              <w:rPr>
                <w:sz w:val="20"/>
              </w:rPr>
              <w:lastRenderedPageBreak/>
              <w:t>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4E4A3C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4E4A3C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4E4A3C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AD28E9" w:rsidRDefault="00AD28E9" w:rsidP="005F6870">
            <w:pPr>
              <w:spacing w:before="0" w:after="0"/>
              <w:rPr>
                <w:sz w:val="20"/>
              </w:rPr>
            </w:pPr>
          </w:p>
        </w:tc>
      </w:tr>
      <w:tr w:rsidR="001063C5" w:rsidRPr="001A4780" w:rsidTr="004E4A3C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 xml:space="preserve">Классификация по </w:t>
            </w:r>
            <w:r>
              <w:rPr>
                <w:b/>
                <w:sz w:val="20"/>
              </w:rPr>
              <w:t>КТРУ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943351" w:rsidRDefault="00943351" w:rsidP="009433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F21CA9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Наименование товара, работы или услуги в справочнике Каталог товаров</w:t>
            </w:r>
            <w:r>
              <w:rPr>
                <w:sz w:val="20"/>
              </w:rPr>
              <w:t>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versionId</w:t>
            </w:r>
          </w:p>
        </w:tc>
        <w:tc>
          <w:tcPr>
            <w:tcW w:w="178" w:type="pct"/>
            <w:shd w:val="clear" w:color="auto" w:fill="auto"/>
          </w:tcPr>
          <w:p w:rsidR="00943351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Не используется, добавлено на развитие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versionNumber</w:t>
            </w:r>
          </w:p>
        </w:tc>
        <w:tc>
          <w:tcPr>
            <w:tcW w:w="178" w:type="pct"/>
            <w:shd w:val="clear" w:color="auto" w:fill="auto"/>
          </w:tcPr>
          <w:p w:rsidR="00943351" w:rsidRPr="00943351" w:rsidRDefault="00804B1E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943351" w:rsidRPr="00551EB5" w:rsidRDefault="00943351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F21CA9" w:rsidRDefault="00804B1E" w:rsidP="00943351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</w:t>
            </w:r>
          </w:p>
          <w:p w:rsidR="00943351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</w:t>
            </w:r>
            <w:r>
              <w:rPr>
                <w:sz w:val="20"/>
              </w:rPr>
              <w:t>щей размещенной версии</w:t>
            </w:r>
            <w:r w:rsidRPr="00804B1E">
              <w:rPr>
                <w:sz w:val="20"/>
              </w:rPr>
              <w:t xml:space="preserve"> извещения или к актуальной версии позиции КТРУ</w:t>
            </w:r>
            <w:r>
              <w:rPr>
                <w:sz w:val="20"/>
              </w:rPr>
              <w:t>.</w:t>
            </w:r>
          </w:p>
          <w:p w:rsidR="00804B1E" w:rsidRDefault="00804B1E" w:rsidP="00943351">
            <w:pPr>
              <w:spacing w:before="0" w:after="0"/>
              <w:rPr>
                <w:sz w:val="20"/>
              </w:rPr>
            </w:pPr>
          </w:p>
          <w:p w:rsidR="00943351" w:rsidRDefault="00943351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4E4A3C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160D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160DB7" w:rsidP="005F4EFD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0D623B" w:rsidRPr="000D623B" w:rsidTr="004E4A3C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4E4A3C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</w:t>
            </w:r>
            <w:r w:rsidRPr="000D623B">
              <w:rPr>
                <w:sz w:val="20"/>
              </w:rPr>
              <w:lastRenderedPageBreak/>
              <w:t>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32EB3" w:rsidRP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B4272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B42723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</w:t>
            </w:r>
            <w:r w:rsidR="00B42723">
              <w:rPr>
                <w:sz w:val="20"/>
              </w:rPr>
              <w:t>11</w:t>
            </w:r>
            <w:r w:rsidRPr="00A274D9">
              <w:rPr>
                <w:sz w:val="20"/>
              </w:rPr>
              <w:t>})?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132EB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8D58C0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9B6A05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rPr>
                <w:sz w:val="20"/>
              </w:rPr>
            </w:pP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B42723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B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B42723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r w:rsidRPr="00744B0D">
              <w:rPr>
                <w:sz w:val="20"/>
              </w:rPr>
              <w:lastRenderedPageBreak/>
              <w:t>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2F2EDE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2F2EDE" w:rsidRDefault="002F2EDE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A45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762BEF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F86B7F" w:rsidRPr="003050C8" w:rsidRDefault="00F86B7F" w:rsidP="000A45FD">
            <w:pPr>
              <w:spacing w:before="0" w:after="0"/>
              <w:jc w:val="both"/>
              <w:rPr>
                <w:sz w:val="20"/>
              </w:rPr>
            </w:pPr>
            <w:r w:rsidRPr="00F86B7F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(lot/drugPurchaseObjectsInfo/drugPurchaseObjectInfo/quantityUndefined/quantityUndefined)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lastRenderedPageBreak/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quantityUndefined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0145EF" w:rsidRDefault="004E4A3C" w:rsidP="00671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E4A3C" w:rsidRDefault="004E4A3C" w:rsidP="00671CD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E4A3C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7422D6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drugPurchaseObjectCustomersInfo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40713C" w:rsidRDefault="004071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2723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B42723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9"/>
            </w:tblGrid>
            <w:tr w:rsidR="004E4A3C" w:rsidRPr="001D0A70" w:rsidTr="00671CD2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4E4A3C" w:rsidRPr="001D0A70" w:rsidRDefault="004E4A3C" w:rsidP="00671CD2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1D0A70">
                    <w:rPr>
                      <w:b/>
                      <w:sz w:val="20"/>
                    </w:rPr>
                    <w:t>Информация об участии заказчика в закупке указанного лекарственного препарата</w:t>
                  </w:r>
                </w:p>
              </w:tc>
            </w:tr>
          </w:tbl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2723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1D0A70" w:rsidRDefault="004E4A3C" w:rsidP="00671CD2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4E4A3C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lastRenderedPageBreak/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 xml:space="preserve"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</w:t>
            </w:r>
            <w:r w:rsidRPr="0026750B">
              <w:rPr>
                <w:sz w:val="20"/>
              </w:rPr>
              <w:lastRenderedPageBreak/>
              <w:t>требование" и заполнено поле parentShortName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4E4A3C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lastRenderedPageBreak/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4E4A3C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4E4A3C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</w:t>
            </w:r>
            <w:r w:rsidRPr="0088341E">
              <w:rPr>
                <w:sz w:val="20"/>
              </w:rPr>
              <w:lastRenderedPageBreak/>
              <w:t>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4E4A3C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</w:t>
            </w:r>
            <w:r w:rsidRPr="00BB7D26">
              <w:rPr>
                <w:sz w:val="20"/>
              </w:rPr>
              <w:lastRenderedPageBreak/>
              <w:t>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lastRenderedPageBreak/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</w:t>
            </w:r>
            <w:r>
              <w:rPr>
                <w:sz w:val="20"/>
              </w:rPr>
              <w:lastRenderedPageBreak/>
              <w:t xml:space="preserve">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A700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6C7197" w:rsidRPr="001A4780" w:rsidRDefault="006C7197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поле  заполнено в принимаемом документе, то сохраняется это "ручное" значение, иначе поле </w:t>
            </w:r>
            <w:r w:rsidRPr="001C3588">
              <w:rPr>
                <w:sz w:val="20"/>
              </w:rPr>
              <w:lastRenderedPageBreak/>
              <w:t>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 xml:space="preserve">Значение может быть указано только если организация, осуществляющая закупку, имеет муниципальный уровень, в </w:t>
            </w:r>
            <w:r w:rsidRPr="00A403BC">
              <w:rPr>
                <w:sz w:val="20"/>
              </w:rPr>
              <w:lastRenderedPageBreak/>
              <w:t>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21777E" w:rsidRPr="001A4780" w:rsidTr="00E975FF">
        <w:tc>
          <w:tcPr>
            <w:tcW w:w="793" w:type="pct"/>
            <w:shd w:val="clear" w:color="auto" w:fill="auto"/>
          </w:tcPr>
          <w:p w:rsidR="0021777E" w:rsidRPr="001A4780" w:rsidRDefault="0021777E" w:rsidP="0021777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66" w:type="pct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shd w:val="clear" w:color="auto" w:fill="auto"/>
          </w:tcPr>
          <w:p w:rsidR="0021777E" w:rsidRDefault="0021777E" w:rsidP="0021777E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AF63CC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E975FF">
        <w:tc>
          <w:tcPr>
            <w:tcW w:w="79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66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</w:t>
            </w:r>
            <w:r w:rsidRPr="002F140F">
              <w:rPr>
                <w:sz w:val="20"/>
              </w:rPr>
              <w:lastRenderedPageBreak/>
              <w:t xml:space="preserve">участникам закупки" (nsiPurchasePreferences). </w:t>
            </w:r>
          </w:p>
          <w:p w:rsidR="002F140F" w:rsidRPr="00AC471F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093B81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lastRenderedPageBreak/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установлено поле </w:t>
            </w:r>
            <w:r w:rsidRPr="004B568C">
              <w:rPr>
                <w:sz w:val="20"/>
              </w:rPr>
              <w:lastRenderedPageBreak/>
              <w:t>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</w:t>
            </w:r>
            <w:r w:rsidRPr="00BB7D26">
              <w:rPr>
                <w:sz w:val="20"/>
              </w:rPr>
              <w:lastRenderedPageBreak/>
              <w:t>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средств в качестве обеспечения заявки (порядок предоставления </w:t>
            </w:r>
            <w:r w:rsidRPr="000018D9">
              <w:rPr>
                <w:sz w:val="20"/>
              </w:rPr>
              <w:lastRenderedPageBreak/>
              <w:t>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0134B">
        <w:tc>
          <w:tcPr>
            <w:tcW w:w="811" w:type="pct"/>
            <w:gridSpan w:val="2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0134B">
        <w:tc>
          <w:tcPr>
            <w:tcW w:w="811" w:type="pct"/>
            <w:gridSpan w:val="2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D2AEE">
        <w:tc>
          <w:tcPr>
            <w:tcW w:w="748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D2AEE">
        <w:tc>
          <w:tcPr>
            <w:tcW w:w="748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6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9956D5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956D5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956D5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9956D5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956D5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956D5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9956D5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9956D5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956D5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9956D5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9956D5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9956D5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956D5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956D5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956D5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9956D5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9956D5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956D5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160DB7" w:rsidP="004A0B2A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9956D5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Pr="00536E6A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Pr="004A0B2A" w:rsidRDefault="009956D5" w:rsidP="00FC6EF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FC6EF1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FC6EF1" w:rsidP="004A0B2A">
            <w:pPr>
              <w:spacing w:before="0" w:after="0"/>
              <w:rPr>
                <w:sz w:val="20"/>
              </w:rPr>
            </w:pPr>
            <w:r w:rsidRPr="00FC6EF1">
              <w:rPr>
                <w:sz w:val="20"/>
              </w:rPr>
              <w:t>(-)?\d+(\.\d{1,11})?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shd w:val="clear" w:color="auto" w:fill="auto"/>
          </w:tcPr>
          <w:p w:rsidR="009956D5" w:rsidRPr="001A4780" w:rsidRDefault="009956D5" w:rsidP="009956D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8D58C0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9B6A05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Pr="009956D5" w:rsidRDefault="009956D5" w:rsidP="001C6F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C6F1B" w:rsidRPr="001C6F1B">
              <w:rPr>
                <w:sz w:val="20"/>
              </w:rPr>
              <w:t>drugPurchaseObjectInfo</w:t>
            </w:r>
            <w:r w:rsidR="001C6F1B">
              <w:rPr>
                <w:sz w:val="20"/>
              </w:rPr>
              <w:t>\</w:t>
            </w:r>
            <w:r w:rsidR="001C6F1B">
              <w:t xml:space="preserve"> </w:t>
            </w:r>
            <w:r w:rsidR="001C6F1B" w:rsidRPr="001C6F1B">
              <w:rPr>
                <w:sz w:val="20"/>
              </w:rPr>
              <w:t>quantityUndefined</w:t>
            </w:r>
            <w:r w:rsidR="001C6F1B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«Извещение ЭА</w:t>
            </w:r>
            <w:r w:rsidRPr="00E8486A"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 w:rsidRPr="00E8486A">
              <w:rPr>
                <w:sz w:val="20"/>
              </w:rPr>
              <w:t xml:space="preserve">) </w:t>
            </w:r>
            <w:r>
              <w:rPr>
                <w:sz w:val="20"/>
              </w:rPr>
              <w:t>выше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9956D5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9956D5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9956D5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B066A">
        <w:tc>
          <w:tcPr>
            <w:tcW w:w="756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B066A">
        <w:tc>
          <w:tcPr>
            <w:tcW w:w="756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81336">
        <w:tc>
          <w:tcPr>
            <w:tcW w:w="911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17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81336">
        <w:tc>
          <w:tcPr>
            <w:tcW w:w="911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17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Default="002F140F" w:rsidP="00EB3549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c>
          <w:tcPr>
            <w:tcW w:w="903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1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94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c>
          <w:tcPr>
            <w:tcW w:w="90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1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94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c>
          <w:tcPr>
            <w:tcW w:w="900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2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8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c>
          <w:tcPr>
            <w:tcW w:w="900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2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81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60DB7" w:rsidP="001C3588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5338AA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53B37" w:rsidRPr="00F849BD" w:rsidTr="0026766E">
        <w:tc>
          <w:tcPr>
            <w:tcW w:w="750" w:type="pct"/>
            <w:shd w:val="clear" w:color="auto" w:fill="auto"/>
          </w:tcPr>
          <w:p w:rsidR="00953B37" w:rsidRPr="00762BEF" w:rsidRDefault="00953B37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rPr>
                <w:sz w:val="20"/>
                <w:lang w:val="en-US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3" w:type="pct"/>
            <w:shd w:val="clear" w:color="auto" w:fill="auto"/>
          </w:tcPr>
          <w:p w:rsidR="00953B37" w:rsidRDefault="00953B37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53B37" w:rsidRPr="001A4780" w:rsidRDefault="00953B37" w:rsidP="00D27145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2" w:type="pct"/>
            <w:shd w:val="clear" w:color="auto" w:fill="auto"/>
          </w:tcPr>
          <w:p w:rsidR="00953B37" w:rsidRPr="00552325" w:rsidRDefault="00953B37" w:rsidP="00953B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6C7197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2EB3"/>
    <w:rsid w:val="00137F53"/>
    <w:rsid w:val="00144C46"/>
    <w:rsid w:val="0015421C"/>
    <w:rsid w:val="00154651"/>
    <w:rsid w:val="00156119"/>
    <w:rsid w:val="00160DB7"/>
    <w:rsid w:val="00165C36"/>
    <w:rsid w:val="00173372"/>
    <w:rsid w:val="0017343F"/>
    <w:rsid w:val="00176468"/>
    <w:rsid w:val="00182522"/>
    <w:rsid w:val="00190238"/>
    <w:rsid w:val="00197CEE"/>
    <w:rsid w:val="001C3588"/>
    <w:rsid w:val="001C6F1B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1777E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140F"/>
    <w:rsid w:val="002F2EDE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0713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E4A3C"/>
    <w:rsid w:val="004F6A3A"/>
    <w:rsid w:val="00504C1F"/>
    <w:rsid w:val="00504CED"/>
    <w:rsid w:val="005077E0"/>
    <w:rsid w:val="005338AA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A7000"/>
    <w:rsid w:val="006B0103"/>
    <w:rsid w:val="006C7197"/>
    <w:rsid w:val="006D4619"/>
    <w:rsid w:val="006E2142"/>
    <w:rsid w:val="006E414B"/>
    <w:rsid w:val="006F3398"/>
    <w:rsid w:val="007003F4"/>
    <w:rsid w:val="00715792"/>
    <w:rsid w:val="00722496"/>
    <w:rsid w:val="00740B15"/>
    <w:rsid w:val="007422D6"/>
    <w:rsid w:val="0074488E"/>
    <w:rsid w:val="00744B0D"/>
    <w:rsid w:val="00762BEF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7F77F2"/>
    <w:rsid w:val="0080134B"/>
    <w:rsid w:val="00804B1E"/>
    <w:rsid w:val="00807562"/>
    <w:rsid w:val="00807F5E"/>
    <w:rsid w:val="00811B33"/>
    <w:rsid w:val="00836D26"/>
    <w:rsid w:val="0084534B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2FB4"/>
    <w:rsid w:val="00943351"/>
    <w:rsid w:val="009471B3"/>
    <w:rsid w:val="00950879"/>
    <w:rsid w:val="0095137A"/>
    <w:rsid w:val="00953B37"/>
    <w:rsid w:val="00954C1A"/>
    <w:rsid w:val="009612E3"/>
    <w:rsid w:val="00964415"/>
    <w:rsid w:val="009666F4"/>
    <w:rsid w:val="009714AA"/>
    <w:rsid w:val="00986B6B"/>
    <w:rsid w:val="009914E0"/>
    <w:rsid w:val="009956D5"/>
    <w:rsid w:val="009A0453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C471F"/>
    <w:rsid w:val="00AD28E9"/>
    <w:rsid w:val="00AF2F51"/>
    <w:rsid w:val="00AF63CC"/>
    <w:rsid w:val="00B127AD"/>
    <w:rsid w:val="00B24AEF"/>
    <w:rsid w:val="00B25FA6"/>
    <w:rsid w:val="00B27CCD"/>
    <w:rsid w:val="00B30EF2"/>
    <w:rsid w:val="00B42723"/>
    <w:rsid w:val="00B53B28"/>
    <w:rsid w:val="00B64157"/>
    <w:rsid w:val="00B656D7"/>
    <w:rsid w:val="00B73210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CE3B48"/>
    <w:rsid w:val="00D00E2F"/>
    <w:rsid w:val="00D04B1C"/>
    <w:rsid w:val="00D05C0D"/>
    <w:rsid w:val="00D26AC2"/>
    <w:rsid w:val="00D27145"/>
    <w:rsid w:val="00D36185"/>
    <w:rsid w:val="00D53263"/>
    <w:rsid w:val="00D539FC"/>
    <w:rsid w:val="00D53DF2"/>
    <w:rsid w:val="00D56B17"/>
    <w:rsid w:val="00D604EE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4A08"/>
    <w:rsid w:val="00E97455"/>
    <w:rsid w:val="00E975FF"/>
    <w:rsid w:val="00E9765D"/>
    <w:rsid w:val="00EA0A8A"/>
    <w:rsid w:val="00EA6F45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65F93"/>
    <w:rsid w:val="00F84CBF"/>
    <w:rsid w:val="00F86B7F"/>
    <w:rsid w:val="00F943A4"/>
    <w:rsid w:val="00FA05AF"/>
    <w:rsid w:val="00FC36D1"/>
    <w:rsid w:val="00FC69FD"/>
    <w:rsid w:val="00FC6EF1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4C20C3-53FE-4442-8E89-05F9901E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72720</Words>
  <Characters>414505</Characters>
  <Application>Microsoft Office Word</Application>
  <DocSecurity>0</DocSecurity>
  <Lines>3454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102</cp:revision>
  <dcterms:created xsi:type="dcterms:W3CDTF">2018-08-09T08:52:00Z</dcterms:created>
  <dcterms:modified xsi:type="dcterms:W3CDTF">2019-09-20T08:14:00Z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