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8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Приложение №1 к Договору № </w:t>
      </w:r>
      <w:r>
        <w:rPr>
          <w:rFonts w:ascii="Times New Roman" w:hAnsi="Times New Roman"/>
          <w:b/>
          <w:color w:val="1E40AF"/>
          <w:sz w:val="24"/>
        </w:rPr>
        <w:t>{{contract_number}}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от «</w:t>
      </w:r>
      <w:r>
        <w:rPr>
          <w:rFonts w:ascii="Times New Roman" w:hAnsi="Times New Roman"/>
          <w:b/>
          <w:color w:val="1E40AF"/>
          <w:sz w:val="24"/>
        </w:rPr>
        <w:t>{{contract_date_day}}</w:t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r>
        <w:rPr>
          <w:rFonts w:ascii="Times New Roman" w:hAnsi="Times New Roman"/>
          <w:b/>
          <w:color w:val="1E40AF"/>
          <w:sz w:val="24"/>
        </w:rPr>
        <w:t>{{contract_date_month}}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{{contract_date_year}}</w:t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услуг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Срок: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i/>
          <w:color w:val="6B7280"/>
          <w:sz w:val="24"/>
        </w:rPr>
        <w:t>{% if third_party_involved %}</w:t>
      </w:r>
      <w:r>
        <w:rPr>
          <w:rFonts w:ascii="Times New Roman" w:hAnsi="Times New Roman"/>
          <w:color w:val="15803D"/>
          <w:sz w:val="24"/>
        </w:rPr>
        <w:t>Допускается привлечение третьих лиц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>Без привлечения третьих лиц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for item in items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 / Ед.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Цена, руб.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 {{item.unit}}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</w:p>
        </w:tc>
      </w:tr>
    </w:tbl>
    <w:p>
      <w:pPr>
        <w:spacing w:before="4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endfor %}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т.ч.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 xml:space="preserve">% — </w:t>
      </w:r>
      <w:r>
        <w:rPr>
          <w:rFonts w:ascii="Times New Roman" w:hAnsi="Times New Roman"/>
          <w:b/>
          <w:color w:val="1E40AF"/>
          <w:sz w:val="24"/>
        </w:rPr>
        <w:t>{{vat_amount_num}}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Требования к качеству: согласно ГОСТ, ТУ и условиям Договора.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Отчётность: акт сдачи-приёмки в 2 экз.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Заказчик: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{{customer_signatory_initials}}</w:t>
            </w:r>
          </w:p>
        </w:tc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Исполнитель: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{{contractor_signatory_initials}}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