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«синие переменные»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«маркеры»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Президенту ВСКС</w:t>
      </w:r>
    </w:p>
    <w:p>
      <w:pPr>
        <w:spacing w:before="0" w:after="12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{{customer_signatory_name_genitive}}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doc_kind == 'advance'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об авансовом отчёте</w:t>
      </w:r>
    </w:p>
    <w:p>
      <w:pPr>
        <w:spacing w:before="0" w:after="12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Прошу выдать аванс на расходы по </w:t>
      </w:r>
      <w:r>
        <w:rPr>
          <w:rFonts w:ascii="Times New Roman" w:hAnsi="Times New Roman"/>
          <w:b/>
          <w:color w:val="1E40AF"/>
          <w:sz w:val="24"/>
        </w:rPr>
        <w:t>{{subject}}</w:t>
      </w:r>
      <w:r>
        <w:rPr>
          <w:rFonts w:ascii="Times New Roman" w:hAnsi="Times New Roman"/>
          <w:b w:val="0"/>
          <w:i w:val="0"/>
          <w:sz w:val="24"/>
        </w:rPr>
        <w:t xml:space="preserve"> в размере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руб.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>).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Подотчётное лицо: </w:t>
      </w:r>
      <w:r>
        <w:rPr>
          <w:rFonts w:ascii="Times New Roman" w:hAnsi="Times New Roman"/>
          <w:b/>
          <w:color w:val="1E40AF"/>
          <w:sz w:val="24"/>
        </w:rPr>
        <w:t>{{responsible_person}}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Срок отчётности: </w:t>
      </w:r>
      <w:r>
        <w:rPr>
          <w:rFonts w:ascii="Times New Roman" w:hAnsi="Times New Roman"/>
          <w:b/>
          <w:color w:val="1E40AF"/>
          <w:sz w:val="24"/>
        </w:rPr>
        <w:t>{{service_deadline_date}}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Категория ФЭО: </w:t>
      </w:r>
      <w:r>
        <w:rPr>
          <w:rFonts w:ascii="Times New Roman" w:hAnsi="Times New Roman"/>
          <w:b/>
          <w:color w:val="1E40AF"/>
          <w:sz w:val="24"/>
        </w:rPr>
        <w:t>{{feo_path}}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Субсидия: </w:t>
      </w:r>
      <w:r>
        <w:rPr>
          <w:rFonts w:ascii="Times New Roman" w:hAnsi="Times New Roman"/>
          <w:b/>
          <w:color w:val="1E40AF"/>
          <w:sz w:val="24"/>
        </w:rPr>
        <w:t>{{subsidy_name}}</w:t>
      </w:r>
    </w:p>
    <w:p>
      <w:pPr>
        <w:spacing w:before="8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Состав расходов (предварительный):</w:t>
      </w:r>
    </w:p>
    <w:p>
      <w:pPr>
        <w:spacing w:before="0" w:after="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for item in items %}</w:t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/>
          <w:color w:val="1E40AF"/>
          <w:sz w:val="24"/>
        </w:rPr>
        <w:t>{{item.num}}</w:t>
      </w:r>
      <w:r>
        <w:rPr>
          <w:rFonts w:ascii="Times New Roman" w:hAnsi="Times New Roman"/>
          <w:b w:val="0"/>
          <w:i w:val="0"/>
          <w:sz w:val="24"/>
        </w:rPr>
        <w:t xml:space="preserve">. </w:t>
      </w:r>
      <w:r>
        <w:rPr>
          <w:rFonts w:ascii="Times New Roman" w:hAnsi="Times New Roman"/>
          <w:b/>
          <w:color w:val="1E40AF"/>
          <w:sz w:val="24"/>
        </w:rPr>
        <w:t>{{item.name}}</w:t>
      </w:r>
      <w:r>
        <w:rPr>
          <w:rFonts w:ascii="Times New Roman" w:hAnsi="Times New Roman"/>
          <w:b w:val="0"/>
          <w:i w:val="0"/>
          <w:sz w:val="24"/>
        </w:rPr>
        <w:t xml:space="preserve"> — </w:t>
      </w:r>
      <w:r>
        <w:rPr>
          <w:rFonts w:ascii="Times New Roman" w:hAnsi="Times New Roman"/>
          <w:b/>
          <w:color w:val="1E40AF"/>
          <w:sz w:val="24"/>
        </w:rPr>
        <w:t>{{item.total_price}}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endfor %}</w:t>
      </w:r>
    </w:p>
    <w:p>
      <w:pPr>
        <w:spacing w:before="8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Приложенные чеки:</w:t>
      </w:r>
    </w:p>
    <w:p>
      <w:pPr>
        <w:spacing w:before="0" w:after="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{%p for r in receipts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b/>
          <w:color w:val="1E40AF"/>
          <w:sz w:val="24"/>
        </w:rPr>
        <w:t>{{ r 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{%p endfor %}</w:t>
      </w:r>
    </w:p>
    <w:p/>
    <w:p>
      <w:pPr>
        <w:spacing w:before="0" w:after="80" w:line="276" w:lineRule="exact"/>
        <w:jc w:val="left"/>
      </w:pP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