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«синие переменные»    — автоподстановка из БД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— вариант 1 в условном блоке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— вариант 2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«маркеры»       — технические условия Jinja2 (не трогать)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«—————»).</w:t>
        <w:br/>
        <w:t>Полный справочник переменных: SubsidiesView → Шаблоны → «Руководство по переменным»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0" w:after="40" w:line="276" w:lineRule="exact"/>
        <w:jc w:val="right"/>
      </w:pPr>
      <w:commentRangeStart w:id="0"/>
      <w:r>
        <w:rPr>
          <w:rFonts w:ascii="Times New Roman" w:hAnsi="Times New Roman"/>
          <w:b w:val="0"/>
          <w:i w:val="0"/>
          <w:sz w:val="24"/>
        </w:rPr>
        <w:t xml:space="preserve">Руководителю {{ customer_short_name }}</w:t>
      </w:r>
      <w:commentRangeEnd w:id="0"/>
      <w:r>
        <w:rPr>
          <w:rStyle w:val="CommentReference"/>
        </w:rPr>
        <w:commentReference w:id="0"/>
      </w:r>
    </w:p>
    <w:p>
      <w:pPr>
        <w:spacing w:before="0" w:after="120" w:line="276" w:lineRule="exact"/>
        <w:jc w:val="right"/>
      </w:pPr>
      <w:commentRangeStart w:id="1"/>
      <w:r>
        <w:rPr>
          <w:rFonts w:ascii="Times New Roman" w:hAnsi="Times New Roman"/>
          <w:b/>
          <w:color w:val="1E40AF"/>
          <w:sz w:val="24"/>
        </w:rPr>
        <w:t>{{customer_signatory_name_genitive}}</w:t>
      </w:r>
      <w:commentRangeEnd w:id="1"/>
      <w:r>
        <w:rPr>
          <w:rStyle w:val="CommentReference"/>
        </w:rPr>
        <w:commentReference w:id="1"/>
      </w:r>
    </w:p>
    <w:p>
      <w:pPr>
        <w:spacing w:before="0" w:after="40" w:line="276" w:lineRule="exact"/>
        <w:jc w:val="right"/>
      </w:pPr>
      <w:r>
        <w:rPr>
          <w:rFonts w:ascii="Times New Roman" w:hAnsi="Times New Roman"/>
          <w:b w:val="0"/>
          <w:i w:val="0"/>
          <w:sz w:val="24"/>
        </w:rPr>
        <w:t xml:space="preserve">от </w:t>
      </w:r>
      <w:commentRangeStart w:id="2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2"/>
      <w:r>
        <w:rPr>
          <w:rStyle w:val="CommentReference"/>
        </w:rPr>
        <w:commentReference w:id="2"/>
      </w:r>
    </w:p>
    <w:p>
      <w:pPr>
        <w:spacing w:before="0" w:after="200" w:line="276" w:lineRule="exact"/>
        <w:jc w:val="right"/>
      </w:pPr>
      <w:commentRangeStart w:id="3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exact"/>
        <w:jc w:val="center"/>
      </w:pPr>
      <w:r>
        <w:rPr>
          <w:rFonts w:ascii="Times New Roman" w:hAnsi="Times New Roman"/>
          <w:b/>
          <w:i w:val="0"/>
          <w:sz w:val="28"/>
        </w:rPr>
        <w:t>СЛУЖЕБНАЯ ЗАПИСКА</w:t>
      </w:r>
    </w:p>
    <w:p>
      <w:pPr>
        <w:spacing w:before="0" w:after="20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г. Москва                          «</w:t>
      </w:r>
      <w:commentRangeStart w:id="4"/>
      <w:r>
        <w:rPr>
          <w:rFonts w:ascii="Times New Roman" w:hAnsi="Times New Roman"/>
          <w:b/>
          <w:color w:val="1E40AF"/>
          <w:sz w:val="24"/>
        </w:rPr>
        <w:t>{{today}}</w:t>
      </w:r>
      <w:commentRangeEnd w:id="4"/>
      <w:r>
        <w:rPr>
          <w:rStyle w:val="CommentReference"/>
        </w:rPr>
        <w:commentReference w:id="4"/>
      </w:r>
      <w:r>
        <w:rPr>
          <w:rFonts w:ascii="Times New Roman" w:hAnsi="Times New Roman"/>
          <w:b w:val="0"/>
          <w:i w:val="0"/>
          <w:sz w:val="24"/>
        </w:rPr>
        <w:t>»</w:t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Прошу Вас рассмотреть возможность </w:t>
      </w:r>
      <w:commentRangeStart w:id="5"/>
      <w:r>
        <w:rPr>
          <w:rFonts w:ascii="Times New Roman" w:hAnsi="Times New Roman"/>
          <w:b/>
          <w:color w:val="1E40AF"/>
          <w:sz w:val="24"/>
        </w:rPr>
        <w:t>{{service_subject}}</w:t>
      </w:r>
      <w:commentRangeEnd w:id="5"/>
      <w:r>
        <w:rPr>
          <w:rStyle w:val="CommentReference"/>
        </w:rPr>
        <w:commentReference w:id="5"/>
      </w:r>
      <w:r>
        <w:rPr>
          <w:rFonts w:ascii="Times New Roman" w:hAnsi="Times New Roman"/>
          <w:b w:val="0"/>
          <w:i w:val="0"/>
          <w:sz w:val="24"/>
        </w:rPr>
        <w:t>. Обоснование: [текст пользователя].</w:t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Объект закупки: </w:t>
      </w:r>
      <w:commentRangeStart w:id="6"/>
      <w:r>
        <w:rPr>
          <w:rFonts w:ascii="Times New Roman" w:hAnsi="Times New Roman"/>
          <w:b/>
          <w:color w:val="1E40AF"/>
          <w:sz w:val="24"/>
        </w:rPr>
        <w:t>{{subject}}</w:t>
      </w:r>
      <w:commentRangeEnd w:id="6"/>
      <w:r>
        <w:rPr>
          <w:rStyle w:val="CommentReference"/>
        </w:rPr>
        <w:commentReference w:id="6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Сумма: </w:t>
      </w:r>
      <w:commentRangeStart w:id="7"/>
      <w:r>
        <w:rPr>
          <w:rFonts w:ascii="Times New Roman" w:hAnsi="Times New Roman"/>
          <w:b/>
          <w:color w:val="1E40AF"/>
          <w:sz w:val="24"/>
        </w:rPr>
        <w:t>{{contract_price_words}}</w:t>
      </w:r>
      <w:commentRangeEnd w:id="7"/>
      <w:r>
        <w:rPr>
          <w:rStyle w:val="CommentReference"/>
        </w:rPr>
        <w:commentReference w:id="7"/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commentRangeStart w:id="8"/>
      <w:r>
        <w:rPr>
          <w:rFonts w:ascii="Times New Roman" w:hAnsi="Times New Roman"/>
          <w:b/>
          <w:color w:val="1E40AF"/>
          <w:sz w:val="24"/>
        </w:rPr>
        <w:t>{{contract_price_num}}</w:t>
      </w:r>
      <w:commentRangeEnd w:id="8"/>
      <w:r>
        <w:rPr>
          <w:rStyle w:val="CommentReference"/>
        </w:rPr>
        <w:commentReference w:id="8"/>
      </w:r>
      <w:r>
        <w:rPr>
          <w:rFonts w:ascii="Times New Roman" w:hAnsi="Times New Roman"/>
          <w:b w:val="0"/>
          <w:i w:val="0"/>
          <w:sz w:val="24"/>
        </w:rPr>
        <w:t xml:space="preserve"> руб.)</w:t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Категория ФЭО: </w:t>
      </w:r>
      <w:commentRangeStart w:id="9"/>
      <w:r>
        <w:rPr>
          <w:rFonts w:ascii="Times New Roman" w:hAnsi="Times New Roman"/>
          <w:b/>
          <w:color w:val="1E40AF"/>
          <w:sz w:val="24"/>
        </w:rPr>
        <w:t>{{feo_path}}</w:t>
      </w:r>
      <w:commentRangeEnd w:id="9"/>
      <w:r>
        <w:rPr>
          <w:rStyle w:val="CommentReference"/>
        </w:rPr>
        <w:commentReference w:id="9"/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Субсидия: </w:t>
      </w:r>
      <w:commentRangeStart w:id="10"/>
      <w:r>
        <w:rPr>
          <w:rFonts w:ascii="Times New Roman" w:hAnsi="Times New Roman"/>
          <w:b/>
          <w:color w:val="1E40AF"/>
          <w:sz w:val="24"/>
        </w:rPr>
        <w:t>{{subsidy_name}}</w:t>
      </w:r>
      <w:commentRangeEnd w:id="10"/>
      <w:r>
        <w:rPr>
          <w:rStyle w:val="CommentReference"/>
        </w:rPr>
        <w:commentReference w:id="10"/>
      </w:r>
    </w:p>
    <w:p/>
    <w:p>
      <w:pPr>
        <w:spacing w:before="0" w:after="80" w:line="276" w:lineRule="exact"/>
        <w:jc w:val="left"/>
      </w:pPr>
      <w:commentRangeStart w:id="11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11"/>
      <w:r>
        <w:rPr>
          <w:rStyle w:val="CommentReference"/>
        </w:rPr>
        <w:commentReference w:id="11"/>
      </w:r>
    </w:p>
    <w:p>
      <w:pPr>
        <w:spacing w:before="0" w:after="4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___________________ / </w:t>
      </w:r>
      <w:commentRangeStart w:id="12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12"/>
      <w:r>
        <w:rPr>
          <w:rStyle w:val="CommentReference"/>
        </w:rPr>
        <w:commentReference w:id="12"/>
      </w:r>
    </w:p>
    <w:p>
      <w:pPr>
        <w:spacing w:before="0" w:after="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«</w:t>
      </w:r>
      <w:commentRangeStart w:id="13"/>
      <w:r>
        <w:rPr>
          <w:rFonts w:ascii="Times New Roman" w:hAnsi="Times New Roman"/>
          <w:b/>
          <w:color w:val="1E40AF"/>
          <w:sz w:val="24"/>
        </w:rPr>
        <w:t>{{today}}</w:t>
      </w:r>
      <w:commentRangeEnd w:id="13"/>
      <w:r>
        <w:rPr>
          <w:rStyle w:val="CommentReference"/>
        </w:rPr>
        <w:commentReference w:id="13"/>
      </w:r>
      <w:r>
        <w:rPr>
          <w:rFonts w:ascii="Times New Roman" w:hAnsi="Times New Roman"/>
          <w:b w:val="0"/>
          <w:i w:val="0"/>
          <w:sz w:val="24"/>
        </w:rPr>
        <w:t>»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Предмет услуг (синоним subject). Пример: Оказание услуг связи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Предмет закупки. Пример: Оказание услуг связи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Полный путь ФЭО. Пример: 1. Адм → 1.2 IT → 1.2.3 Услуги связи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субсидии. Пример: ФАДМ-2026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