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«синие переменные»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«маркеры»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40" w:line="276" w:lineRule="exact"/>
        <w:jc w:val="right"/>
      </w:pPr>
      <w:commentRangeStart w:id="0"/>
      <w:r>
        <w:rPr>
          <w:rFonts w:ascii="Times New Roman" w:hAnsi="Times New Roman"/>
          <w:b w:val="0"/>
          <w:i w:val="0"/>
          <w:sz w:val="24"/>
        </w:rPr>
        <w:t xml:space="preserve">Руководителю {{ customer_short_name }}</w:t>
      </w:r>
      <w:commentRangeEnd w:id="0"/>
      <w:r>
        <w:rPr>
          <w:rStyle w:val="CommentReference"/>
        </w:rPr>
        <w:commentReference w:id="0"/>
      </w:r>
    </w:p>
    <w:p>
      <w:pPr>
        <w:spacing w:before="0" w:after="120" w:line="276" w:lineRule="exact"/>
        <w:jc w:val="right"/>
      </w:pPr>
      <w:commentRangeStart w:id="1"/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commentRangeEnd w:id="1"/>
      <w:r>
        <w:rPr>
          <w:rStyle w:val="CommentReference"/>
        </w:rPr>
        <w:commentReference w:id="1"/>
      </w:r>
    </w:p>
    <w:p>
      <w:pPr>
        <w:spacing w:before="0" w:after="4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от </w:t>
      </w:r>
      <w:commentRangeStart w:id="2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"/>
      <w:r>
        <w:rPr>
          <w:rStyle w:val="CommentReference"/>
        </w:rPr>
        <w:commentReference w:id="2"/>
      </w:r>
    </w:p>
    <w:p>
      <w:pPr>
        <w:spacing w:before="0" w:after="200" w:line="276" w:lineRule="exact"/>
        <w:jc w:val="right"/>
      </w:pPr>
      <w:commentRangeStart w:id="3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>СЛУЖЕБНАЯ ЗАПИСКА</w:t>
      </w:r>
    </w:p>
    <w:p>
      <w:pPr>
        <w:spacing w:before="0" w:after="0" w:line="276" w:lineRule="exact"/>
        <w:jc w:val="center"/>
      </w:pPr>
      <w:commentRangeStart w:id="4"/>
      <w:r>
        <w:rPr>
          <w:rFonts w:ascii="Times New Roman" w:hAnsi="Times New Roman"/>
          <w:i/>
          <w:color w:val="6B7280"/>
          <w:sz w:val="20"/>
        </w:rPr>
        <w:t>{% if doc_kind == 'advance' %}</w:t>
      </w:r>
      <w:commentRangeEnd w:id="4"/>
      <w:r>
        <w:rPr>
          <w:rStyle w:val="CommentReference"/>
        </w:rPr>
        <w:commentReference w:id="4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4"/>
        </w:rPr>
        <w:t>об авансовом отчёте</w:t>
      </w:r>
    </w:p>
    <w:p>
      <w:pPr>
        <w:spacing w:before="0" w:after="120" w:line="276" w:lineRule="exact"/>
        <w:jc w:val="center"/>
      </w:pPr>
      <w:commentRangeStart w:id="5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5"/>
      <w:r>
        <w:rPr>
          <w:rStyle w:val="CommentReference"/>
        </w:rPr>
        <w:commentReference w:id="5"/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г. Москва                          «</w:t>
      </w:r>
      <w:commentRangeStart w:id="6"/>
      <w:r>
        <w:rPr>
          <w:rFonts w:ascii="Times New Roman" w:hAnsi="Times New Roman"/>
          <w:b/>
          <w:color w:val="1E40AF"/>
          <w:sz w:val="24"/>
        </w:rPr>
        <w:t>{{today}}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>»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Прошу выдать аванс на расходы по </w:t>
      </w:r>
      <w:commentRangeStart w:id="7"/>
      <w:r>
        <w:rPr>
          <w:rFonts w:ascii="Times New Roman" w:hAnsi="Times New Roman"/>
          <w:b/>
          <w:color w:val="1E40AF"/>
          <w:sz w:val="24"/>
        </w:rPr>
        <w:t>{{subject}}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b w:val="0"/>
          <w:i w:val="0"/>
          <w:sz w:val="24"/>
        </w:rPr>
        <w:t xml:space="preserve"> в размере </w:t>
      </w:r>
      <w:commentRangeStart w:id="8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b w:val="0"/>
          <w:i w:val="0"/>
          <w:sz w:val="24"/>
        </w:rPr>
        <w:t xml:space="preserve"> руб. (</w:t>
      </w:r>
      <w:commentRangeStart w:id="9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Подотчётное лицо: </w:t>
      </w:r>
      <w:commentRangeStart w:id="10"/>
      <w:r>
        <w:rPr>
          <w:rFonts w:ascii="Times New Roman" w:hAnsi="Times New Roman"/>
          <w:b/>
          <w:color w:val="1E40AF"/>
          <w:sz w:val="24"/>
        </w:rPr>
        <w:t>{{responsible_person}}</w:t>
      </w:r>
      <w:commentRangeEnd w:id="10"/>
      <w:r>
        <w:rPr>
          <w:rStyle w:val="CommentReference"/>
        </w:rPr>
        <w:commentReference w:id="10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Срок отчётности: </w:t>
      </w:r>
      <w:commentRangeStart w:id="11"/>
      <w:r>
        <w:rPr>
          <w:rFonts w:ascii="Times New Roman" w:hAnsi="Times New Roman"/>
          <w:b/>
          <w:color w:val="1E40AF"/>
          <w:sz w:val="24"/>
        </w:rPr>
        <w:t>{{service_deadline_date}}</w:t>
      </w:r>
      <w:commentRangeEnd w:id="11"/>
      <w:r>
        <w:rPr>
          <w:rStyle w:val="CommentReference"/>
        </w:rPr>
        <w:commentReference w:id="11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Категория ФЭО: </w:t>
      </w:r>
      <w:commentRangeStart w:id="12"/>
      <w:r>
        <w:rPr>
          <w:rFonts w:ascii="Times New Roman" w:hAnsi="Times New Roman"/>
          <w:b/>
          <w:color w:val="1E40AF"/>
          <w:sz w:val="24"/>
        </w:rPr>
        <w:t>{{feo_path}}</w:t>
      </w:r>
      <w:commentRangeEnd w:id="12"/>
      <w:r>
        <w:rPr>
          <w:rStyle w:val="CommentReference"/>
        </w:rPr>
        <w:commentReference w:id="12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Субсидия: </w:t>
      </w:r>
      <w:commentRangeStart w:id="13"/>
      <w:r>
        <w:rPr>
          <w:rFonts w:ascii="Times New Roman" w:hAnsi="Times New Roman"/>
          <w:b/>
          <w:color w:val="1E40AF"/>
          <w:sz w:val="24"/>
        </w:rPr>
        <w:t>{{subsidy_name}}</w:t>
      </w:r>
      <w:commentRangeEnd w:id="13"/>
      <w:r>
        <w:rPr>
          <w:rStyle w:val="CommentReference"/>
        </w:rPr>
        <w:commentReference w:id="13"/>
      </w:r>
    </w:p>
    <w:p>
      <w:pPr>
        <w:spacing w:before="80" w:after="40" w:line="276" w:lineRule="exact"/>
        <w:jc w:val="both"/>
      </w:pPr>
      <w:r>
        <w:rPr>
          <w:rFonts w:ascii="Times New Roman" w:hAnsi="Times New Roman"/>
          <w:b/>
          <w:i w:val="0"/>
          <w:sz w:val="24"/>
        </w:rPr>
        <w:t>Состав расходов (предварительный):</w:t>
      </w:r>
    </w:p>
    <w:p>
      <w:pPr>
        <w:spacing w:before="0" w:after="0" w:line="276" w:lineRule="exact"/>
        <w:jc w:val="both"/>
      </w:pPr>
      <w:commentRangeStart w:id="14"/>
      <w:r>
        <w:rPr>
          <w:rFonts w:ascii="Times New Roman" w:hAnsi="Times New Roman"/>
          <w:i/>
          <w:color w:val="6B7280"/>
          <w:sz w:val="20"/>
        </w:rPr>
        <w:t>{% for item in items %}</w:t>
      </w:r>
      <w:commentRangeEnd w:id="14"/>
      <w:r>
        <w:rPr>
          <w:rStyle w:val="CommentReference"/>
        </w:rPr>
        <w:commentReference w:id="14"/>
      </w:r>
    </w:p>
    <w:p>
      <w:pPr>
        <w:spacing w:before="0" w:after="40" w:line="276" w:lineRule="exact"/>
        <w:jc w:val="both"/>
      </w:pPr>
      <w:commentRangeStart w:id="15"/>
      <w:r>
        <w:rPr>
          <w:rFonts w:ascii="Times New Roman" w:hAnsi="Times New Roman"/>
          <w:b/>
          <w:color w:val="1E40AF"/>
          <w:sz w:val="24"/>
        </w:rPr>
        <w:t>{{item.num}}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commentRangeStart w:id="16"/>
      <w:r>
        <w:rPr>
          <w:rFonts w:ascii="Times New Roman" w:hAnsi="Times New Roman"/>
          <w:b/>
          <w:color w:val="1E40AF"/>
          <w:sz w:val="24"/>
        </w:rPr>
        <w:t>{{item.name}}</w:t>
      </w:r>
      <w:commentRangeEnd w:id="16"/>
      <w:r>
        <w:rPr>
          <w:rStyle w:val="CommentReference"/>
        </w:rPr>
        <w:commentReference w:id="16"/>
      </w:r>
      <w:r>
        <w:rPr>
          <w:rFonts w:ascii="Times New Roman" w:hAnsi="Times New Roman"/>
          <w:b w:val="0"/>
          <w:i w:val="0"/>
          <w:sz w:val="24"/>
        </w:rPr>
        <w:t xml:space="preserve"> — </w:t>
      </w:r>
      <w:commentRangeStart w:id="17"/>
      <w:r>
        <w:rPr>
          <w:rFonts w:ascii="Times New Roman" w:hAnsi="Times New Roman"/>
          <w:b/>
          <w:color w:val="1E40AF"/>
          <w:sz w:val="24"/>
        </w:rPr>
        <w:t>{{item.total_price}}</w:t>
      </w:r>
      <w:commentRangeEnd w:id="17"/>
      <w:r>
        <w:rPr>
          <w:rStyle w:val="CommentReference"/>
        </w:rPr>
        <w:commentReference w:id="17"/>
      </w:r>
    </w:p>
    <w:p>
      <w:pPr>
        <w:spacing w:before="0" w:after="120" w:line="276" w:lineRule="exact"/>
        <w:jc w:val="both"/>
      </w:pPr>
      <w:commentRangeStart w:id="18"/>
      <w:r>
        <w:rPr>
          <w:rFonts w:ascii="Times New Roman" w:hAnsi="Times New Roman"/>
          <w:i/>
          <w:color w:val="6B7280"/>
          <w:sz w:val="20"/>
        </w:rPr>
        <w:t>{% endfor %}</w:t>
      </w:r>
      <w:commentRangeEnd w:id="18"/>
      <w:r>
        <w:rPr>
          <w:rStyle w:val="CommentReference"/>
        </w:rPr>
        <w:commentReference w:id="18"/>
      </w:r>
    </w:p>
    <w:p>
      <w:pPr>
        <w:spacing w:before="120" w:after="40" w:line="276" w:lineRule="exact"/>
        <w:jc w:val="both"/>
      </w:pPr>
      <w:r>
        <w:rPr>
          <w:rFonts w:ascii="Times New Roman" w:hAnsi="Times New Roman"/>
          <w:b/>
          <w:i w:val="0"/>
          <w:sz w:val="24"/>
        </w:rPr>
        <w:t>Приложенные чеки: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pPr>
              <w:jc w:val="center"/>
            </w:pPr>
            <w:commentRangeStart w:id="22"/>
            <w:r>
              <w:rPr>
                <w:rFonts w:ascii="Times New Roman" w:hAnsi="Times New Roman"/>
                <w:i/>
                <w:color w:val="6B7280"/>
                <w:sz w:val="20"/>
              </w:rPr>
              <w:t>{% for r in left_receipts %}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>
            <w:pPr>
              <w:jc w:val="center"/>
            </w:pPr>
            <w:commentRangeStart w:id="23"/>
            <w:r>
              <w:rPr>
                <w:rFonts w:ascii="Times New Roman" w:hAnsi="Times New Roman"/>
                <w:b/>
                <w:color w:val="1E40AF"/>
                <w:sz w:val="20"/>
              </w:rPr>
              <w:t>{{ r }}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>
            <w:pPr>
              <w:jc w:val="center"/>
            </w:pPr>
            <w:commentRangeStart w:id="24"/>
            <w:r>
              <w:rPr>
                <w:rFonts w:ascii="Times New Roman" w:hAnsi="Times New Roman"/>
                <w:i/>
                <w:color w:val="6B7280"/>
                <w:sz w:val="20"/>
              </w:rPr>
              <w:t>{% endfor %}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type="dxa" w:w="4252"/>
          </w:tcPr>
          <w:p>
            <w:pPr>
              <w:jc w:val="center"/>
            </w:pPr>
            <w:commentRangeStart w:id="25"/>
            <w:r>
              <w:rPr>
                <w:rFonts w:ascii="Times New Roman" w:hAnsi="Times New Roman"/>
                <w:i/>
                <w:color w:val="6B7280"/>
                <w:sz w:val="20"/>
              </w:rPr>
              <w:t>{% for r in right_receipts %}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>
            <w:pPr>
              <w:jc w:val="center"/>
            </w:pPr>
            <w:commentRangeStart w:id="26"/>
            <w:r>
              <w:rPr>
                <w:rFonts w:ascii="Times New Roman" w:hAnsi="Times New Roman"/>
                <w:b/>
                <w:color w:val="1E40AF"/>
                <w:sz w:val="20"/>
              </w:rPr>
              <w:t>{{ r }}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>
            <w:pPr>
              <w:jc w:val="center"/>
            </w:pPr>
            <w:commentRangeStart w:id="27"/>
            <w:r>
              <w:rPr>
                <w:rFonts w:ascii="Times New Roman" w:hAnsi="Times New Roman"/>
                <w:i/>
                <w:color w:val="6B7280"/>
                <w:sz w:val="20"/>
              </w:rPr>
              <w:t>{% endfor %}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</w:tr>
    </w:tbl>
    <w:p/>
    <w:p>
      <w:pPr>
        <w:spacing w:before="0" w:after="80" w:line="276" w:lineRule="exact"/>
        <w:jc w:val="left"/>
      </w:pPr>
      <w:commentRangeStart w:id="19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19"/>
      <w:r>
        <w:rPr>
          <w:rStyle w:val="CommentReference"/>
        </w:rPr>
        <w:commentReference w:id="19"/>
      </w:r>
    </w:p>
    <w:p>
      <w:pPr>
        <w:spacing w:before="0" w:after="4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___________________ / </w:t>
      </w:r>
      <w:commentRangeStart w:id="20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20"/>
      <w:r>
        <w:rPr>
          <w:rStyle w:val="CommentReference"/>
        </w:rPr>
        <w:commentReference w:id="20"/>
      </w:r>
    </w:p>
    <w:p>
      <w:pPr>
        <w:spacing w:before="0" w:after="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«</w:t>
      </w:r>
      <w:commentRangeStart w:id="21"/>
      <w:r>
        <w:rPr>
          <w:rFonts w:ascii="Times New Roman" w:hAnsi="Times New Roman"/>
          <w:b/>
          <w:color w:val="1E40AF"/>
          <w:sz w:val="24"/>
        </w:rPr>
        <w:t>{{today}}</w:t>
      </w:r>
      <w:commentRangeEnd w:id="21"/>
      <w:r>
        <w:rPr>
          <w:rStyle w:val="CommentReference"/>
        </w:rPr>
        <w:commentReference w:id="21"/>
      </w:r>
      <w:r>
        <w:rPr>
          <w:rFonts w:ascii="Times New Roman" w:hAnsi="Times New Roman"/>
          <w:b w:val="0"/>
          <w:i w:val="0"/>
          <w:sz w:val="24"/>
        </w:rPr>
        <w:t>»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это служебная записка на аванс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ответственного исполнителя. Пример: Иванов Иван Иванович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'до даты'. Пример: 28.02.2026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Полный путь ФЭО. Пример: 1. Адм → 1.2 IT → 1.2.3 Услуги связи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субсидии. Пример: ФАДМ-2026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Повторяющийся блок (не строка таблицы): печатается для каждой позиции закупки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повторяющегося блока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Повторяющийся блок: левая колонка чеков (1-й, 3-й, 5-й...)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Текущий чек внутри цикла по чекам (left_receipts/right_receipts) — используется только в этом цикле. Пример: (изображение чека)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повторяющегося блока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Повторяющийся блок: правая колонка чеков (2-й, 4-й, 6-й...)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Текущий чек внутри цикла по чекам (left_receipts/right_receipts) — используется только в этом цикле. Пример: (изображение чека)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повторяющегося блока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