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Ozonation: Model Formulation and Calculation Procedure</w:t>
      </w:r>
    </w:p>
    <w:p>
      <w:pPr>
        <w:spacing w:after="120" w:before="0"/>
      </w:pPr>
      <w:r>
        <w:rPr>
          <w:b w:val="0"/>
          <w:i w:val="0"/>
          <w:sz w:val="21"/>
        </w:rPr>
        <w:t xml:space="preserve">This note documents, step by step, how the ozonation unit </w:t>
      </w:r>
      <w:r>
        <w:rPr>
          <w:b w:val="0"/>
          <w:i/>
          <w:sz w:val="21"/>
        </w:rPr>
        <w:t>(OzoneDPRZO, ozone_DPR_zo.py; wired in DPR_flowsheet_v4.py)</w:t>
      </w:r>
      <w:r>
        <w:rPr>
          <w:b w:val="0"/>
          <w:i w:val="0"/>
          <w:sz w:val="21"/>
        </w:rPr>
        <w:t xml:space="preserve"> determines its design and operating variables and how each quantity is computed. It mirrors the level of detail of the Supplementary Text S6 and states the exact equations, constants, and degrees-of-freedom logic implemented in the code.</w:t>
      </w:r>
    </w:p>
    <w:p>
      <w:pPr>
        <w:spacing w:after="120" w:before="0"/>
      </w:pPr>
      <w:r>
        <w:rPr>
          <w:b/>
          <w:i w:val="0"/>
          <w:sz w:val="21"/>
        </w:rPr>
        <w:t xml:space="preserve">Notation: </w:t>
      </w:r>
      <w:r>
        <w:rPr>
          <w:b w:val="0"/>
          <w:i w:val="0"/>
          <w:sz w:val="21"/>
        </w:rPr>
        <w:t>r = O3:TOC mass ratio (mg O₃ / mg TOC); τ = hydraulic retention time HRT (min); k = first-order ozone-decay constant (min⁻¹); C₃₀ = ozone residual 30 s after application (mg/L); CT = disinfection exposure (mg·min/L); LRV = log reduction value; Q = feed volumetric flow; D = applied ozone dose (mg/L); η = ozone mass-transfer efficiency; SEC = specific energy of ozone generation.</w:t>
      </w:r>
    </w:p>
    <w:p>
      <w:pPr>
        <w:pStyle w:val="Heading1"/>
      </w:pPr>
      <w:r>
        <w:t>1. Role and treatment objectives</w:t>
      </w:r>
    </w:p>
    <w:p>
      <w:pPr>
        <w:spacing w:after="120" w:before="0"/>
      </w:pPr>
      <w:r>
        <w:rPr>
          <w:b w:val="0"/>
          <w:i w:val="0"/>
          <w:sz w:val="21"/>
        </w:rPr>
        <w:t>Ozonation is the lead barrier of the DPR advanced-treatment train. It is designed for two objectives, and conditions the water for the downstream biologically active carbon (BAC):</w:t>
      </w:r>
    </w:p>
    <w:p>
      <w:pPr>
        <w:pStyle w:val="ListBullet"/>
      </w:pPr>
      <w:r>
        <w:t>Pathogen inactivation — quantified through the CT (concentration × time) concept. Cryptosporidium is the most ozone-resistant of the three regulated pathogens, so the process is sized around the Cryptosporidium log-reduction target; achieving ≥ 1-log Cryptosporidium concurrently yields ≥ 6-log for viruses and Giardia.</w:t>
      </w:r>
    </w:p>
    <w:p>
      <w:pPr>
        <w:pStyle w:val="ListBullet"/>
      </w:pPr>
      <w:r>
        <w:t>CEC oxidation — the O3:TOC ratio controls removal of the performance surrogates carbamazepine and sulfamethoxazole; an O3:TOC of 0.5–1.0 gives ≥ 1-log removal while keeping bromate below its 10 µg/L MCL.</w:t>
      </w:r>
    </w:p>
    <w:p>
      <w:pPr>
        <w:spacing w:after="120" w:before="0"/>
      </w:pPr>
      <w:r>
        <w:rPr>
          <w:b w:val="0"/>
          <w:i w:val="0"/>
          <w:sz w:val="21"/>
        </w:rPr>
        <w:t>Ozone does not remove TOC (removal fraction = 0); it transforms bulk organics into more biodegradable forms for the BAC. The two design handles are therefore the O3:TOC ratio r and the contactor HRT τ.</w:t>
      </w:r>
    </w:p>
    <w:p>
      <w:pPr>
        <w:pStyle w:val="Heading1"/>
      </w:pPr>
      <w:r>
        <w:t>2. Design variables and operating envelope</w:t>
      </w:r>
    </w:p>
    <w:tbl>
      <w:tblPr>
        <w:tblStyle w:val="TableGrid"/>
        <w:tblW w:type="auto" w:w="0"/>
        <w:tblLook w:firstColumn="1" w:firstRow="1" w:lastColumn="0" w:lastRow="0" w:noHBand="0" w:noVBand="1" w:val="04A0"/>
      </w:tblPr>
      <w:tblGrid>
        <w:gridCol w:w="2160"/>
        <w:gridCol w:w="2160"/>
        <w:gridCol w:w="2160"/>
        <w:gridCol w:w="2160"/>
      </w:tblGrid>
      <w:tr>
        <w:tc>
          <w:tcPr>
            <w:tcW w:type="dxa" w:w="2736"/>
            <w:shd w:val="clear" w:fill="2F5496"/>
          </w:tcPr>
          <w:p>
            <w:r/>
            <w:r>
              <w:rPr>
                <w:b/>
                <w:color w:val="FFFFFF"/>
                <w:sz w:val="18"/>
              </w:rPr>
              <w:t>Quantity</w:t>
            </w:r>
          </w:p>
        </w:tc>
        <w:tc>
          <w:tcPr>
            <w:tcW w:type="dxa" w:w="1152"/>
            <w:shd w:val="clear" w:fill="2F5496"/>
          </w:tcPr>
          <w:p>
            <w:r/>
            <w:r>
              <w:rPr>
                <w:b/>
                <w:color w:val="FFFFFF"/>
                <w:sz w:val="18"/>
              </w:rPr>
              <w:t>Symbol</w:t>
            </w:r>
          </w:p>
        </w:tc>
        <w:tc>
          <w:tcPr>
            <w:tcW w:type="dxa" w:w="4320"/>
            <w:shd w:val="clear" w:fill="2F5496"/>
          </w:tcPr>
          <w:p>
            <w:r/>
            <w:r>
              <w:rPr>
                <w:b/>
                <w:color w:val="FFFFFF"/>
                <w:sz w:val="18"/>
              </w:rPr>
              <w:t>Range / value</w:t>
            </w:r>
          </w:p>
        </w:tc>
        <w:tc>
          <w:tcPr>
            <w:tcW w:type="dxa" w:w="2304"/>
            <w:shd w:val="clear" w:fill="2F5496"/>
          </w:tcPr>
          <w:p>
            <w:r/>
            <w:r>
              <w:rPr>
                <w:b/>
                <w:color w:val="FFFFFF"/>
                <w:sz w:val="18"/>
              </w:rPr>
              <w:t>Set where</w:t>
            </w:r>
          </w:p>
        </w:tc>
      </w:tr>
      <w:tr>
        <w:tc>
          <w:tcPr>
            <w:tcW w:type="dxa" w:w="2736"/>
          </w:tcPr>
          <w:p>
            <w:pPr>
              <w:spacing w:after="0"/>
            </w:pPr>
            <w:r/>
            <w:r>
              <w:rPr>
                <w:sz w:val="18"/>
              </w:rPr>
              <w:t>O3:TOC ratio</w:t>
            </w:r>
          </w:p>
        </w:tc>
        <w:tc>
          <w:tcPr>
            <w:tcW w:type="dxa" w:w="1152"/>
          </w:tcPr>
          <w:p>
            <w:pPr>
              <w:spacing w:after="0"/>
            </w:pPr>
            <w:r/>
            <w:r>
              <w:rPr>
                <w:sz w:val="18"/>
              </w:rPr>
              <w:t>r</w:t>
            </w:r>
          </w:p>
        </w:tc>
        <w:tc>
          <w:tcPr>
            <w:tcW w:type="dxa" w:w="4320"/>
          </w:tcPr>
          <w:p>
            <w:pPr>
              <w:spacing w:after="0"/>
            </w:pPr>
            <w:r/>
            <w:r>
              <w:rPr>
                <w:sz w:val="18"/>
              </w:rPr>
              <w:t>0.5 – 1.0 (California fixed at 1.0)</w:t>
            </w:r>
          </w:p>
        </w:tc>
        <w:tc>
          <w:tcPr>
            <w:tcW w:type="dxa" w:w="2304"/>
          </w:tcPr>
          <w:p>
            <w:pPr>
              <w:spacing w:after="0"/>
            </w:pPr>
            <w:r/>
            <w:r>
              <w:rPr>
                <w:sz w:val="18"/>
              </w:rPr>
              <w:t>free variable / bound</w:t>
            </w:r>
          </w:p>
        </w:tc>
      </w:tr>
      <w:tr>
        <w:tc>
          <w:tcPr>
            <w:tcW w:type="dxa" w:w="2736"/>
          </w:tcPr>
          <w:p>
            <w:pPr>
              <w:spacing w:after="0"/>
            </w:pPr>
            <w:r/>
            <w:r>
              <w:rPr>
                <w:sz w:val="18"/>
              </w:rPr>
              <w:t>Contact time (HRT)</w:t>
            </w:r>
          </w:p>
        </w:tc>
        <w:tc>
          <w:tcPr>
            <w:tcW w:type="dxa" w:w="1152"/>
          </w:tcPr>
          <w:p>
            <w:pPr>
              <w:spacing w:after="0"/>
            </w:pPr>
            <w:r/>
            <w:r>
              <w:rPr>
                <w:sz w:val="18"/>
              </w:rPr>
              <w:t>τ</w:t>
            </w:r>
          </w:p>
        </w:tc>
        <w:tc>
          <w:tcPr>
            <w:tcW w:type="dxa" w:w="4320"/>
          </w:tcPr>
          <w:p>
            <w:pPr>
              <w:spacing w:after="0"/>
            </w:pPr>
            <w:r/>
            <w:r>
              <w:rPr>
                <w:sz w:val="18"/>
              </w:rPr>
              <w:t>5 – 15 min (SI: contactor HRT ≤ 15 min)</w:t>
            </w:r>
          </w:p>
        </w:tc>
        <w:tc>
          <w:tcPr>
            <w:tcW w:type="dxa" w:w="2304"/>
          </w:tcPr>
          <w:p>
            <w:pPr>
              <w:spacing w:after="0"/>
            </w:pPr>
            <w:r/>
            <w:r>
              <w:rPr>
                <w:sz w:val="18"/>
              </w:rPr>
              <w:t>free variable / bound</w:t>
            </w:r>
          </w:p>
        </w:tc>
      </w:tr>
      <w:tr>
        <w:tc>
          <w:tcPr>
            <w:tcW w:type="dxa" w:w="2736"/>
          </w:tcPr>
          <w:p>
            <w:pPr>
              <w:spacing w:after="0"/>
            </w:pPr>
            <w:r/>
            <w:r>
              <w:rPr>
                <w:sz w:val="18"/>
              </w:rPr>
              <w:t>Mass-transfer efficiency</w:t>
            </w:r>
          </w:p>
        </w:tc>
        <w:tc>
          <w:tcPr>
            <w:tcW w:type="dxa" w:w="1152"/>
          </w:tcPr>
          <w:p>
            <w:pPr>
              <w:spacing w:after="0"/>
            </w:pPr>
            <w:r/>
            <w:r>
              <w:rPr>
                <w:sz w:val="18"/>
              </w:rPr>
              <w:t>η</w:t>
            </w:r>
          </w:p>
        </w:tc>
        <w:tc>
          <w:tcPr>
            <w:tcW w:type="dxa" w:w="4320"/>
          </w:tcPr>
          <w:p>
            <w:pPr>
              <w:spacing w:after="0"/>
            </w:pPr>
            <w:r/>
            <w:r>
              <w:rPr>
                <w:sz w:val="18"/>
              </w:rPr>
              <w:t>1.0</w:t>
            </w:r>
          </w:p>
        </w:tc>
        <w:tc>
          <w:tcPr>
            <w:tcW w:type="dxa" w:w="2304"/>
          </w:tcPr>
          <w:p>
            <w:pPr>
              <w:spacing w:after="0"/>
            </w:pPr>
            <w:r/>
            <w:r>
              <w:rPr>
                <w:sz w:val="18"/>
              </w:rPr>
              <w:t>database (yaml)</w:t>
            </w:r>
          </w:p>
        </w:tc>
      </w:tr>
      <w:tr>
        <w:tc>
          <w:tcPr>
            <w:tcW w:type="dxa" w:w="2736"/>
          </w:tcPr>
          <w:p>
            <w:pPr>
              <w:spacing w:after="0"/>
            </w:pPr>
            <w:r/>
            <w:r>
              <w:rPr>
                <w:sz w:val="18"/>
              </w:rPr>
              <w:t>Specific energy</w:t>
            </w:r>
          </w:p>
        </w:tc>
        <w:tc>
          <w:tcPr>
            <w:tcW w:type="dxa" w:w="1152"/>
          </w:tcPr>
          <w:p>
            <w:pPr>
              <w:spacing w:after="0"/>
            </w:pPr>
            <w:r/>
            <w:r>
              <w:rPr>
                <w:sz w:val="18"/>
              </w:rPr>
              <w:t>SEC</w:t>
            </w:r>
          </w:p>
        </w:tc>
        <w:tc>
          <w:tcPr>
            <w:tcW w:type="dxa" w:w="4320"/>
          </w:tcPr>
          <w:p>
            <w:pPr>
              <w:spacing w:after="0"/>
            </w:pPr>
            <w:r/>
            <w:r>
              <w:rPr>
                <w:sz w:val="18"/>
              </w:rPr>
              <w:t>5 kWh/lb</w:t>
            </w:r>
          </w:p>
        </w:tc>
        <w:tc>
          <w:tcPr>
            <w:tcW w:type="dxa" w:w="2304"/>
          </w:tcPr>
          <w:p>
            <w:pPr>
              <w:spacing w:after="0"/>
            </w:pPr>
            <w:r/>
            <w:r>
              <w:rPr>
                <w:sz w:val="18"/>
              </w:rPr>
              <w:t>database (yaml)</w:t>
            </w:r>
          </w:p>
        </w:tc>
      </w:tr>
      <w:tr>
        <w:tc>
          <w:tcPr>
            <w:tcW w:type="dxa" w:w="2736"/>
          </w:tcPr>
          <w:p>
            <w:pPr>
              <w:spacing w:after="0"/>
            </w:pPr>
            <w:r/>
            <w:r>
              <w:rPr>
                <w:sz w:val="18"/>
              </w:rPr>
              <w:t>Required Crypto LRV</w:t>
            </w:r>
          </w:p>
        </w:tc>
        <w:tc>
          <w:tcPr>
            <w:tcW w:type="dxa" w:w="1152"/>
          </w:tcPr>
          <w:p>
            <w:pPr>
              <w:spacing w:after="0"/>
            </w:pPr>
            <w:r/>
            <w:r>
              <w:rPr>
                <w:sz w:val="18"/>
              </w:rPr>
              <w:t>LRV</w:t>
            </w:r>
          </w:p>
        </w:tc>
        <w:tc>
          <w:tcPr>
            <w:tcW w:type="dxa" w:w="4320"/>
          </w:tcPr>
          <w:p>
            <w:pPr>
              <w:spacing w:after="0"/>
            </w:pPr>
            <w:r/>
            <w:r>
              <w:rPr>
                <w:sz w:val="18"/>
              </w:rPr>
              <w:t>1 – 3 (from DPR_initial_setting)</w:t>
            </w:r>
          </w:p>
        </w:tc>
        <w:tc>
          <w:tcPr>
            <w:tcW w:type="dxa" w:w="2304"/>
          </w:tcPr>
          <w:p>
            <w:pPr>
              <w:spacing w:after="0"/>
            </w:pPr>
            <w:r/>
            <w:r>
              <w:rPr>
                <w:sz w:val="18"/>
              </w:rPr>
              <w:t>config</w:t>
            </w:r>
          </w:p>
        </w:tc>
      </w:tr>
    </w:tbl>
    <w:p>
      <w:pPr>
        <w:spacing w:after="120" w:before="0"/>
      </w:pPr>
      <w:r>
        <w:rPr>
          <w:b w:val="0"/>
          <w:i w:val="0"/>
          <w:sz w:val="21"/>
        </w:rPr>
        <w:t xml:space="preserve">Both </w:t>
      </w:r>
      <w:r>
        <w:rPr>
          <w:b w:val="0"/>
          <w:i/>
          <w:sz w:val="21"/>
        </w:rPr>
        <w:t>r</w:t>
      </w:r>
      <w:r>
        <w:rPr>
          <w:b w:val="0"/>
          <w:i w:val="0"/>
          <w:sz w:val="21"/>
        </w:rPr>
        <w:t xml:space="preserve"> and </w:t>
      </w:r>
      <w:r>
        <w:rPr>
          <w:b w:val="0"/>
          <w:i/>
          <w:sz w:val="21"/>
        </w:rPr>
        <w:t>τ</w:t>
      </w:r>
      <w:r>
        <w:rPr>
          <w:b w:val="0"/>
          <w:i w:val="0"/>
          <w:sz w:val="21"/>
        </w:rPr>
        <w:t xml:space="preserve"> are free variables linked by the CT relationship below; the flowsheet optimizer (minimizing LCOW) selects the cost-optimal point on that curve. Because ozone capital scales with τ, the optimizer drives τ toward its lower feasible bound.</w:t>
      </w:r>
    </w:p>
    <w:p>
      <w:pPr>
        <w:pStyle w:val="Heading1"/>
      </w:pPr>
      <w:r>
        <w:t>3. Governing CT relationship</w:t>
      </w:r>
    </w:p>
    <w:p>
      <w:pPr>
        <w:spacing w:after="120" w:before="0"/>
      </w:pPr>
      <w:r>
        <w:rPr>
          <w:b w:val="0"/>
          <w:i w:val="0"/>
          <w:sz w:val="21"/>
        </w:rPr>
        <w:t>Ozone decay is treated as biphasic: an instantaneous ozone demand (IOD) consumes ozone over the first 30 s, after which the residual decays by an apparent first-order reaction. Three empirical relationships close the model.</w:t>
      </w:r>
    </w:p>
    <w:p>
      <w:pPr>
        <w:spacing w:after="120" w:before="0"/>
      </w:pPr>
      <w:r>
        <w:rPr>
          <w:b/>
          <w:i w:val="0"/>
          <w:sz w:val="21"/>
        </w:rPr>
        <w:t xml:space="preserve">(a) Decay constant </w:t>
      </w:r>
      <w:r>
        <w:rPr>
          <w:b/>
          <w:i/>
          <w:sz w:val="21"/>
        </w:rPr>
        <w:t>k</w:t>
      </w:r>
      <w:r>
        <w:rPr>
          <w:b w:val="0"/>
          <w:i w:val="0"/>
          <w:sz w:val="21"/>
        </w:rPr>
        <w:t xml:space="preserve"> as a function of r and effluent type (linear fits of the Gerrity data over r = 0.5–1.0):</w:t>
      </w:r>
    </w:p>
    <w:p>
      <w:pPr>
        <w:spacing w:before="60" w:after="60"/>
        <w:jc w:val="center"/>
      </w:pPr>
      <w:r>
        <w:rPr>
          <w:rFonts w:ascii="Cambria Math" w:hAnsi="Cambria Math"/>
          <w:i/>
          <w:sz w:val="22"/>
        </w:rPr>
        <w:t>k = −0.6422·r + 0.8342     (tertiary effluent)</w:t>
      </w:r>
      <w:r>
        <w:rPr>
          <w:i w:val="0"/>
          <w:sz w:val="20"/>
        </w:rPr>
        <w:t xml:space="preserve">        (1a)</w:t>
      </w:r>
    </w:p>
    <w:p>
      <w:pPr>
        <w:spacing w:before="60" w:after="60"/>
        <w:jc w:val="center"/>
      </w:pPr>
      <w:r>
        <w:rPr>
          <w:rFonts w:ascii="Cambria Math" w:hAnsi="Cambria Math"/>
          <w:i/>
          <w:sz w:val="22"/>
        </w:rPr>
        <w:t>k = −0.2637·r + 0.5251     (secondary effluent)</w:t>
      </w:r>
      <w:r>
        <w:rPr>
          <w:i w:val="0"/>
          <w:sz w:val="20"/>
        </w:rPr>
        <w:t xml:space="preserve">        (1b)</w:t>
      </w:r>
    </w:p>
    <w:p>
      <w:pPr>
        <w:spacing w:after="120" w:before="0"/>
      </w:pPr>
      <w:r>
        <w:rPr>
          <w:b w:val="0"/>
          <w:i w:val="0"/>
          <w:sz w:val="21"/>
        </w:rPr>
        <w:t>Secondary effluent has a higher TOC load and therefore faster ozone decay (larger k), which later makes a given CT harder to reach.</w:t>
      </w:r>
    </w:p>
    <w:p>
      <w:pPr>
        <w:spacing w:after="120" w:before="0"/>
      </w:pPr>
      <w:r>
        <w:rPr>
          <w:b/>
          <w:i w:val="0"/>
          <w:sz w:val="21"/>
        </w:rPr>
        <w:t xml:space="preserve">(b) Ozone residual 30 s after application </w:t>
      </w:r>
      <w:r>
        <w:rPr>
          <w:b w:val="0"/>
          <w:i w:val="0"/>
          <w:sz w:val="21"/>
        </w:rPr>
        <w:t>(Pang et al., 2023; linear in r between 0.5 and 1.0):</w:t>
      </w:r>
    </w:p>
    <w:p>
      <w:pPr>
        <w:spacing w:before="60" w:after="60"/>
        <w:jc w:val="center"/>
      </w:pPr>
      <w:r>
        <w:rPr>
          <w:rFonts w:ascii="Cambria Math" w:hAnsi="Cambria Math"/>
          <w:i/>
          <w:sz w:val="22"/>
        </w:rPr>
        <w:t>C₃₀ = 0.704·r + 1.136     [mg/L]</w:t>
      </w:r>
      <w:r>
        <w:rPr>
          <w:i w:val="0"/>
          <w:sz w:val="20"/>
        </w:rPr>
        <w:t xml:space="preserve">        (2)</w:t>
      </w:r>
    </w:p>
    <w:p>
      <w:pPr>
        <w:spacing w:after="120" w:before="0"/>
      </w:pPr>
      <w:r>
        <w:rPr>
          <w:b/>
          <w:i w:val="0"/>
          <w:sz w:val="21"/>
        </w:rPr>
        <w:t>(c) CT achieved over the contactor.</w:t>
      </w:r>
      <w:r>
        <w:rPr>
          <w:b w:val="0"/>
          <w:i w:val="0"/>
          <w:sz w:val="21"/>
        </w:rPr>
        <w:t xml:space="preserve"> The residual sits at C₃₀ through the 30-s IOD window and then decays first-order to the end of the HRT. Integrating the residual gives:</w:t>
      </w:r>
    </w:p>
    <w:p>
      <w:pPr>
        <w:spacing w:before="60" w:after="60"/>
        <w:jc w:val="center"/>
      </w:pPr>
      <w:r>
        <w:rPr>
          <w:rFonts w:ascii="Cambria Math" w:hAnsi="Cambria Math"/>
          <w:i/>
          <w:sz w:val="22"/>
        </w:rPr>
        <w:t>CT(τ) = C₃₀ · [ 0.5 + (1 − e^(−k(τ−0.5))) / k ]     [mg·min/L]</w:t>
      </w:r>
      <w:r>
        <w:rPr>
          <w:i w:val="0"/>
          <w:sz w:val="20"/>
        </w:rPr>
        <w:t xml:space="preserve">        (3)</w:t>
      </w:r>
    </w:p>
    <w:p>
      <w:pPr>
        <w:spacing w:after="120" w:before="0"/>
      </w:pPr>
      <w:r>
        <w:rPr>
          <w:b w:val="0"/>
          <w:i w:val="0"/>
          <w:sz w:val="21"/>
        </w:rPr>
        <w:t xml:space="preserve">The term 0.5·C₃₀ is the exposure during the first 0.5 min; the second term is ∫ C₃₀ e^(−k(t−0.5)) dt from 0.5 to τ. Equation (3) is implemented as the </w:t>
      </w:r>
      <w:r>
        <w:rPr>
          <w:b w:val="0"/>
          <w:i/>
          <w:sz w:val="21"/>
        </w:rPr>
        <w:t>CT_achieved</w:t>
      </w:r>
      <w:r>
        <w:rPr>
          <w:b w:val="0"/>
          <w:i w:val="0"/>
          <w:sz w:val="21"/>
        </w:rPr>
        <w:t xml:space="preserve"> expression in the model.</w:t>
      </w:r>
    </w:p>
    <w:p>
      <w:pPr>
        <w:pStyle w:val="Heading1"/>
      </w:pPr>
      <w:r>
        <w:t>4. Required CT and LRV crediting</w:t>
      </w:r>
    </w:p>
    <w:p>
      <w:pPr>
        <w:spacing w:after="120" w:before="0"/>
      </w:pPr>
      <w:r>
        <w:rPr>
          <w:b w:val="0"/>
          <w:i w:val="0"/>
          <w:sz w:val="21"/>
        </w:rPr>
        <w:t>The required exposure for the Cryptosporidium credit is linear in the target log reduction:</w:t>
      </w:r>
    </w:p>
    <w:p>
      <w:pPr>
        <w:spacing w:before="60" w:after="60"/>
        <w:jc w:val="center"/>
      </w:pPr>
      <w:r>
        <w:rPr>
          <w:rFonts w:ascii="Cambria Math" w:hAnsi="Cambria Math"/>
          <w:i/>
          <w:sz w:val="22"/>
        </w:rPr>
        <w:t>CT_req = 2.47 · LRV     [mg·min/L]</w:t>
      </w:r>
      <w:r>
        <w:rPr>
          <w:i w:val="0"/>
          <w:sz w:val="20"/>
        </w:rPr>
        <w:t xml:space="preserve">        (4)</w:t>
      </w:r>
    </w:p>
    <w:p>
      <w:pPr>
        <w:spacing w:after="120" w:before="0"/>
      </w:pPr>
      <w:r>
        <w:rPr>
          <w:b w:val="0"/>
          <w:i w:val="0"/>
          <w:sz w:val="21"/>
        </w:rPr>
        <w:t xml:space="preserve">The required LRV is set upstream by </w:t>
      </w:r>
      <w:r>
        <w:rPr>
          <w:b w:val="0"/>
          <w:i/>
          <w:sz w:val="21"/>
        </w:rPr>
        <w:t>DPR_initial_setting</w:t>
      </w:r>
      <w:r>
        <w:rPr>
          <w:b w:val="0"/>
          <w:i w:val="0"/>
          <w:sz w:val="21"/>
        </w:rPr>
        <w:t xml:space="preserve"> from the state regulation minus the fixed credits of the other barriers (e.g. California Crypto 15 − UF 4 − RO 2 − UV/AOP 6 = 3, capped at the 6-log single-barrier maximum). Viruses and Giardia are credited 6-log whenever the Crypto CT is met, so only the Crypto CT constrains the ozone design.</w:t>
      </w:r>
    </w:p>
    <w:p>
      <w:pPr>
        <w:pStyle w:val="Heading1"/>
      </w:pPr>
      <w:r>
        <w:t>5. Determination of the O3:TOC ratio</w:t>
      </w:r>
    </w:p>
    <w:p>
      <w:pPr>
        <w:spacing w:after="120" w:before="0"/>
      </w:pPr>
      <w:r>
        <w:rPr>
          <w:b w:val="0"/>
          <w:i w:val="0"/>
          <w:sz w:val="21"/>
        </w:rPr>
        <w:t>Two candidate O3:TOC values are formed by inverting the CT relationship, then combined with regulatory floors.</w:t>
      </w:r>
    </w:p>
    <w:p>
      <w:pPr>
        <w:spacing w:after="120" w:before="0"/>
      </w:pPr>
      <w:r>
        <w:rPr>
          <w:b/>
          <w:i w:val="0"/>
          <w:sz w:val="21"/>
        </w:rPr>
        <w:t>(i) O3:TOC needed to meet the Cryptosporidium CT.</w:t>
      </w:r>
      <w:r>
        <w:rPr>
          <w:b w:val="0"/>
          <w:i w:val="0"/>
          <w:sz w:val="21"/>
        </w:rPr>
        <w:t xml:space="preserve"> Setting CT(τ) = CT_req and solving (2)–(3) for r:</w:t>
      </w:r>
    </w:p>
    <w:p>
      <w:pPr>
        <w:spacing w:before="60" w:after="60"/>
        <w:jc w:val="center"/>
      </w:pPr>
      <w:r>
        <w:rPr>
          <w:rFonts w:ascii="Cambria Math" w:hAnsi="Cambria Math"/>
          <w:i/>
          <w:sz w:val="22"/>
        </w:rPr>
        <w:t>expr1 = ( CT_req·k / [0.5·k + (1 − e^(−k(τ−0.5)))] − 1.136 ) / 0.704</w:t>
      </w:r>
      <w:r>
        <w:rPr>
          <w:i w:val="0"/>
          <w:sz w:val="20"/>
        </w:rPr>
        <w:t xml:space="preserve">        (5)</w:t>
      </w:r>
    </w:p>
    <w:p>
      <w:pPr>
        <w:spacing w:after="120" w:before="0"/>
      </w:pPr>
      <w:r>
        <w:rPr>
          <w:b/>
          <w:i w:val="0"/>
          <w:sz w:val="21"/>
        </w:rPr>
        <w:t xml:space="preserve">(ii) O3:TOC needed to hold a 0.2 mg/L ozone residual at the outlet </w:t>
      </w:r>
      <w:r>
        <w:rPr>
          <w:b/>
          <w:i w:val="0"/>
          <w:sz w:val="21"/>
        </w:rPr>
        <w:t>(Colorado only).</w:t>
      </w:r>
      <w:r>
        <w:rPr>
          <w:b w:val="0"/>
          <w:i w:val="0"/>
          <w:sz w:val="21"/>
        </w:rPr>
        <w:t xml:space="preserve"> Requiring C₃₀·e^(−k(τ−0.5)) = 0.2 mg/L and inverting (2):</w:t>
      </w:r>
    </w:p>
    <w:p>
      <w:pPr>
        <w:spacing w:before="60" w:after="60"/>
        <w:jc w:val="center"/>
      </w:pPr>
      <w:r>
        <w:rPr>
          <w:rFonts w:ascii="Cambria Math" w:hAnsi="Cambria Math"/>
          <w:i/>
          <w:sz w:val="22"/>
        </w:rPr>
        <w:t>expr2 = ( 0.2 / e^(−k(τ−0.5)) − 1.136 ) / 0.704</w:t>
      </w:r>
      <w:r>
        <w:rPr>
          <w:i w:val="0"/>
          <w:sz w:val="20"/>
        </w:rPr>
        <w:t xml:space="preserve">        (6)</w:t>
      </w:r>
    </w:p>
    <w:p>
      <w:pPr>
        <w:spacing w:after="120" w:before="0"/>
      </w:pPr>
      <w:r>
        <w:rPr>
          <w:b/>
          <w:i w:val="0"/>
          <w:sz w:val="21"/>
        </w:rPr>
        <w:t>(iii) Selection by state.</w:t>
      </w:r>
      <w:r>
        <w:rPr>
          <w:b w:val="0"/>
          <w:i w:val="0"/>
          <w:sz w:val="21"/>
        </w:rPr>
        <w:t xml:space="preserve"> The design O3:TOC is the largest binding requirement, subject to a lower floor (a smooth maximum is used in code for differentiability):</w:t>
      </w:r>
    </w:p>
    <w:p>
      <w:pPr>
        <w:spacing w:before="60" w:after="60"/>
        <w:jc w:val="center"/>
      </w:pPr>
      <w:r>
        <w:rPr>
          <w:rFonts w:ascii="Cambria Math" w:hAnsi="Cambria Math"/>
          <w:i/>
          <w:sz w:val="22"/>
        </w:rPr>
        <w:t>California:      r = 1.0</w:t>
      </w:r>
      <w:r>
        <w:rPr>
          <w:i w:val="0"/>
          <w:sz w:val="20"/>
        </w:rPr>
        <w:t xml:space="preserve">        (7a)</w:t>
      </w:r>
    </w:p>
    <w:p>
      <w:pPr>
        <w:spacing w:before="60" w:after="60"/>
        <w:jc w:val="center"/>
      </w:pPr>
      <w:r>
        <w:rPr>
          <w:rFonts w:ascii="Cambria Math" w:hAnsi="Cambria Math"/>
          <w:i/>
          <w:sz w:val="22"/>
        </w:rPr>
        <w:t>Colorado:        r = max( expr1 , expr2 , 0.5 )</w:t>
      </w:r>
      <w:r>
        <w:rPr>
          <w:i w:val="0"/>
          <w:sz w:val="20"/>
        </w:rPr>
        <w:t xml:space="preserve">        (7b)</w:t>
      </w:r>
    </w:p>
    <w:p>
      <w:pPr>
        <w:spacing w:before="60" w:after="60"/>
        <w:jc w:val="center"/>
      </w:pPr>
      <w:r>
        <w:rPr>
          <w:rFonts w:ascii="Cambria Math" w:hAnsi="Cambria Math"/>
          <w:i/>
          <w:sz w:val="22"/>
        </w:rPr>
        <w:t>Florida / Arizona:  r = max( expr1 , 0.5 )</w:t>
      </w:r>
      <w:r>
        <w:rPr>
          <w:i w:val="0"/>
          <w:sz w:val="20"/>
        </w:rPr>
        <w:t xml:space="preserve">        (7c)</w:t>
      </w:r>
    </w:p>
    <w:p>
      <w:pPr>
        <w:spacing w:after="120" w:before="0"/>
      </w:pPr>
      <w:r>
        <w:rPr>
          <w:b w:val="0"/>
          <w:i w:val="0"/>
          <w:sz w:val="21"/>
        </w:rPr>
        <w:t>California mandates the most stringent design, so r is pinned at 1.0 regardless of expr1; the CT target is then carried by the HRT (Section 6). For the other states r follows the binding requirement with a 0.5 floor — the minimum recommended dose. Because k depends on r through (1), equations (5)–(7) are implicit in r and are solved simultaneously by the optimizer (no per-effluent polynomial fit is needed; secondary and tertiary are handled by the same equations through their k).</w:t>
      </w:r>
    </w:p>
    <w:p>
      <w:pPr>
        <w:pStyle w:val="Heading1"/>
      </w:pPr>
      <w:r>
        <w:t>6. Contact time for California (in-model determination)</w:t>
      </w:r>
    </w:p>
    <w:p>
      <w:pPr>
        <w:spacing w:after="120" w:before="0"/>
      </w:pPr>
      <w:r>
        <w:rPr>
          <w:b w:val="0"/>
          <w:i w:val="0"/>
          <w:sz w:val="21"/>
        </w:rPr>
        <w:t>Because California fixes r = 1.0, the dose no longer adjusts to meet the CT; the HRT must. The model therefore sets τ so the achieved CT equals the requirement, floored at the 5-min design minimum:</w:t>
      </w:r>
    </w:p>
    <w:p>
      <w:pPr>
        <w:spacing w:before="60" w:after="60"/>
        <w:jc w:val="center"/>
      </w:pPr>
      <w:r>
        <w:rPr>
          <w:rFonts w:ascii="Cambria Math" w:hAnsi="Cambria Math"/>
          <w:i/>
          <w:sz w:val="22"/>
        </w:rPr>
        <w:t>CT(τ) = max( CT_req , CT(τ = 5 min) )</w:t>
      </w:r>
      <w:r>
        <w:rPr>
          <w:i w:val="0"/>
          <w:sz w:val="20"/>
        </w:rPr>
        <w:t xml:space="preserve">        (8)</w:t>
      </w:r>
    </w:p>
    <w:p>
      <w:pPr>
        <w:spacing w:after="120" w:before="0"/>
      </w:pPr>
      <w:r>
        <w:rPr>
          <w:b w:val="0"/>
          <w:i w:val="0"/>
          <w:sz w:val="21"/>
        </w:rPr>
        <w:t xml:space="preserve">If 5 min already exceeds CT_req the right-hand side is CT(5) and τ = 5 min; otherwise the right-hand side is CT_req and τ is driven up until the Cryptosporidium CT is exactly met. This is the </w:t>
      </w:r>
      <w:r>
        <w:rPr>
          <w:b w:val="0"/>
          <w:i/>
          <w:sz w:val="21"/>
        </w:rPr>
        <w:t>ca_hrt_ct_constraint</w:t>
      </w:r>
      <w:r>
        <w:rPr>
          <w:b w:val="0"/>
          <w:i w:val="0"/>
          <w:sz w:val="21"/>
        </w:rPr>
        <w:t xml:space="preserve"> equality in the model; it fully determines τ for California with no flowsheet-side CT constraint. For the other states τ stays a free optimization variable and the LCOW objective pushes it to the lower bound while r follows (5)–(7).</w:t>
      </w:r>
    </w:p>
    <w:p>
      <w:pPr>
        <w:pStyle w:val="Heading1"/>
      </w:pPr>
      <w:r>
        <w:t>7. Ozone dose, mass flow, and energy</w:t>
      </w:r>
    </w:p>
    <w:p>
      <w:pPr>
        <w:spacing w:after="120" w:before="0"/>
      </w:pPr>
      <w:r>
        <w:rPr>
          <w:b w:val="0"/>
          <w:i w:val="0"/>
          <w:sz w:val="21"/>
        </w:rPr>
        <w:t>Once r is known, the applied ozone dose adds the TOC-driven demand and the nitrite demand (nitrite consumes ozone 1:1 on a molar basis and is expressed on a nitrogen basis):</w:t>
      </w:r>
    </w:p>
    <w:p>
      <w:pPr>
        <w:spacing w:before="60" w:after="60"/>
        <w:jc w:val="center"/>
      </w:pPr>
      <w:r>
        <w:rPr>
          <w:rFonts w:ascii="Cambria Math" w:hAnsi="Cambria Math"/>
          <w:i/>
          <w:sz w:val="22"/>
        </w:rPr>
        <w:t>D = TOC · r / η  +  [NO₂ as N]     [mg/L]</w:t>
      </w:r>
      <w:r>
        <w:rPr>
          <w:i w:val="0"/>
          <w:sz w:val="20"/>
        </w:rPr>
        <w:t xml:space="preserve">        (9)</w:t>
      </w:r>
    </w:p>
    <w:p>
      <w:pPr>
        <w:spacing w:before="60" w:after="60"/>
        <w:jc w:val="center"/>
      </w:pPr>
      <w:r>
        <w:rPr>
          <w:rFonts w:ascii="Cambria Math" w:hAnsi="Cambria Math"/>
          <w:i/>
          <w:sz w:val="22"/>
        </w:rPr>
        <w:t>ṁ(O₃) = Q · D     [lb/hr]</w:t>
      </w:r>
      <w:r>
        <w:rPr>
          <w:i w:val="0"/>
          <w:sz w:val="20"/>
        </w:rPr>
        <w:t xml:space="preserve">        (10)</w:t>
      </w:r>
    </w:p>
    <w:p>
      <w:pPr>
        <w:spacing w:before="60" w:after="60"/>
        <w:jc w:val="center"/>
      </w:pPr>
      <w:r>
        <w:rPr>
          <w:rFonts w:ascii="Cambria Math" w:hAnsi="Cambria Math"/>
          <w:i/>
          <w:sz w:val="22"/>
        </w:rPr>
        <w:t>P = SEC · ṁ(O₃)     [kW]</w:t>
      </w:r>
      <w:r>
        <w:rPr>
          <w:i w:val="0"/>
          <w:sz w:val="20"/>
        </w:rPr>
        <w:t xml:space="preserve">        (11)</w:t>
      </w:r>
    </w:p>
    <w:p>
      <w:pPr>
        <w:spacing w:after="120" w:before="0"/>
      </w:pPr>
      <w:r>
        <w:rPr>
          <w:b w:val="0"/>
          <w:i w:val="0"/>
          <w:sz w:val="21"/>
        </w:rPr>
        <w:t>with η = 1.0 and SEC = 5 kWh/lb from the database. Nitrite is converted from NO₂ to N by the factor 14.0067 / 46.0055. The ozone mass flow and power feed the costing and energy accounting (capital scales with τ and dose).</w:t>
      </w:r>
    </w:p>
    <w:p>
      <w:pPr>
        <w:pStyle w:val="Heading1"/>
      </w:pPr>
      <w:r>
        <w:t>8. Degrees of freedom and solution sequence</w:t>
      </w:r>
    </w:p>
    <w:p>
      <w:pPr>
        <w:spacing w:after="120" w:before="0"/>
      </w:pPr>
      <w:r>
        <w:rPr>
          <w:b w:val="0"/>
          <w:i w:val="0"/>
          <w:sz w:val="21"/>
        </w:rPr>
        <w:t>The ozone unit contributes the following free variables and constraints:</w:t>
      </w:r>
    </w:p>
    <w:p>
      <w:pPr>
        <w:pStyle w:val="ListBullet"/>
      </w:pPr>
      <w:r>
        <w:t>Variables: r (O3:TOC) and τ (HRT), plus dose D, ozone mass flow, and power.</w:t>
      </w:r>
    </w:p>
    <w:p>
      <w:pPr>
        <w:pStyle w:val="ListBullet"/>
      </w:pPr>
      <w:r>
        <w:t>Constraints: the O3:TOC equation (7) [and, for California, the HRT equation (8)]; the dose (9); mass flow (10); and power (11).</w:t>
      </w:r>
    </w:p>
    <w:p>
      <w:pPr>
        <w:spacing w:after="120" w:before="0"/>
      </w:pPr>
      <w:r>
        <w:rPr>
          <w:b w:val="0"/>
          <w:i w:val="0"/>
          <w:sz w:val="21"/>
        </w:rPr>
        <w:t>Solution sequence per solve:</w:t>
      </w:r>
    </w:p>
    <w:p>
      <w:pPr>
        <w:pStyle w:val="ListNumber"/>
      </w:pPr>
      <w:r>
        <w:t>1. The required Crypto LRV → CT_req from (4).</w:t>
      </w:r>
    </w:p>
    <w:p>
      <w:pPr>
        <w:pStyle w:val="ListNumber"/>
      </w:pPr>
      <w:r>
        <w:t>2. k(r) from (1) for the effluent type.</w:t>
      </w:r>
    </w:p>
    <w:p>
      <w:pPr>
        <w:pStyle w:val="ListNumber"/>
      </w:pPr>
      <w:r>
        <w:t>3. For CO/FL/AZ: r is pinned by (7) to the minimum dose meeting CT (and residual); the optimizer chooses τ (minimizing LCOW) with r following. For CA: r = 1.0 and (8) determines τ.</w:t>
      </w:r>
    </w:p>
    <w:p>
      <w:pPr>
        <w:pStyle w:val="ListNumber"/>
      </w:pPr>
      <w:r>
        <w:t>4. D from (9), then mass flow (10) and power (11).</w:t>
      </w:r>
    </w:p>
    <w:p>
      <w:pPr>
        <w:spacing w:after="120" w:before="0"/>
      </w:pPr>
      <w:r>
        <w:rPr>
          <w:b w:val="0"/>
          <w:i w:val="0"/>
          <w:sz w:val="21"/>
        </w:rPr>
        <w:t>Initialization fixes τ = 5 min for the square solve in all states except California, where τ is left free (equation 8 determines it); the optimization stage frees τ within [5, 15] min and, for non-CA states, r within [0.5, 1.0].</w:t>
      </w:r>
    </w:p>
    <w:p>
      <w:pPr>
        <w:pStyle w:val="Heading1"/>
      </w:pPr>
      <w:r>
        <w:t>9. Worked examples (10 MGD, tertiary unless noted)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736"/>
            <w:shd w:val="clear" w:fill="2F5496"/>
          </w:tcPr>
          <w:p>
            <w:r/>
            <w:r>
              <w:rPr>
                <w:b/>
                <w:color w:val="FFFFFF"/>
                <w:sz w:val="18"/>
              </w:rPr>
              <w:t>Scenario</w:t>
            </w:r>
          </w:p>
        </w:tc>
        <w:tc>
          <w:tcPr>
            <w:tcW w:type="dxa" w:w="720"/>
            <w:shd w:val="clear" w:fill="2F5496"/>
          </w:tcPr>
          <w:p>
            <w:r/>
            <w:r>
              <w:rPr>
                <w:b/>
                <w:color w:val="FFFFFF"/>
                <w:sz w:val="18"/>
              </w:rPr>
              <w:t>LRV</w:t>
            </w:r>
          </w:p>
        </w:tc>
        <w:tc>
          <w:tcPr>
            <w:tcW w:type="dxa" w:w="1296"/>
            <w:shd w:val="clear" w:fill="2F5496"/>
          </w:tcPr>
          <w:p>
            <w:r/>
            <w:r>
              <w:rPr>
                <w:b/>
                <w:color w:val="FFFFFF"/>
                <w:sz w:val="18"/>
              </w:rPr>
              <w:t>k (min⁻¹)</w:t>
            </w:r>
          </w:p>
        </w:tc>
        <w:tc>
          <w:tcPr>
            <w:tcW w:type="dxa" w:w="1152"/>
            <w:shd w:val="clear" w:fill="2F5496"/>
          </w:tcPr>
          <w:p>
            <w:r/>
            <w:r>
              <w:rPr>
                <w:b/>
                <w:color w:val="FFFFFF"/>
                <w:sz w:val="18"/>
              </w:rPr>
              <w:t>τ (min)</w:t>
            </w:r>
          </w:p>
        </w:tc>
        <w:tc>
          <w:tcPr>
            <w:tcW w:type="dxa" w:w="1152"/>
            <w:shd w:val="clear" w:fill="2F5496"/>
          </w:tcPr>
          <w:p>
            <w:r/>
            <w:r>
              <w:rPr>
                <w:b/>
                <w:color w:val="FFFFFF"/>
                <w:sz w:val="18"/>
              </w:rPr>
              <w:t>O3:TOC</w:t>
            </w:r>
          </w:p>
        </w:tc>
        <w:tc>
          <w:tcPr>
            <w:tcW w:type="dxa" w:w="2160"/>
            <w:shd w:val="clear" w:fill="2F5496"/>
          </w:tcPr>
          <w:p>
            <w:r/>
            <w:r>
              <w:rPr>
                <w:b/>
                <w:color w:val="FFFFFF"/>
                <w:sz w:val="18"/>
              </w:rPr>
              <w:t>CT (mg·min/L)</w:t>
            </w:r>
          </w:p>
        </w:tc>
        <w:tc>
          <w:tcPr>
            <w:tcW w:type="dxa" w:w="1728"/>
            <w:shd w:val="clear" w:fill="2F5496"/>
          </w:tcPr>
          <w:p>
            <w:r/>
            <w:r>
              <w:rPr>
                <w:b/>
                <w:color w:val="FFFFFF"/>
                <w:sz w:val="18"/>
              </w:rPr>
              <w:t>Binding</w:t>
            </w:r>
          </w:p>
        </w:tc>
      </w:tr>
      <w:tr>
        <w:tc>
          <w:tcPr>
            <w:tcW w:type="dxa" w:w="2736"/>
          </w:tcPr>
          <w:p>
            <w:pPr>
              <w:spacing w:after="0"/>
            </w:pPr>
            <w:r/>
            <w:r>
              <w:rPr>
                <w:sz w:val="18"/>
              </w:rPr>
              <w:t>CA / RBAT</w:t>
            </w:r>
          </w:p>
        </w:tc>
        <w:tc>
          <w:tcPr>
            <w:tcW w:type="dxa" w:w="720"/>
          </w:tcPr>
          <w:p>
            <w:pPr>
              <w:spacing w:after="0"/>
            </w:pPr>
            <w:r/>
            <w:r>
              <w:rPr>
                <w:sz w:val="18"/>
              </w:rPr>
              <w:t>3</w:t>
            </w:r>
          </w:p>
        </w:tc>
        <w:tc>
          <w:tcPr>
            <w:tcW w:type="dxa" w:w="1296"/>
          </w:tcPr>
          <w:p>
            <w:pPr>
              <w:spacing w:after="0"/>
            </w:pPr>
            <w:r/>
            <w:r>
              <w:rPr>
                <w:sz w:val="18"/>
              </w:rPr>
              <w:t>0.192</w:t>
            </w:r>
          </w:p>
        </w:tc>
        <w:tc>
          <w:tcPr>
            <w:tcW w:type="dxa" w:w="1152"/>
          </w:tcPr>
          <w:p>
            <w:pPr>
              <w:spacing w:after="0"/>
            </w:pPr>
            <w:r/>
            <w:r>
              <w:rPr>
                <w:sz w:val="18"/>
              </w:rPr>
              <w:t>6.39</w:t>
            </w:r>
          </w:p>
        </w:tc>
        <w:tc>
          <w:tcPr>
            <w:tcW w:type="dxa" w:w="1152"/>
          </w:tcPr>
          <w:p>
            <w:pPr>
              <w:spacing w:after="0"/>
            </w:pPr>
            <w:r/>
            <w:r>
              <w:rPr>
                <w:sz w:val="18"/>
              </w:rPr>
              <w:t>1.000</w:t>
            </w:r>
          </w:p>
        </w:tc>
        <w:tc>
          <w:tcPr>
            <w:tcW w:type="dxa" w:w="2160"/>
          </w:tcPr>
          <w:p>
            <w:pPr>
              <w:spacing w:after="0"/>
            </w:pPr>
            <w:r/>
            <w:r>
              <w:rPr>
                <w:sz w:val="18"/>
              </w:rPr>
              <w:t>7.41 = CT_req</w:t>
            </w:r>
          </w:p>
        </w:tc>
        <w:tc>
          <w:tcPr>
            <w:tcW w:type="dxa" w:w="1728"/>
          </w:tcPr>
          <w:p>
            <w:pPr>
              <w:spacing w:after="0"/>
            </w:pPr>
            <w:r/>
            <w:r>
              <w:rPr>
                <w:sz w:val="18"/>
              </w:rPr>
              <w:t>eq.(8) HRT</w:t>
            </w:r>
          </w:p>
        </w:tc>
      </w:tr>
      <w:tr>
        <w:tc>
          <w:tcPr>
            <w:tcW w:type="dxa" w:w="2736"/>
          </w:tcPr>
          <w:p>
            <w:pPr>
              <w:spacing w:after="0"/>
            </w:pPr>
            <w:r/>
            <w:r>
              <w:rPr>
                <w:sz w:val="18"/>
              </w:rPr>
              <w:t>CA / RBAT (secondary)</w:t>
            </w:r>
          </w:p>
        </w:tc>
        <w:tc>
          <w:tcPr>
            <w:tcW w:type="dxa" w:w="720"/>
          </w:tcPr>
          <w:p>
            <w:pPr>
              <w:spacing w:after="0"/>
            </w:pPr>
            <w:r/>
            <w:r>
              <w:rPr>
                <w:sz w:val="18"/>
              </w:rPr>
              <w:t>3</w:t>
            </w:r>
          </w:p>
        </w:tc>
        <w:tc>
          <w:tcPr>
            <w:tcW w:type="dxa" w:w="1296"/>
          </w:tcPr>
          <w:p>
            <w:pPr>
              <w:spacing w:after="0"/>
            </w:pPr>
            <w:r/>
            <w:r>
              <w:rPr>
                <w:sz w:val="18"/>
              </w:rPr>
              <w:t>0.261</w:t>
            </w:r>
          </w:p>
        </w:tc>
        <w:tc>
          <w:tcPr>
            <w:tcW w:type="dxa" w:w="1152"/>
          </w:tcPr>
          <w:p>
            <w:pPr>
              <w:spacing w:after="0"/>
            </w:pPr>
            <w:r/>
            <w:r>
              <w:rPr>
                <w:sz w:val="18"/>
              </w:rPr>
              <w:t>10.26</w:t>
            </w:r>
          </w:p>
        </w:tc>
        <w:tc>
          <w:tcPr>
            <w:tcW w:type="dxa" w:w="1152"/>
          </w:tcPr>
          <w:p>
            <w:pPr>
              <w:spacing w:after="0"/>
            </w:pPr>
            <w:r/>
            <w:r>
              <w:rPr>
                <w:sz w:val="18"/>
              </w:rPr>
              <w:t>1.000</w:t>
            </w:r>
          </w:p>
        </w:tc>
        <w:tc>
          <w:tcPr>
            <w:tcW w:type="dxa" w:w="2160"/>
          </w:tcPr>
          <w:p>
            <w:pPr>
              <w:spacing w:after="0"/>
            </w:pPr>
            <w:r/>
            <w:r>
              <w:rPr>
                <w:sz w:val="18"/>
              </w:rPr>
              <w:t>7.41 = CT_req</w:t>
            </w:r>
          </w:p>
        </w:tc>
        <w:tc>
          <w:tcPr>
            <w:tcW w:type="dxa" w:w="1728"/>
          </w:tcPr>
          <w:p>
            <w:pPr>
              <w:spacing w:after="0"/>
            </w:pPr>
            <w:r/>
            <w:r>
              <w:rPr>
                <w:sz w:val="18"/>
              </w:rPr>
              <w:t>eq.(8) HRT</w:t>
            </w:r>
          </w:p>
        </w:tc>
      </w:tr>
      <w:tr>
        <w:tc>
          <w:tcPr>
            <w:tcW w:type="dxa" w:w="2736"/>
          </w:tcPr>
          <w:p>
            <w:pPr>
              <w:spacing w:after="0"/>
            </w:pPr>
            <w:r/>
            <w:r>
              <w:rPr>
                <w:sz w:val="18"/>
              </w:rPr>
              <w:t>CO / RBAT</w:t>
            </w:r>
          </w:p>
        </w:tc>
        <w:tc>
          <w:tcPr>
            <w:tcW w:type="dxa" w:w="720"/>
          </w:tcPr>
          <w:p>
            <w:pPr>
              <w:spacing w:after="0"/>
            </w:pPr>
            <w:r/>
            <w:r>
              <w:rPr>
                <w:sz w:val="18"/>
              </w:rPr>
              <w:t>1</w:t>
            </w:r>
          </w:p>
        </w:tc>
        <w:tc>
          <w:tcPr>
            <w:tcW w:type="dxa" w:w="1296"/>
          </w:tcPr>
          <w:p>
            <w:pPr>
              <w:spacing w:after="0"/>
            </w:pPr>
            <w:r/>
            <w:r>
              <w:rPr>
                <w:sz w:val="18"/>
              </w:rPr>
              <w:t>0.455</w:t>
            </w:r>
          </w:p>
        </w:tc>
        <w:tc>
          <w:tcPr>
            <w:tcW w:type="dxa" w:w="1152"/>
          </w:tcPr>
          <w:p>
            <w:pPr>
              <w:spacing w:after="0"/>
            </w:pPr>
            <w:r/>
            <w:r>
              <w:rPr>
                <w:sz w:val="18"/>
              </w:rPr>
              <w:t>5.00</w:t>
            </w:r>
          </w:p>
        </w:tc>
        <w:tc>
          <w:tcPr>
            <w:tcW w:type="dxa" w:w="1152"/>
          </w:tcPr>
          <w:p>
            <w:pPr>
              <w:spacing w:after="0"/>
            </w:pPr>
            <w:r/>
            <w:r>
              <w:rPr>
                <w:sz w:val="18"/>
              </w:rPr>
              <w:t>0.590</w:t>
            </w:r>
          </w:p>
        </w:tc>
        <w:tc>
          <w:tcPr>
            <w:tcW w:type="dxa" w:w="2160"/>
          </w:tcPr>
          <w:p>
            <w:pPr>
              <w:spacing w:after="0"/>
            </w:pPr>
            <w:r/>
            <w:r>
              <w:rPr>
                <w:sz w:val="18"/>
              </w:rPr>
              <w:t>3.74 (&gt;CT_req)</w:t>
            </w:r>
          </w:p>
        </w:tc>
        <w:tc>
          <w:tcPr>
            <w:tcW w:type="dxa" w:w="1728"/>
          </w:tcPr>
          <w:p>
            <w:pPr>
              <w:spacing w:after="0"/>
            </w:pPr>
            <w:r/>
            <w:r>
              <w:rPr>
                <w:sz w:val="18"/>
              </w:rPr>
              <w:t>expr2 residual</w:t>
            </w:r>
          </w:p>
        </w:tc>
      </w:tr>
      <w:tr>
        <w:tc>
          <w:tcPr>
            <w:tcW w:type="dxa" w:w="2736"/>
          </w:tcPr>
          <w:p>
            <w:pPr>
              <w:spacing w:after="0"/>
            </w:pPr>
            <w:r/>
            <w:r>
              <w:rPr>
                <w:sz w:val="18"/>
              </w:rPr>
              <w:t>FL / RBAT</w:t>
            </w:r>
          </w:p>
        </w:tc>
        <w:tc>
          <w:tcPr>
            <w:tcW w:type="dxa" w:w="720"/>
          </w:tcPr>
          <w:p>
            <w:pPr>
              <w:spacing w:after="0"/>
            </w:pPr>
            <w:r/>
            <w:r>
              <w:rPr>
                <w:sz w:val="18"/>
              </w:rPr>
              <w:t>1</w:t>
            </w:r>
          </w:p>
        </w:tc>
        <w:tc>
          <w:tcPr>
            <w:tcW w:type="dxa" w:w="1296"/>
          </w:tcPr>
          <w:p>
            <w:pPr>
              <w:spacing w:after="0"/>
            </w:pPr>
            <w:r/>
            <w:r>
              <w:rPr>
                <w:sz w:val="18"/>
              </w:rPr>
              <w:t>0.513</w:t>
            </w:r>
          </w:p>
        </w:tc>
        <w:tc>
          <w:tcPr>
            <w:tcW w:type="dxa" w:w="1152"/>
          </w:tcPr>
          <w:p>
            <w:pPr>
              <w:spacing w:after="0"/>
            </w:pPr>
            <w:r/>
            <w:r>
              <w:rPr>
                <w:sz w:val="18"/>
              </w:rPr>
              <w:t>5.00</w:t>
            </w:r>
          </w:p>
        </w:tc>
        <w:tc>
          <w:tcPr>
            <w:tcW w:type="dxa" w:w="1152"/>
          </w:tcPr>
          <w:p>
            <w:pPr>
              <w:spacing w:after="0"/>
            </w:pPr>
            <w:r/>
            <w:r>
              <w:rPr>
                <w:sz w:val="18"/>
              </w:rPr>
              <w:t>0.500</w:t>
            </w:r>
          </w:p>
        </w:tc>
        <w:tc>
          <w:tcPr>
            <w:tcW w:type="dxa" w:w="2160"/>
          </w:tcPr>
          <w:p>
            <w:pPr>
              <w:spacing w:after="0"/>
            </w:pPr>
            <w:r/>
            <w:r>
              <w:rPr>
                <w:sz w:val="18"/>
              </w:rPr>
              <w:t>3.36 (&gt;CT_req)</w:t>
            </w:r>
          </w:p>
        </w:tc>
        <w:tc>
          <w:tcPr>
            <w:tcW w:type="dxa" w:w="1728"/>
          </w:tcPr>
          <w:p>
            <w:pPr>
              <w:spacing w:after="0"/>
            </w:pPr>
            <w:r/>
            <w:r>
              <w:rPr>
                <w:sz w:val="18"/>
              </w:rPr>
              <w:t>0.5 floor</w:t>
            </w:r>
          </w:p>
        </w:tc>
      </w:tr>
      <w:tr>
        <w:tc>
          <w:tcPr>
            <w:tcW w:type="dxa" w:w="2736"/>
          </w:tcPr>
          <w:p>
            <w:pPr>
              <w:spacing w:after="0"/>
            </w:pPr>
            <w:r/>
            <w:r>
              <w:rPr>
                <w:sz w:val="18"/>
              </w:rPr>
              <w:t>FL / CBAT</w:t>
            </w:r>
          </w:p>
        </w:tc>
        <w:tc>
          <w:tcPr>
            <w:tcW w:type="dxa" w:w="720"/>
          </w:tcPr>
          <w:p>
            <w:pPr>
              <w:spacing w:after="0"/>
            </w:pPr>
            <w:r/>
            <w:r>
              <w:rPr>
                <w:sz w:val="18"/>
              </w:rPr>
              <w:t>2</w:t>
            </w:r>
          </w:p>
        </w:tc>
        <w:tc>
          <w:tcPr>
            <w:tcW w:type="dxa" w:w="1296"/>
          </w:tcPr>
          <w:p>
            <w:pPr>
              <w:spacing w:after="0"/>
            </w:pPr>
            <w:r/>
            <w:r>
              <w:rPr>
                <w:sz w:val="18"/>
              </w:rPr>
              <w:t>0.322</w:t>
            </w:r>
          </w:p>
        </w:tc>
        <w:tc>
          <w:tcPr>
            <w:tcW w:type="dxa" w:w="1152"/>
          </w:tcPr>
          <w:p>
            <w:pPr>
              <w:spacing w:after="0"/>
            </w:pPr>
            <w:r/>
            <w:r>
              <w:rPr>
                <w:sz w:val="18"/>
              </w:rPr>
              <w:t>5.00</w:t>
            </w:r>
          </w:p>
        </w:tc>
        <w:tc>
          <w:tcPr>
            <w:tcW w:type="dxa" w:w="1152"/>
          </w:tcPr>
          <w:p>
            <w:pPr>
              <w:spacing w:after="0"/>
            </w:pPr>
            <w:r/>
            <w:r>
              <w:rPr>
                <w:sz w:val="18"/>
              </w:rPr>
              <w:t>0.806</w:t>
            </w:r>
          </w:p>
        </w:tc>
        <w:tc>
          <w:tcPr>
            <w:tcW w:type="dxa" w:w="2160"/>
          </w:tcPr>
          <w:p>
            <w:pPr>
              <w:spacing w:after="0"/>
            </w:pPr>
            <w:r/>
            <w:r>
              <w:rPr>
                <w:sz w:val="18"/>
              </w:rPr>
              <w:t>4.94 = CT_req</w:t>
            </w:r>
          </w:p>
        </w:tc>
        <w:tc>
          <w:tcPr>
            <w:tcW w:type="dxa" w:w="1728"/>
          </w:tcPr>
          <w:p>
            <w:pPr>
              <w:spacing w:after="0"/>
            </w:pPr>
            <w:r/>
            <w:r>
              <w:rPr>
                <w:sz w:val="18"/>
              </w:rPr>
              <w:t>expr1 CT</w:t>
            </w:r>
          </w:p>
        </w:tc>
      </w:tr>
    </w:tbl>
    <w:p>
      <w:pPr>
        <w:spacing w:after="120" w:before="0"/>
      </w:pPr>
      <w:r>
        <w:rPr>
          <w:b w:val="0"/>
          <w:i w:val="0"/>
          <w:sz w:val="21"/>
        </w:rPr>
        <w:t>Reading the first row: California requires 3-log Crypto (CT_req = 7.41). With r = 1.0, C₃₀ = 1.84 mg/L and k = 0.192 min⁻¹; equation (8) raises τ to 6.39 min, at which CT(τ) = 7.41 exactly. Secondary effluent decays faster (k = 0.261), so the same 3-log target needs τ = 10.26 min — a longer, costlier contactor. Colorado’s residual requirement (expr2) makes it the binding term there, lifting r to 0.59 even though the 1-log CT alone would need less.</w:t>
      </w:r>
    </w:p>
    <w:p>
      <w:pPr>
        <w:spacing w:after="120" w:before="0"/>
      </w:pPr>
      <w:r>
        <w:rPr>
          <w:b w:val="0"/>
          <w:i w:val="0"/>
          <w:sz w:val="21"/>
        </w:rPr>
        <w:t>Feed-flow independence: the ozone design (τ, r) is unchanged from 2 to 100 MGD, because equations (1)–(8) depend on the TOC concentration, the required LRV, and τ — not on the volumetric flow. Only the ozone mass flow (10) and power (11) scale with Q.</w:t>
      </w:r>
    </w:p>
    <w:p>
      <w:pPr>
        <w:pStyle w:val="Heading1"/>
      </w:pPr>
      <w:r>
        <w:t>10. Parameters and constants</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val="clear" w:fill="2F5496"/>
          </w:tcPr>
          <w:p>
            <w:r/>
            <w:r>
              <w:rPr>
                <w:b/>
                <w:color w:val="FFFFFF"/>
                <w:sz w:val="18"/>
              </w:rPr>
              <w:t>Parameter</w:t>
            </w:r>
          </w:p>
        </w:tc>
        <w:tc>
          <w:tcPr>
            <w:tcW w:type="dxa" w:w="2880"/>
            <w:shd w:val="clear" w:fill="2F5496"/>
          </w:tcPr>
          <w:p>
            <w:r/>
            <w:r>
              <w:rPr>
                <w:b/>
                <w:color w:val="FFFFFF"/>
                <w:sz w:val="18"/>
              </w:rPr>
              <w:t>Value</w:t>
            </w:r>
          </w:p>
        </w:tc>
        <w:tc>
          <w:tcPr>
            <w:tcW w:type="dxa" w:w="2016"/>
            <w:shd w:val="clear" w:fill="2F5496"/>
          </w:tcPr>
          <w:p>
            <w:r/>
            <w:r>
              <w:rPr>
                <w:b/>
                <w:color w:val="FFFFFF"/>
                <w:sz w:val="18"/>
              </w:rPr>
              <w:t>Unit</w:t>
            </w:r>
          </w:p>
        </w:tc>
        <w:tc>
          <w:tcPr>
            <w:tcW w:type="dxa" w:w="2592"/>
            <w:shd w:val="clear" w:fill="2F5496"/>
          </w:tcPr>
          <w:p>
            <w:r/>
            <w:r>
              <w:rPr>
                <w:b/>
                <w:color w:val="FFFFFF"/>
                <w:sz w:val="18"/>
              </w:rPr>
              <w:t>Source</w:t>
            </w:r>
          </w:p>
        </w:tc>
      </w:tr>
      <w:tr>
        <w:tc>
          <w:tcPr>
            <w:tcW w:type="dxa" w:w="3456"/>
          </w:tcPr>
          <w:p>
            <w:pPr>
              <w:spacing w:after="0"/>
            </w:pPr>
            <w:r/>
            <w:r>
              <w:rPr>
                <w:sz w:val="18"/>
              </w:rPr>
              <w:t>CT credit slope (Crypto)</w:t>
            </w:r>
          </w:p>
        </w:tc>
        <w:tc>
          <w:tcPr>
            <w:tcW w:type="dxa" w:w="2880"/>
          </w:tcPr>
          <w:p>
            <w:pPr>
              <w:spacing w:after="0"/>
            </w:pPr>
            <w:r/>
            <w:r>
              <w:rPr>
                <w:sz w:val="18"/>
              </w:rPr>
              <w:t>2.47</w:t>
            </w:r>
          </w:p>
        </w:tc>
        <w:tc>
          <w:tcPr>
            <w:tcW w:type="dxa" w:w="2016"/>
          </w:tcPr>
          <w:p>
            <w:pPr>
              <w:spacing w:after="0"/>
            </w:pPr>
            <w:r/>
            <w:r>
              <w:rPr>
                <w:sz w:val="18"/>
              </w:rPr>
              <w:t>mg·min/L per log</w:t>
            </w:r>
          </w:p>
        </w:tc>
        <w:tc>
          <w:tcPr>
            <w:tcW w:type="dxa" w:w="2592"/>
          </w:tcPr>
          <w:p>
            <w:pPr>
              <w:spacing w:after="0"/>
            </w:pPr>
            <w:r/>
            <w:r>
              <w:rPr>
                <w:sz w:val="18"/>
              </w:rPr>
              <w:t>code</w:t>
            </w:r>
          </w:p>
        </w:tc>
      </w:tr>
      <w:tr>
        <w:tc>
          <w:tcPr>
            <w:tcW w:type="dxa" w:w="3456"/>
          </w:tcPr>
          <w:p>
            <w:pPr>
              <w:spacing w:after="0"/>
            </w:pPr>
            <w:r/>
            <w:r>
              <w:rPr>
                <w:sz w:val="18"/>
              </w:rPr>
              <w:t>k, tertiary</w:t>
            </w:r>
          </w:p>
        </w:tc>
        <w:tc>
          <w:tcPr>
            <w:tcW w:type="dxa" w:w="2880"/>
          </w:tcPr>
          <w:p>
            <w:pPr>
              <w:spacing w:after="0"/>
            </w:pPr>
            <w:r/>
            <w:r>
              <w:rPr>
                <w:sz w:val="18"/>
              </w:rPr>
              <w:t>−0.6422·r + 0.8342</w:t>
            </w:r>
          </w:p>
        </w:tc>
        <w:tc>
          <w:tcPr>
            <w:tcW w:type="dxa" w:w="2016"/>
          </w:tcPr>
          <w:p>
            <w:pPr>
              <w:spacing w:after="0"/>
            </w:pPr>
            <w:r/>
            <w:r>
              <w:rPr>
                <w:sz w:val="18"/>
              </w:rPr>
              <w:t>min⁻¹</w:t>
            </w:r>
          </w:p>
        </w:tc>
        <w:tc>
          <w:tcPr>
            <w:tcW w:type="dxa" w:w="2592"/>
          </w:tcPr>
          <w:p>
            <w:pPr>
              <w:spacing w:after="0"/>
            </w:pPr>
            <w:r/>
            <w:r>
              <w:rPr>
                <w:sz w:val="18"/>
              </w:rPr>
              <w:t>code (Gerrity fit)</w:t>
            </w:r>
          </w:p>
        </w:tc>
      </w:tr>
      <w:tr>
        <w:tc>
          <w:tcPr>
            <w:tcW w:type="dxa" w:w="3456"/>
          </w:tcPr>
          <w:p>
            <w:pPr>
              <w:spacing w:after="0"/>
            </w:pPr>
            <w:r/>
            <w:r>
              <w:rPr>
                <w:sz w:val="18"/>
              </w:rPr>
              <w:t>k, secondary</w:t>
            </w:r>
          </w:p>
        </w:tc>
        <w:tc>
          <w:tcPr>
            <w:tcW w:type="dxa" w:w="2880"/>
          </w:tcPr>
          <w:p>
            <w:pPr>
              <w:spacing w:after="0"/>
            </w:pPr>
            <w:r/>
            <w:r>
              <w:rPr>
                <w:sz w:val="18"/>
              </w:rPr>
              <w:t>−0.2637·r + 0.5251</w:t>
            </w:r>
          </w:p>
        </w:tc>
        <w:tc>
          <w:tcPr>
            <w:tcW w:type="dxa" w:w="2016"/>
          </w:tcPr>
          <w:p>
            <w:pPr>
              <w:spacing w:after="0"/>
            </w:pPr>
            <w:r/>
            <w:r>
              <w:rPr>
                <w:sz w:val="18"/>
              </w:rPr>
              <w:t>min⁻¹</w:t>
            </w:r>
          </w:p>
        </w:tc>
        <w:tc>
          <w:tcPr>
            <w:tcW w:type="dxa" w:w="2592"/>
          </w:tcPr>
          <w:p>
            <w:pPr>
              <w:spacing w:after="0"/>
            </w:pPr>
            <w:r/>
            <w:r>
              <w:rPr>
                <w:sz w:val="18"/>
              </w:rPr>
              <w:t>code (Gerrity fit)</w:t>
            </w:r>
          </w:p>
        </w:tc>
      </w:tr>
      <w:tr>
        <w:tc>
          <w:tcPr>
            <w:tcW w:type="dxa" w:w="3456"/>
          </w:tcPr>
          <w:p>
            <w:pPr>
              <w:spacing w:after="0"/>
            </w:pPr>
            <w:r/>
            <w:r>
              <w:rPr>
                <w:sz w:val="18"/>
              </w:rPr>
              <w:t>C₃₀ vs r (Pang 2023)</w:t>
            </w:r>
          </w:p>
        </w:tc>
        <w:tc>
          <w:tcPr>
            <w:tcW w:type="dxa" w:w="2880"/>
          </w:tcPr>
          <w:p>
            <w:pPr>
              <w:spacing w:after="0"/>
            </w:pPr>
            <w:r/>
            <w:r>
              <w:rPr>
                <w:sz w:val="18"/>
              </w:rPr>
              <w:t>0.704·r + 1.136</w:t>
            </w:r>
          </w:p>
        </w:tc>
        <w:tc>
          <w:tcPr>
            <w:tcW w:type="dxa" w:w="2016"/>
          </w:tcPr>
          <w:p>
            <w:pPr>
              <w:spacing w:after="0"/>
            </w:pPr>
            <w:r/>
            <w:r>
              <w:rPr>
                <w:sz w:val="18"/>
              </w:rPr>
              <w:t>mg/L</w:t>
            </w:r>
          </w:p>
        </w:tc>
        <w:tc>
          <w:tcPr>
            <w:tcW w:type="dxa" w:w="2592"/>
          </w:tcPr>
          <w:p>
            <w:pPr>
              <w:spacing w:after="0"/>
            </w:pPr>
            <w:r/>
            <w:r>
              <w:rPr>
                <w:sz w:val="18"/>
              </w:rPr>
              <w:t>code</w:t>
            </w:r>
          </w:p>
        </w:tc>
      </w:tr>
      <w:tr>
        <w:tc>
          <w:tcPr>
            <w:tcW w:type="dxa" w:w="3456"/>
          </w:tcPr>
          <w:p>
            <w:pPr>
              <w:spacing w:after="0"/>
            </w:pPr>
            <w:r/>
            <w:r>
              <w:rPr>
                <w:sz w:val="18"/>
              </w:rPr>
              <w:t>O3:TOC lower floor</w:t>
            </w:r>
          </w:p>
        </w:tc>
        <w:tc>
          <w:tcPr>
            <w:tcW w:type="dxa" w:w="2880"/>
          </w:tcPr>
          <w:p>
            <w:pPr>
              <w:spacing w:after="0"/>
            </w:pPr>
            <w:r/>
            <w:r>
              <w:rPr>
                <w:sz w:val="18"/>
              </w:rPr>
              <w:t>0.5</w:t>
            </w:r>
          </w:p>
        </w:tc>
        <w:tc>
          <w:tcPr>
            <w:tcW w:type="dxa" w:w="2016"/>
          </w:tcPr>
          <w:p>
            <w:pPr>
              <w:spacing w:after="0"/>
            </w:pPr>
            <w:r/>
            <w:r>
              <w:rPr>
                <w:sz w:val="18"/>
              </w:rPr>
              <w:t>–</w:t>
            </w:r>
          </w:p>
        </w:tc>
        <w:tc>
          <w:tcPr>
            <w:tcW w:type="dxa" w:w="2592"/>
          </w:tcPr>
          <w:p>
            <w:pPr>
              <w:spacing w:after="0"/>
            </w:pPr>
            <w:r/>
            <w:r>
              <w:rPr>
                <w:sz w:val="18"/>
              </w:rPr>
              <w:t>code</w:t>
            </w:r>
          </w:p>
        </w:tc>
      </w:tr>
      <w:tr>
        <w:tc>
          <w:tcPr>
            <w:tcW w:type="dxa" w:w="3456"/>
          </w:tcPr>
          <w:p>
            <w:pPr>
              <w:spacing w:after="0"/>
            </w:pPr>
            <w:r/>
            <w:r>
              <w:rPr>
                <w:sz w:val="18"/>
              </w:rPr>
              <w:t>O3:TOC, California</w:t>
            </w:r>
          </w:p>
        </w:tc>
        <w:tc>
          <w:tcPr>
            <w:tcW w:type="dxa" w:w="2880"/>
          </w:tcPr>
          <w:p>
            <w:pPr>
              <w:spacing w:after="0"/>
            </w:pPr>
            <w:r/>
            <w:r>
              <w:rPr>
                <w:sz w:val="18"/>
              </w:rPr>
              <w:t>1.0 (fixed)</w:t>
            </w:r>
          </w:p>
        </w:tc>
        <w:tc>
          <w:tcPr>
            <w:tcW w:type="dxa" w:w="2016"/>
          </w:tcPr>
          <w:p>
            <w:pPr>
              <w:spacing w:after="0"/>
            </w:pPr>
            <w:r/>
            <w:r>
              <w:rPr>
                <w:sz w:val="18"/>
              </w:rPr>
              <w:t>–</w:t>
            </w:r>
          </w:p>
        </w:tc>
        <w:tc>
          <w:tcPr>
            <w:tcW w:type="dxa" w:w="2592"/>
          </w:tcPr>
          <w:p>
            <w:pPr>
              <w:spacing w:after="0"/>
            </w:pPr>
            <w:r/>
            <w:r>
              <w:rPr>
                <w:sz w:val="18"/>
              </w:rPr>
              <w:t>code</w:t>
            </w:r>
          </w:p>
        </w:tc>
      </w:tr>
      <w:tr>
        <w:tc>
          <w:tcPr>
            <w:tcW w:type="dxa" w:w="3456"/>
          </w:tcPr>
          <w:p>
            <w:pPr>
              <w:spacing w:after="0"/>
            </w:pPr>
            <w:r/>
            <w:r>
              <w:rPr>
                <w:sz w:val="18"/>
              </w:rPr>
              <w:t>HRT bounds</w:t>
            </w:r>
          </w:p>
        </w:tc>
        <w:tc>
          <w:tcPr>
            <w:tcW w:type="dxa" w:w="2880"/>
          </w:tcPr>
          <w:p>
            <w:pPr>
              <w:spacing w:after="0"/>
            </w:pPr>
            <w:r/>
            <w:r>
              <w:rPr>
                <w:sz w:val="18"/>
              </w:rPr>
              <w:t>5 – 15</w:t>
            </w:r>
          </w:p>
        </w:tc>
        <w:tc>
          <w:tcPr>
            <w:tcW w:type="dxa" w:w="2016"/>
          </w:tcPr>
          <w:p>
            <w:pPr>
              <w:spacing w:after="0"/>
            </w:pPr>
            <w:r/>
            <w:r>
              <w:rPr>
                <w:sz w:val="18"/>
              </w:rPr>
              <w:t>min</w:t>
            </w:r>
          </w:p>
        </w:tc>
        <w:tc>
          <w:tcPr>
            <w:tcW w:type="dxa" w:w="2592"/>
          </w:tcPr>
          <w:p>
            <w:pPr>
              <w:spacing w:after="0"/>
            </w:pPr>
            <w:r/>
            <w:r>
              <w:rPr>
                <w:sz w:val="18"/>
              </w:rPr>
              <w:t>flowsheet / SI</w:t>
            </w:r>
          </w:p>
        </w:tc>
      </w:tr>
      <w:tr>
        <w:tc>
          <w:tcPr>
            <w:tcW w:type="dxa" w:w="3456"/>
          </w:tcPr>
          <w:p>
            <w:pPr>
              <w:spacing w:after="0"/>
            </w:pPr>
            <w:r/>
            <w:r>
              <w:rPr>
                <w:sz w:val="18"/>
              </w:rPr>
              <w:t>Outlet residual (CO)</w:t>
            </w:r>
          </w:p>
        </w:tc>
        <w:tc>
          <w:tcPr>
            <w:tcW w:type="dxa" w:w="2880"/>
          </w:tcPr>
          <w:p>
            <w:pPr>
              <w:spacing w:after="0"/>
            </w:pPr>
            <w:r/>
            <w:r>
              <w:rPr>
                <w:sz w:val="18"/>
              </w:rPr>
              <w:t>0.2</w:t>
            </w:r>
          </w:p>
        </w:tc>
        <w:tc>
          <w:tcPr>
            <w:tcW w:type="dxa" w:w="2016"/>
          </w:tcPr>
          <w:p>
            <w:pPr>
              <w:spacing w:after="0"/>
            </w:pPr>
            <w:r/>
            <w:r>
              <w:rPr>
                <w:sz w:val="18"/>
              </w:rPr>
              <w:t>mg/L</w:t>
            </w:r>
          </w:p>
        </w:tc>
        <w:tc>
          <w:tcPr>
            <w:tcW w:type="dxa" w:w="2592"/>
          </w:tcPr>
          <w:p>
            <w:pPr>
              <w:spacing w:after="0"/>
            </w:pPr>
            <w:r/>
            <w:r>
              <w:rPr>
                <w:sz w:val="18"/>
              </w:rPr>
              <w:t>code</w:t>
            </w:r>
          </w:p>
        </w:tc>
      </w:tr>
      <w:tr>
        <w:tc>
          <w:tcPr>
            <w:tcW w:type="dxa" w:w="3456"/>
          </w:tcPr>
          <w:p>
            <w:pPr>
              <w:spacing w:after="0"/>
            </w:pPr>
            <w:r/>
            <w:r>
              <w:rPr>
                <w:sz w:val="18"/>
              </w:rPr>
              <w:t>Mass-transfer efficiency η</w:t>
            </w:r>
          </w:p>
        </w:tc>
        <w:tc>
          <w:tcPr>
            <w:tcW w:type="dxa" w:w="2880"/>
          </w:tcPr>
          <w:p>
            <w:pPr>
              <w:spacing w:after="0"/>
            </w:pPr>
            <w:r/>
            <w:r>
              <w:rPr>
                <w:sz w:val="18"/>
              </w:rPr>
              <w:t>1.0</w:t>
            </w:r>
          </w:p>
        </w:tc>
        <w:tc>
          <w:tcPr>
            <w:tcW w:type="dxa" w:w="2016"/>
          </w:tcPr>
          <w:p>
            <w:pPr>
              <w:spacing w:after="0"/>
            </w:pPr>
            <w:r/>
            <w:r>
              <w:rPr>
                <w:sz w:val="18"/>
              </w:rPr>
              <w:t>–</w:t>
            </w:r>
          </w:p>
        </w:tc>
        <w:tc>
          <w:tcPr>
            <w:tcW w:type="dxa" w:w="2592"/>
          </w:tcPr>
          <w:p>
            <w:pPr>
              <w:spacing w:after="0"/>
            </w:pPr>
            <w:r/>
            <w:r>
              <w:rPr>
                <w:sz w:val="18"/>
              </w:rPr>
              <w:t>yaml</w:t>
            </w:r>
          </w:p>
        </w:tc>
      </w:tr>
      <w:tr>
        <w:tc>
          <w:tcPr>
            <w:tcW w:type="dxa" w:w="3456"/>
          </w:tcPr>
          <w:p>
            <w:pPr>
              <w:spacing w:after="0"/>
            </w:pPr>
            <w:r/>
            <w:r>
              <w:rPr>
                <w:sz w:val="18"/>
              </w:rPr>
              <w:t>Specific energy SEC</w:t>
            </w:r>
          </w:p>
        </w:tc>
        <w:tc>
          <w:tcPr>
            <w:tcW w:type="dxa" w:w="2880"/>
          </w:tcPr>
          <w:p>
            <w:pPr>
              <w:spacing w:after="0"/>
            </w:pPr>
            <w:r/>
            <w:r>
              <w:rPr>
                <w:sz w:val="18"/>
              </w:rPr>
              <w:t>5</w:t>
            </w:r>
          </w:p>
        </w:tc>
        <w:tc>
          <w:tcPr>
            <w:tcW w:type="dxa" w:w="2016"/>
          </w:tcPr>
          <w:p>
            <w:pPr>
              <w:spacing w:after="0"/>
            </w:pPr>
            <w:r/>
            <w:r>
              <w:rPr>
                <w:sz w:val="18"/>
              </w:rPr>
              <w:t>kWh/lb</w:t>
            </w:r>
          </w:p>
        </w:tc>
        <w:tc>
          <w:tcPr>
            <w:tcW w:type="dxa" w:w="2592"/>
          </w:tcPr>
          <w:p>
            <w:pPr>
              <w:spacing w:after="0"/>
            </w:pPr>
            <w:r/>
            <w:r>
              <w:rPr>
                <w:sz w:val="18"/>
              </w:rPr>
              <w:t>yaml (Mundy 2018)</w:t>
            </w:r>
          </w:p>
        </w:tc>
      </w:tr>
      <w:tr>
        <w:tc>
          <w:tcPr>
            <w:tcW w:type="dxa" w:w="3456"/>
          </w:tcPr>
          <w:p>
            <w:pPr>
              <w:spacing w:after="0"/>
            </w:pPr>
            <w:r/>
            <w:r>
              <w:rPr>
                <w:sz w:val="18"/>
              </w:rPr>
              <w:t>Nitrite → N factor</w:t>
            </w:r>
          </w:p>
        </w:tc>
        <w:tc>
          <w:tcPr>
            <w:tcW w:type="dxa" w:w="2880"/>
          </w:tcPr>
          <w:p>
            <w:pPr>
              <w:spacing w:after="0"/>
            </w:pPr>
            <w:r/>
            <w:r>
              <w:rPr>
                <w:sz w:val="18"/>
              </w:rPr>
              <w:t>14.0067 / 46.0055</w:t>
            </w:r>
          </w:p>
        </w:tc>
        <w:tc>
          <w:tcPr>
            <w:tcW w:type="dxa" w:w="2016"/>
          </w:tcPr>
          <w:p>
            <w:pPr>
              <w:spacing w:after="0"/>
            </w:pPr>
            <w:r/>
            <w:r>
              <w:rPr>
                <w:sz w:val="18"/>
              </w:rPr>
              <w:t>–</w:t>
            </w:r>
          </w:p>
        </w:tc>
        <w:tc>
          <w:tcPr>
            <w:tcW w:type="dxa" w:w="2592"/>
          </w:tcPr>
          <w:p>
            <w:pPr>
              <w:spacing w:after="0"/>
            </w:pPr>
            <w:r/>
            <w:r>
              <w:rPr>
                <w:sz w:val="18"/>
              </w:rPr>
              <w:t>code</w:t>
            </w:r>
          </w:p>
        </w:tc>
      </w:tr>
    </w:tbl>
    <w:p>
      <w:pPr>
        <w:pStyle w:val="Heading1"/>
      </w:pPr>
      <w:r>
        <w:t>11. Notes</w:t>
      </w:r>
    </w:p>
    <w:p>
      <w:pPr>
        <w:pStyle w:val="ListNumber"/>
      </w:pPr>
      <w:r>
        <w:t>Secondary vs. tertiary are handled by the same equations through k (1a/1b); no separate polynomial fit is required. This is the key change from the earlier polynomial model (OzoneDPRZOv0), whose contact_time polynomials were fit to the tertiary k only.</w:t>
      </w:r>
    </w:p>
    <w:p>
      <w:pPr>
        <w:pStyle w:val="ListNumber"/>
      </w:pPr>
      <w:r>
        <w:t>Physical feasibility: the maximum achievable Crypto LRV at r = 1.0 and τ = 15 min is ≈ 3.6 log (tertiary) and ≈ 3.0 log (secondary). A required LRV above this makes the problem infeasible (the O3:TOC equation would need r &gt; 1.0, or the CA CT equation cannot be met), which surfaces as a solve failure rather than a silent under-design.</w:t>
      </w:r>
    </w:p>
    <w:p>
      <w:pPr>
        <w:pStyle w:val="ListNumber"/>
      </w:pPr>
      <w:r>
        <w:t>Bromate is not modeled as an explicit constraint; keeping r within 0.5–1.0 holds bromate below its MCL by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