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ezv9mv873o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GRC REPORT, EXECUTIVE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ecza02wb6y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evaluates the governance, risk, and compliance (GRC) implications of four simulated cyberattack scenarios: a document-based exploit (Follina), a brute-force attack, a phishing attack, and an insider-related web application attack (Shiba Insider). The objective is to assess business impact, determine risk levels, evaluate compliance obligations, and recommend security controls to strengthen the organization’s security posture.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demil0w74ap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IMPACT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identified attacks expose the organization to significant operational and security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3nwa6eo97w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Impacts Identified: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Unauthorized Access:</w:t>
      </w:r>
      <w:r w:rsidDel="00000000" w:rsidR="00000000" w:rsidRPr="00000000">
        <w:rPr>
          <w:rtl w:val="0"/>
        </w:rPr>
        <w:t xml:space="preserve"> Attackers may gain access to critical systems and accounts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Breach Risk:</w:t>
      </w:r>
      <w:r w:rsidDel="00000000" w:rsidR="00000000" w:rsidRPr="00000000">
        <w:rPr>
          <w:rtl w:val="0"/>
        </w:rPr>
        <w:t xml:space="preserve"> Exposure of sensitive or personally identifiable information (PII)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Loss:</w:t>
      </w:r>
      <w:r w:rsidDel="00000000" w:rsidR="00000000" w:rsidRPr="00000000">
        <w:rPr>
          <w:rtl w:val="0"/>
        </w:rPr>
        <w:t xml:space="preserve"> Potential costs from incident response, downtime, and penalties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Reputational Damage:</w:t>
      </w:r>
      <w:r w:rsidDel="00000000" w:rsidR="00000000" w:rsidRPr="00000000">
        <w:rPr>
          <w:rtl w:val="0"/>
        </w:rPr>
        <w:t xml:space="preserve"> Loss of customer trust and brand credibility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Disruption:</w:t>
      </w:r>
      <w:r w:rsidDel="00000000" w:rsidR="00000000" w:rsidRPr="00000000">
        <w:rPr>
          <w:rtl w:val="0"/>
        </w:rPr>
        <w:t xml:space="preserve"> Systems may be compromised or rendered unavailable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Internal Network Exploitation:</w:t>
      </w:r>
      <w:r w:rsidDel="00000000" w:rsidR="00000000" w:rsidRPr="00000000">
        <w:rPr>
          <w:rtl w:val="0"/>
        </w:rPr>
        <w:t xml:space="preserve"> The insider scenario shows that internal systems can be targeted, increasing risk of lateral movement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attack scenario demonstrates how common vulnerabilities can escalate into major business risks if not properly controlled.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i36sqkvw6t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LEVEL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qualitative risk assessment was conducted based on likelihood and impact.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Follina Exploit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Brute Force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Phishing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Shiba Insider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jy4l9kwulty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External attacks (phishing, brute force, exploitation) present critical risk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or insider-based attack presents high risk, especially due to trust within internal networks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2brbtz8lc9o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COMPLIANCE IMPLICATIONS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incidents were evaluated against the General Data Protection Regulation.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zxt0ti055a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Considerations: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of user credentials through phishing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 via brute force or exploitation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interception of unencrypted internal communication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data leakage through vulnerable web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2ca816ma90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Implications: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incidents may qualify as</w:t>
      </w:r>
      <w:r w:rsidDel="00000000" w:rsidR="00000000" w:rsidRPr="00000000">
        <w:rPr>
          <w:rtl w:val="0"/>
        </w:rPr>
        <w:t xml:space="preserve"> reportable data breachesif personal data is involved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may be required to report incidents within</w:t>
      </w:r>
      <w:r w:rsidDel="00000000" w:rsidR="00000000" w:rsidRPr="00000000">
        <w:rPr>
          <w:rtl w:val="0"/>
        </w:rPr>
        <w:t xml:space="preserve"> 72 hours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Non-compliance may result in: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penalties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consequences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Regulatory sanctions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ulez3v3kvkm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CONTROLS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identified risks and control failures, the following measures are recommended: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xnu381xg8e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Controls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Multi-Factor Authentication (MFA) across all user accounts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 secure email gateways with phishing detection capabilities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Enable Endpoint Detection and Response (EDR) solutions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Enforce account lockout policies after multiple failed login attempts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SPF, DKIM, and DMARC to prevent email spoofing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4puy5xvfrd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Improvements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Establish a robust patch management process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network monitoring and traffic analysis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Enable logging and alerting for abnormal internal activity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Strengthen web application security testing (e.g., input validation checks)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firewalls and intrusion detection systems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internal communications for suspicious behavior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Enforce secure configuration of servers and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u13rkruw5n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Needs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regular </w:t>
      </w:r>
      <w:r w:rsidDel="00000000" w:rsidR="00000000" w:rsidRPr="00000000">
        <w:rPr>
          <w:b w:val="1"/>
          <w:bCs w:val="1"/>
          <w:rtl w:val="0"/>
        </w:rPr>
        <w:t xml:space="preserve">security awareness training</w:t>
      </w:r>
      <w:r w:rsidDel="00000000" w:rsidR="00000000" w:rsidRPr="00000000">
        <w:rPr>
          <w:rtl w:val="0"/>
        </w:rPr>
        <w:t xml:space="preserve"> for employees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phishing simulation exercises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Promote awareness of risks from internal threats and misuse of systems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 users on: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Identifying suspicious emails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Verifying links and sender addresses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handling of attachments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n5z92847dpl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of the four attack scenarios demonstrates that both external and internal threats can significantly impact an organization if appropriate controls are not in place.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external attacks exploit weak authentication and user behavior, the insider scenario highlights the risks associated with unmonitored internal activity and insecure web applications.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Implementing layered security controls, enforcing secure development practices, and strengthening user awareness will significantly reduce the organization’s exposure to cyber threats and improve overall resilience.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