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4304A"/>
          <w:sz w:val="40"/>
          <w:szCs w:val="40"/>
        </w:rPr>
        <w:t xml:space="preserve">Customer Shopping Behavior Analysis</w:t>
      </w:r>
    </w:p>
    <w:p>
      <w:pPr>
        <w:spacing w:after="100" w:before="0" w:line="252"/>
      </w:pPr>
      <w:r>
        <w:rPr>
          <w:rFonts w:ascii="Calibri" w:cs="Calibri" w:eastAsia="Calibri" w:hAnsi="Calibri"/>
          <w:color w:val="5B6676"/>
          <w:sz w:val="18"/>
          <w:szCs w:val="18"/>
        </w:rPr>
        <w:t xml:space="preserve">Findings and recommendations  |  10,000 orders, 2,581 customers, 20 Indian cities  |  January 2023 to December 2024</w:t>
      </w:r>
    </w:p>
    <w:tbl>
      <w:tblPr>
        <w:tblW w:type="dxa" w:w="98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1648"/>
        <w:gridCol w:w="1648"/>
        <w:gridCol w:w="1648"/>
        <w:gridCol w:w="1648"/>
        <w:gridCol w:w="1648"/>
      </w:tblGrid>
      <w:tr>
        <w:tc>
          <w:tcPr>
            <w:tcW w:type="dxa" w:w="164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E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30"/>
                <w:szCs w:val="30"/>
              </w:rPr>
              <w:t xml:space="preserve">₹18.90M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color w:val="5B6676"/>
                <w:sz w:val="15"/>
                <w:szCs w:val="15"/>
              </w:rPr>
              <w:t xml:space="preserve">Total revenue</w:t>
            </w:r>
          </w:p>
        </w:tc>
        <w:tc>
          <w:tcPr>
            <w:tcW w:type="dxa" w:w="164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E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30"/>
                <w:szCs w:val="30"/>
              </w:rPr>
              <w:t xml:space="preserve">10,000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color w:val="5B6676"/>
                <w:sz w:val="15"/>
                <w:szCs w:val="15"/>
              </w:rPr>
              <w:t xml:space="preserve">Orders</w:t>
            </w:r>
          </w:p>
        </w:tc>
        <w:tc>
          <w:tcPr>
            <w:tcW w:type="dxa" w:w="164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E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30"/>
                <w:szCs w:val="30"/>
              </w:rPr>
              <w:t xml:space="preserve">₹1,890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color w:val="5B6676"/>
                <w:sz w:val="15"/>
                <w:szCs w:val="15"/>
              </w:rPr>
              <w:t xml:space="preserve">Avg order value</w:t>
            </w:r>
          </w:p>
        </w:tc>
        <w:tc>
          <w:tcPr>
            <w:tcW w:type="dxa" w:w="164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E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30"/>
                <w:szCs w:val="30"/>
              </w:rPr>
              <w:t xml:space="preserve">18.0%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color w:val="5B6676"/>
                <w:sz w:val="15"/>
                <w:szCs w:val="15"/>
              </w:rPr>
              <w:t xml:space="preserve">Return rate</w:t>
            </w:r>
          </w:p>
        </w:tc>
        <w:tc>
          <w:tcPr>
            <w:tcW w:type="dxa" w:w="164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E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30"/>
                <w:szCs w:val="30"/>
              </w:rPr>
              <w:t xml:space="preserve">3.87 / 5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color w:val="5B6676"/>
                <w:sz w:val="15"/>
                <w:szCs w:val="15"/>
              </w:rPr>
              <w:t xml:space="preserve">Avg review rating</w:t>
            </w:r>
          </w:p>
        </w:tc>
        <w:tc>
          <w:tcPr>
            <w:tcW w:type="dxa" w:w="164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EEF3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203A"/>
                <w:sz w:val="30"/>
                <w:szCs w:val="30"/>
              </w:rPr>
              <w:t xml:space="preserve">−1.4%</w:t>
            </w:r>
          </w:p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color w:val="5B6676"/>
                <w:sz w:val="15"/>
                <w:szCs w:val="15"/>
              </w:rPr>
              <w:t xml:space="preserve">Revenue growth, 2024 vs 2023</w:t>
            </w:r>
          </w:p>
        </w:tc>
      </w:tr>
    </w:tbl>
    <w:p>
      <w:pPr>
        <w:keepNext/>
        <w:pBdr>
          <w:bottom w:val="single" w:color="0F6E6E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4304A"/>
          <w:sz w:val="23"/>
          <w:szCs w:val="23"/>
        </w:rPr>
        <w:t xml:space="preserve">Executive summary</w:t>
      </w:r>
    </w:p>
    <w:p>
      <w:pPr>
        <w:spacing w:after="60" w:before="0" w:line="252"/>
      </w:pPr>
      <w:r>
        <w:rPr>
          <w:rFonts w:ascii="Calibri" w:cs="Calibri" w:eastAsia="Calibri" w:hAnsi="Calibri"/>
          <w:sz w:val="19"/>
          <w:szCs w:val="19"/>
        </w:rPr>
        <w:t xml:space="preserve">Revenue is flat at ₹18.90M (down 1.4% year on year) and the business is leaning on customers it already has: new-customer intake fell 72% in 2024, and 83% of 2024 revenue came from customers acquired in 2023. At the same time, 30% of all orders arrive six or more days late, which cuts ratings from 4.08 to 3.42 and lifts returns from 16.5% to 21.8%. Sale events add volume but lower the value of each order by 41%. The biggest and cheapest wins are faster delivery, a rebuilt acquisition engine, and protecting the 31% of customers who generate two-thirds of revenue.</w:t>
      </w:r>
    </w:p>
    <w:p>
      <w:pPr>
        <w:keepNext/>
        <w:pBdr>
          <w:bottom w:val="single" w:color="0F6E6E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4304A"/>
          <w:sz w:val="23"/>
          <w:szCs w:val="23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b/>
          <w:bCs/>
          <w:color w:val="14304A"/>
          <w:sz w:val="19"/>
          <w:szCs w:val="19"/>
        </w:rPr>
        <w:t xml:space="preserve">Revenue is flat, with sale-driven peaks. </w:t>
      </w:r>
      <w:r>
        <w:rPr>
          <w:rFonts w:ascii="Calibri" w:cs="Calibri" w:eastAsia="Calibri" w:hAnsi="Calibri"/>
          <w:sz w:val="19"/>
          <w:szCs w:val="19"/>
        </w:rPr>
        <w:t xml:space="preserve">2023 revenue was ₹9.51M and 2024 was ₹9.38M. The five months that beat their 3-month average by more than 8% were all sale-event months. A no-change baseline for 2025 is about ₹9.26M (range ₹8.67M to ₹9.84M); the seasonal-naive method back-tested better (6.3% error) than a linear trend (8.2%).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b/>
          <w:bCs/>
          <w:color w:val="14304A"/>
          <w:sz w:val="19"/>
          <w:szCs w:val="19"/>
        </w:rPr>
        <w:t xml:space="preserve">Sale events add volume, not value. </w:t>
      </w:r>
      <w:r>
        <w:rPr>
          <w:rFonts w:ascii="Calibri" w:cs="Calibri" w:eastAsia="Calibri" w:hAnsi="Calibri"/>
          <w:sz w:val="19"/>
          <w:szCs w:val="19"/>
        </w:rPr>
        <w:t xml:space="preserve">Events cover 16% of days but bring 32% of orders. Revenue per day is 44% higher (₹34.7K vs ₹24.1K) and orders per day are 2.4 times higher, but average order value drops from ₹2,175 to ₹1,286. Independence Day Sale performs best (+75% per day); Diwali and End of Season, the longest windows, lift only 17–18%.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b/>
          <w:bCs/>
          <w:color w:val="14304A"/>
          <w:sz w:val="19"/>
          <w:szCs w:val="19"/>
        </w:rPr>
        <w:t xml:space="preserve">Late delivery is measurable and fixable. </w:t>
      </w:r>
      <w:r>
        <w:rPr>
          <w:rFonts w:ascii="Calibri" w:cs="Calibri" w:eastAsia="Calibri" w:hAnsi="Calibri"/>
          <w:sz w:val="19"/>
          <w:szCs w:val="19"/>
        </w:rPr>
        <w:t xml:space="preserve">3,007 online orders (30% of all orders, ₹5.67M) took 6+ days. Their average rating is 3.42 vs 4.08 and their return rate is 21.8% vs 16.5%, about ₹299K of excess returned revenue. All late orders use Standard shipping (61% of Standard orders), while Express averages ₹56 against ₹53 and is never late.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b/>
          <w:bCs/>
          <w:color w:val="14304A"/>
          <w:sz w:val="19"/>
          <w:szCs w:val="19"/>
        </w:rPr>
        <w:t xml:space="preserve">Acquisition has collapsed. </w:t>
      </w:r>
      <w:r>
        <w:rPr>
          <w:rFonts w:ascii="Calibri" w:cs="Calibri" w:eastAsia="Calibri" w:hAnsi="Calibri"/>
          <w:sz w:val="19"/>
          <w:szCs w:val="19"/>
        </w:rPr>
        <w:t xml:space="preserve">New customers fell from 2,011 in 2023 to 570 in 2024 (−72%). Retention is 72.7% (1,463 of 2,011), and the 2023 base produced ₹7.79M (83%) of 2024 revenue against ₹1.59M from new customers. About 27.5% of customers have bought only once.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b/>
          <w:bCs/>
          <w:color w:val="14304A"/>
          <w:sz w:val="19"/>
          <w:szCs w:val="19"/>
        </w:rPr>
        <w:t xml:space="preserve">A small group carries the business. </w:t>
      </w:r>
      <w:r>
        <w:rPr>
          <w:rFonts w:ascii="Calibri" w:cs="Calibri" w:eastAsia="Calibri" w:hAnsi="Calibri"/>
          <w:sz w:val="19"/>
          <w:szCs w:val="19"/>
        </w:rPr>
        <w:t xml:space="preserve">Champions (264 customers, 34.4% of revenue) and Loyal customers (524, 31.6%) together make up 31% of the base and 66% of revenue. The 629 At Risk customers average 244 days since their last order; 547 customers are already Lost.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b/>
          <w:bCs/>
          <w:color w:val="14304A"/>
          <w:sz w:val="19"/>
          <w:szCs w:val="19"/>
        </w:rPr>
        <w:t xml:space="preserve">Footwear, metros and returns. </w:t>
      </w:r>
      <w:r>
        <w:rPr>
          <w:rFonts w:ascii="Calibri" w:cs="Calibri" w:eastAsia="Calibri" w:hAnsi="Calibri"/>
          <w:sz w:val="19"/>
          <w:szCs w:val="19"/>
        </w:rPr>
        <w:t xml:space="preserve">Footwear is 28% of orders but 42% of revenue. Seven metro cities deliver 64.5% of revenue. Overall, 18.0% of orders (₹3.51M, 18.6% of revenue) are returned, and 1–2 star orders are returned 48% of the time.</w:t>
      </w:r>
    </w:p>
    <w:p>
      <w:pPr>
        <w:spacing w:after="0" w:before="80"/>
        <w:jc w:val="center"/>
      </w:pPr>
      <w:r>
        <w:drawing>
          <wp:inline distT="0" distB="0" distL="0" distR="0">
            <wp:extent cx="6096000" cy="1933575"/>
            <wp:effectExtent t="0" r="0" b="0" l="0"/>
            <wp:docPr id="1" name="charts" descr="Monthly revenue 2023 vs 2024 and rating by delivery days" title="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pBdr>
          <w:bottom w:val="single" w:color="0F6E6E" w:sz="6" w:space="2"/>
        </w:pBdr>
        <w:spacing w:after="0"/>
      </w:pPr>
      <w:r>
        <w:rPr>
          <w:rFonts w:ascii="Calibri" w:cs="Calibri" w:eastAsia="Calibri" w:hAnsi="Calibri"/>
          <w:b/>
          <w:bCs/>
          <w:color w:val="14304A"/>
          <w:sz w:val="23"/>
          <w:szCs w:val="23"/>
        </w:rPr>
        <w:t xml:space="preserve">Recommendations</w:t>
      </w:r>
    </w:p>
    <w:p>
      <w:pPr>
        <w:spacing w:after="60" w:before="0" w:line="252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300"/>
        <w:gridCol w:w="6170"/>
      </w:tblGrid>
      <w:tr>
        <w:trPr>
          <w:tblHeader/>
        </w:trPr>
        <w:tc>
          <w:tcPr>
            <w:tcW w:type="dxa" w:w="42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1430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1430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7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1430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and expected impact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 Standard delivery first.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Set a 5-day target; offer a default or low-cost Express upgrade (about ₹3 more per order).</w:t>
            </w:r>
          </w:p>
        </w:tc>
        <w:tc>
          <w:tcPr>
            <w:tcW w:type="dxa" w:w="617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61% of Standard orders take 6+ days and every late order is Standard. Late orders rate 3.42 vs 4.08 and return 21.8% vs 16.5%, costing about ₹299K in excess returned revenue.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Rebuild customer acquisition.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Move part of the sale-event budget into acquisition channels and track new customers monthly.</w:t>
            </w:r>
          </w:p>
        </w:tc>
        <w:tc>
          <w:tcPr>
            <w:tcW w:type="dxa" w:w="617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customers fell from 2,011 (2023) to 570 (2024). Retention alone cannot grow a flat ₹9.4M business.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Protect and win back.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VIP perks for Champions and Loyal customers; a win-back campaign for the 629 At Risk customers.</w:t>
            </w:r>
          </w:p>
        </w:tc>
        <w:tc>
          <w:tcPr>
            <w:tcW w:type="dxa" w:w="617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Champions and Loyal are 31% of customers but 66% of revenue. Lifting retention from 72.7% to 80% brings back about 145 more of the 2023 customers.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Reshape the sale calendar.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Keep Independence Day, Amazon Summer and Holi; review the long Diwali and End of Season windows; add bundles and spend thresholds.</w:t>
            </w:r>
          </w:p>
        </w:tc>
        <w:tc>
          <w:tcPr>
            <w:tcW w:type="dxa" w:w="617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 days lift revenue per day 44% but cut order value 41% (₹1,286 vs ₹2,175). Best event +75%; Diwali and End of Season only +17–18%.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Lean into footwear.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Prioritise footwear stock, bundle accessories with it, and add size guidance to cut clothing returns.</w:t>
            </w:r>
          </w:p>
        </w:tc>
        <w:tc>
          <w:tcPr>
            <w:tcW w:type="dxa" w:w="617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Footwear is 28% of orders but 42% of revenue (AOV ₹2,785). Clothing returns run at 19.7% vs 12.8% for accessories.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Tighten governance and feedback.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Audit the discount data and trigger proactive support for late and 1–2 star orders.</w:t>
            </w:r>
          </w:p>
        </w:tc>
        <w:tc>
          <w:tcPr>
            <w:tcW w:type="dxa" w:w="617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6F8F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 w:line="23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Normal Day orders show a 45% average discount vs 7% on sale days, which is illogical. 1–2 star orders are returned 48% of the time vs 12% for 4–5 stars.</w:t>
            </w:r>
          </w:p>
        </w:tc>
      </w:tr>
    </w:tbl>
    <w:p>
      <w:pPr>
        <w:keepNext/>
        <w:pBdr>
          <w:bottom w:val="single" w:color="0F6E6E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4304A"/>
          <w:sz w:val="23"/>
          <w:szCs w:val="23"/>
        </w:rPr>
        <w:t xml:space="preserve">Limitations to keep in mind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b/>
          <w:bCs/>
          <w:color w:val="14304A"/>
          <w:sz w:val="19"/>
          <w:szCs w:val="19"/>
        </w:rPr>
        <w:t xml:space="preserve">Revenue is gross of returns. </w:t>
      </w:r>
      <w:r>
        <w:rPr>
          <w:rFonts w:ascii="Calibri" w:cs="Calibri" w:eastAsia="Calibri" w:hAnsi="Calibri"/>
          <w:sz w:val="19"/>
          <w:szCs w:val="19"/>
        </w:rPr>
        <w:t xml:space="preserve">The ₹18.90M includes ₹3.51M of returned orders, so net revenue after returns is about ₹15.4M.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b/>
          <w:bCs/>
          <w:color w:val="14304A"/>
          <w:sz w:val="19"/>
          <w:szCs w:val="19"/>
        </w:rPr>
        <w:t xml:space="preserve">Two years of history. </w:t>
      </w:r>
      <w:r>
        <w:rPr>
          <w:rFonts w:ascii="Calibri" w:cs="Calibri" w:eastAsia="Calibri" w:hAnsi="Calibri"/>
          <w:sz w:val="19"/>
          <w:szCs w:val="19"/>
        </w:rPr>
        <w:t xml:space="preserve">This allows only a single-factor baseline forecast, not a seasonal model, and cannot separate trend from one-off events.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b/>
          <w:bCs/>
          <w:color w:val="14304A"/>
          <w:sz w:val="19"/>
          <w:szCs w:val="19"/>
        </w:rPr>
        <w:t xml:space="preserve">Check the acquisition drop. </w:t>
      </w:r>
      <w:r>
        <w:rPr>
          <w:rFonts w:ascii="Calibri" w:cs="Calibri" w:eastAsia="Calibri" w:hAnsi="Calibri"/>
          <w:sz w:val="19"/>
          <w:szCs w:val="19"/>
        </w:rPr>
        <w:t xml:space="preserve">The −72% in new customers may partly reflect how the dataset was assembled; confirm with the data owner before acting on the full figure.</w:t>
      </w:r>
    </w:p>
    <w:p>
      <w:pPr>
        <w:pStyle w:val="ListParagraph"/>
        <w:numPr>
          <w:ilvl w:val="0"/>
          <w:numId w:val="2"/>
        </w:numPr>
        <w:spacing w:after="50" w:line="248"/>
      </w:pPr>
      <w:r>
        <w:rPr>
          <w:rFonts w:ascii="Calibri" w:cs="Calibri" w:eastAsia="Calibri" w:hAnsi="Calibri"/>
          <w:b/>
          <w:bCs/>
          <w:color w:val="14304A"/>
          <w:sz w:val="19"/>
          <w:szCs w:val="19"/>
        </w:rPr>
        <w:t xml:space="preserve">No cost, margin or marketing data. </w:t>
      </w:r>
      <w:r>
        <w:rPr>
          <w:rFonts w:ascii="Calibri" w:cs="Calibri" w:eastAsia="Calibri" w:hAnsi="Calibri"/>
          <w:sz w:val="19"/>
          <w:szCs w:val="19"/>
        </w:rPr>
        <w:t xml:space="preserve">Findings describe revenue and behaviour, not profit or return on investment. Delivery and rating are linked by association, not proven cause.</w:t>
      </w:r>
    </w:p>
    <w:p>
      <w:pPr>
        <w:keepNext/>
        <w:pBdr>
          <w:bottom w:val="single" w:color="0F6E6E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4304A"/>
          <w:sz w:val="23"/>
          <w:szCs w:val="23"/>
        </w:rPr>
        <w:t xml:space="preserve">Suggested next steps</w:t>
      </w:r>
    </w:p>
    <w:p>
      <w:pPr>
        <w:spacing w:after="0" w:before="0" w:line="252"/>
      </w:pPr>
      <w:r>
        <w:rPr>
          <w:rFonts w:ascii="Calibri" w:cs="Calibri" w:eastAsia="Calibri" w:hAnsi="Calibri"/>
          <w:sz w:val="19"/>
          <w:szCs w:val="19"/>
        </w:rPr>
        <w:t xml:space="preserve">Add margin and cost data to measure profit; build a return-risk score per order (delivery time, rating, category); test win-back offers on At Risk customers with a control group; and track monthly new customers and retention as standing KPIs on the dashboard.</w:t>
      </w:r>
    </w:p>
    <w:sectPr>
      <w:footerReference w:type="default" r:id="rId7"/>
      <w:pgSz w:w="11906" w:h="16838" w:orient="portrait"/>
      <w:pgMar w:top="850" w:right="1008" w:bottom="8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6"/>
        <w:sz w:val="15"/>
        <w:szCs w:val="15"/>
      </w:rPr>
      <w:t xml:space="preserve">Source: customer_shopping_behavior_Analysis.xlsx  |  All amounts in ₹  |  Page </w:t>
    </w:r>
    <w:r>
      <w:rPr>
        <w:rFonts w:ascii="Calibri" w:cs="Calibri" w:eastAsia="Calibri" w:hAnsi="Calibri"/>
        <w:color w:val="5B66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676"/>
        <w:sz w:val="15"/>
        <w:szCs w:val="15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323d61845f0f9e560dc21d458d1724374655eb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2026-10-21T08:11:01.517Z</dcterms:created>
  <dcterms:modified xsi:type="dcterms:W3CDTF">2026-10-21T08:11:01.518Z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