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400"/>
              <w:left w:type="dxa" w:w="400"/>
              <w:bottom w:type="dxa" w:w="400"/>
              <w:right w:type="dxa" w:w="400"/>
            </w:tcMar>
          </w:tcPr>
          <w:p>
            <w:pPr>
              <w:spacing w:after="120"/>
              <w:jc w:val="center"/>
            </w:pPr>
            <w:r>
              <w:rPr>
                <w:rFonts w:ascii="Arial" w:cs="Arial" w:eastAsia="Arial" w:hAnsi="Arial"/>
                <w:b/>
                <w:bCs/>
                <w:color w:val="FFFFFF"/>
                <w:sz w:val="72"/>
                <w:szCs w:val="72"/>
              </w:rPr>
              <w:t xml:space="preserve">QUANTBIT</w:t>
            </w:r>
          </w:p>
          <w:p>
            <w:pPr>
              <w:spacing w:after="280"/>
              <w:jc w:val="center"/>
            </w:pPr>
            <w:r>
              <w:rPr>
                <w:rFonts w:ascii="Arial" w:cs="Arial" w:eastAsia="Arial" w:hAnsi="Arial"/>
                <w:b/>
                <w:bCs/>
                <w:color w:val="CCFBF1"/>
                <w:sz w:val="60"/>
                <w:szCs w:val="60"/>
              </w:rPr>
              <w:t xml:space="preserve">ECOSYSTEM</w:t>
            </w:r>
          </w:p>
          <w:p>
            <w:pPr>
              <w:spacing w:after="80"/>
              <w:jc w:val="center"/>
            </w:pPr>
            <w:r>
              <w:rPr>
                <w:rFonts w:ascii="Arial" w:cs="Arial" w:eastAsia="Arial" w:hAnsi="Arial"/>
                <w:i/>
                <w:iCs/>
                <w:color w:val="FFFFFF"/>
                <w:sz w:val="28"/>
                <w:szCs w:val="28"/>
              </w:rPr>
              <w:t xml:space="preserve">Product Requirements Document</w:t>
            </w:r>
          </w:p>
          <w:p>
            <w:pPr>
              <w:jc w:val="center"/>
            </w:pPr>
            <w:r>
              <w:rPr>
                <w:rFonts w:ascii="Arial" w:cs="Arial" w:eastAsia="Arial" w:hAnsi="Arial"/>
                <w:color w:val="CCFBF1"/>
                <w:sz w:val="22"/>
                <w:szCs w:val="22"/>
              </w:rPr>
              <w:t xml:space="preserve">Investment Intelligence Platform · IDX · Indonesia</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pPr>
              <w:jc w:val="center"/>
            </w:pPr>
            <w:r>
              <w:rPr>
                <w:rFonts w:ascii="Arial" w:cs="Arial" w:eastAsia="Arial" w:hAnsi="Arial"/>
                <w:b/>
                <w:bCs/>
                <w:color w:val="64748B"/>
                <w:sz w:val="18"/>
                <w:szCs w:val="18"/>
              </w:rPr>
              <w:t xml:space="preserve">Versi</w:t>
            </w:r>
          </w:p>
          <w:p>
            <w:pPr>
              <w:jc w:val="center"/>
            </w:pPr>
            <w:r>
              <w:rPr>
                <w:rFonts w:ascii="Arial" w:cs="Arial" w:eastAsia="Arial" w:hAnsi="Arial"/>
                <w:b/>
                <w:bCs/>
                <w:color w:val="0F172A"/>
                <w:sz w:val="20"/>
                <w:szCs w:val="20"/>
              </w:rPr>
              <w:t xml:space="preserve">1.0</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pPr>
              <w:jc w:val="center"/>
            </w:pPr>
            <w:r>
              <w:rPr>
                <w:rFonts w:ascii="Arial" w:cs="Arial" w:eastAsia="Arial" w:hAnsi="Arial"/>
                <w:b/>
                <w:bCs/>
                <w:color w:val="64748B"/>
                <w:sz w:val="18"/>
                <w:szCs w:val="18"/>
              </w:rPr>
              <w:t xml:space="preserve">Tanggal</w:t>
            </w:r>
          </w:p>
          <w:p>
            <w:pPr>
              <w:jc w:val="center"/>
            </w:pPr>
            <w:r>
              <w:rPr>
                <w:rFonts w:ascii="Arial" w:cs="Arial" w:eastAsia="Arial" w:hAnsi="Arial"/>
                <w:b/>
                <w:bCs/>
                <w:color w:val="0F172A"/>
                <w:sz w:val="20"/>
                <w:szCs w:val="20"/>
              </w:rPr>
              <w:t xml:space="preserve">Juni 2026</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pPr>
              <w:jc w:val="center"/>
            </w:pPr>
            <w:r>
              <w:rPr>
                <w:rFonts w:ascii="Arial" w:cs="Arial" w:eastAsia="Arial" w:hAnsi="Arial"/>
                <w:b/>
                <w:bCs/>
                <w:color w:val="64748B"/>
                <w:sz w:val="18"/>
                <w:szCs w:val="18"/>
              </w:rPr>
              <w:t xml:space="preserve">Status</w:t>
            </w:r>
          </w:p>
          <w:p>
            <w:pPr>
              <w:jc w:val="center"/>
            </w:pPr>
            <w:r>
              <w:rPr>
                <w:rFonts w:ascii="Arial" w:cs="Arial" w:eastAsia="Arial" w:hAnsi="Arial"/>
                <w:b/>
                <w:bCs/>
                <w:color w:val="0F172A"/>
                <w:sz w:val="20"/>
                <w:szCs w:val="20"/>
              </w:rPr>
              <w:t xml:space="preserve">Draft Final</w:t>
            </w:r>
          </w:p>
        </w:tc>
        <w:tc>
          <w:tcPr>
            <w:tcW w:type="dxa" w:w="2340"/>
            <w:tcBorders>
              <w:top w:val="single" w:color="E2E8F0" w:sz="1"/>
              <w:left w:val="single" w:color="E2E8F0" w:sz="1"/>
              <w:bottom w:val="single" w:color="E2E8F0" w:sz="1"/>
              <w:right w:val="single" w:color="E2E8F0" w:sz="1"/>
            </w:tcBorders>
            <w:shd w:fill="F8FAFC" w:val="clear"/>
            <w:tcMar>
              <w:top w:type="dxa" w:w="100"/>
              <w:left w:type="dxa" w:w="120"/>
              <w:bottom w:type="dxa" w:w="100"/>
              <w:right w:type="dxa" w:w="120"/>
            </w:tcMar>
          </w:tcPr>
          <w:p>
            <w:pPr>
              <w:jc w:val="center"/>
            </w:pPr>
            <w:r>
              <w:rPr>
                <w:rFonts w:ascii="Arial" w:cs="Arial" w:eastAsia="Arial" w:hAnsi="Arial"/>
                <w:b/>
                <w:bCs/>
                <w:color w:val="64748B"/>
                <w:sz w:val="18"/>
                <w:szCs w:val="18"/>
              </w:rPr>
              <w:t xml:space="preserve">Pemilik</w:t>
            </w:r>
          </w:p>
          <w:p>
            <w:pPr>
              <w:jc w:val="center"/>
            </w:pPr>
            <w:r>
              <w:rPr>
                <w:rFonts w:ascii="Arial" w:cs="Arial" w:eastAsia="Arial" w:hAnsi="Arial"/>
                <w:b/>
                <w:bCs/>
                <w:color w:val="0F172A"/>
                <w:sz w:val="20"/>
                <w:szCs w:val="20"/>
              </w:rPr>
              <w:t xml:space="preserve">QuantBit Team</w:t>
            </w:r>
          </w:p>
        </w:tc>
      </w:tr>
    </w:tbl>
    <w:p>
      <w:pPr>
        <w:spacing w:after="200" w:before="200"/>
      </w:pPr>
      <w:r>
        <w:t xml:space="preserve"/>
      </w:r>
    </w:p>
    <w:p>
      <w:pPr>
        <w:pStyle w:val="Heading1"/>
        <w:pBdr>
          <w:bottom w:val="single" w:color="0F766E" w:sz="6" w:space="1"/>
        </w:pBdr>
        <w:shd w:fill="0D9488" w:val="clear"/>
        <w:spacing w:after="120" w:before="360"/>
        <w:ind w:left="240" w:right="240"/>
      </w:pPr>
      <w:r>
        <w:rPr>
          <w:rFonts w:ascii="Arial" w:cs="Arial" w:eastAsia="Arial" w:hAnsi="Arial"/>
          <w:b/>
          <w:bCs/>
          <w:color w:val="FFFFFF"/>
          <w:sz w:val="32"/>
          <w:szCs w:val="32"/>
        </w:rPr>
        <w:t xml:space="preserve">1. RINGKASAN EKSEKUTIF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D9488" w:sz="18"/>
              <w:bottom w:val="single" w:color="E2E8F0" w:sz="1"/>
              <w:right w:val="single" w:color="E2E8F0" w:sz="1"/>
            </w:tcBorders>
            <w:shd w:fill="CCFBF1" w:val="clear"/>
            <w:tcMar>
              <w:top w:type="dxa" w:w="120"/>
              <w:left w:type="dxa" w:w="200"/>
              <w:bottom w:type="dxa" w:w="120"/>
              <w:right w:type="dxa" w:w="120"/>
            </w:tcMar>
          </w:tcPr>
          <w:p>
            <w:pPr>
              <w:jc w:val="center"/>
            </w:pPr>
            <w:r>
              <w:rPr>
                <w:rFonts w:ascii="Arial" w:cs="Arial" w:eastAsia="Arial" w:hAnsi="Arial"/>
                <w:b/>
                <w:bCs/>
                <w:i/>
                <w:iCs/>
                <w:color w:val="0F766E"/>
                <w:sz w:val="22"/>
                <w:szCs w:val="22"/>
              </w:rPr>
              <w:t xml:space="preserve">"Apa yang harus saya lakukan dengan uang saya saat ini?"</w:t>
            </w:r>
          </w:p>
        </w:tc>
      </w:tr>
    </w:tbl>
    <w:p>
      <w:pPr>
        <w:spacing w:after="120" w:before="120"/>
      </w:pPr>
      <w:r>
        <w:t xml:space="preserve"/>
      </w:r>
    </w:p>
    <w:p>
      <w:pPr>
        <w:spacing w:after="80" w:before="80"/>
        <w:jc w:val="both"/>
      </w:pPr>
      <w:r>
        <w:rPr>
          <w:rFonts w:ascii="Arial" w:cs="Arial" w:eastAsia="Arial" w:hAnsi="Arial"/>
          <w:color w:val="334155"/>
          <w:sz w:val="22"/>
          <w:szCs w:val="22"/>
        </w:rPr>
        <w:t xml:space="preserve">QuantBit adalah Investment Intelligence Platform berbasis data yang dirancang untuk membantu investor retail Indonesia membuat keputusan investasi yang lebih jelas, konsisten, dan terukur. Sistem ini bukan sekadar platform data atau dashboard biasa — melainkan mesin keputusan investasi yang mengintegrasikan analisis faktor kuantitatif, penilaian kondisi pasar (market regime), dan manajemen risiko dinamis.</w:t>
      </w:r>
    </w:p>
    <w:p>
      <w:pPr>
        <w:spacing w:after="80" w:before="80"/>
      </w:pPr>
      <w:r>
        <w:t xml:space="preserve"/>
      </w:r>
    </w:p>
    <w:p>
      <w:pPr>
        <w:spacing w:after="80" w:before="80"/>
        <w:jc w:val="both"/>
      </w:pPr>
      <w:r>
        <w:rPr>
          <w:rFonts w:ascii="Arial" w:cs="Arial" w:eastAsia="Arial" w:hAnsi="Arial"/>
          <w:color w:val="334155"/>
          <w:sz w:val="22"/>
          <w:szCs w:val="22"/>
        </w:rPr>
        <w:t xml:space="preserve">PRD ini mendokumentasikan visi, arsitektur produk, spesifikasi fungsional, dan roadmap pengembangan QuantBit Ecosystem secara lengkap — mulai dari Fase 1 (Weekly Report) hingga Fase 6 (Portfolio Manager).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Nama Produk</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QuantBit Ecosystem</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Kategori</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Investment Intelligence Platform</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Target Pasar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Investor Retail Indonesia (IDX)</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Aset Utama</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Saham IDX + Emas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Periode Uji Historis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2020 – 2026</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Performa vs IHSG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Rp641 juta vs Rp95 juta (modal awal Rp100 juta)</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Performa vs Emas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Rp641 juta vs Rp357 juta (modal awal Rp100 juta)</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Arsitektur Engine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Factor Scoring + Market Regime + Dynamic Allocation</w:t>
            </w:r>
          </w:p>
        </w:tc>
      </w:tr>
    </w:tbl>
    <w:p>
      <w:pPr>
        <w:spacing w:after="120" w:before="120"/>
      </w:pPr>
      <w:r>
        <w:t xml:space="preserve"/>
      </w:r>
    </w:p>
    <w:p>
      <w:pPr>
        <w:pBdr>
          <w:bottom w:val="single" w:color="CCFBF1" w:sz="4" w:space="1"/>
        </w:pBdr>
        <w:spacing w:after="120" w:before="120"/>
      </w:pPr>
      <w:r>
        <w:t xml:space="preserve"/>
      </w:r>
    </w:p>
    <w:p>
      <w:pPr>
        <w:pStyle w:val="Heading1"/>
        <w:pBdr>
          <w:bottom w:val="single" w:color="0F766E" w:sz="6" w:space="1"/>
        </w:pBdr>
        <w:shd w:fill="0D9488" w:val="clear"/>
        <w:spacing w:after="120" w:before="360"/>
        <w:ind w:left="240" w:right="240"/>
      </w:pPr>
      <w:r>
        <w:rPr>
          <w:rFonts w:ascii="Arial" w:cs="Arial" w:eastAsia="Arial" w:hAnsi="Arial"/>
          <w:b/>
          <w:bCs/>
          <w:color w:val="FFFFFF"/>
          <w:sz w:val="32"/>
          <w:szCs w:val="32"/>
        </w:rPr>
        <w:t xml:space="preserve">2. LATAR BELAKANG &amp; MASALAH</w:t>
      </w:r>
    </w:p>
    <w:p>
      <w:pPr>
        <w:spacing w:after="80" w:before="8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2.1 Konteks Pasar</w:t>
      </w:r>
    </w:p>
    <w:p>
      <w:pPr>
        <w:spacing w:after="80" w:before="80"/>
        <w:jc w:val="both"/>
      </w:pPr>
      <w:r>
        <w:rPr>
          <w:rFonts w:ascii="Arial" w:cs="Arial" w:eastAsia="Arial" w:hAnsi="Arial"/>
          <w:color w:val="334155"/>
          <w:sz w:val="22"/>
          <w:szCs w:val="22"/>
        </w:rPr>
        <w:t xml:space="preserve">Pasar modal Indonesia (IDX) memiliki lebih dari 800 emiten yang terdaftar. Investor retail menghadapi tantangan struktural dalam mengakses, memproses, dan menerjemahkan informasi yang tersedia menjadi keputusan investasi yang actionable.</w:t>
      </w:r>
    </w:p>
    <w:p>
      <w:pPr>
        <w:spacing w:after="80" w:before="8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2.2 Tiga Masalah Utama Investor Retail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856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Masalah &amp; Dampak</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1. Information Overload</w:t>
            </w:r>
          </w:p>
        </w:tc>
        <w:tc>
          <w:tcPr>
            <w:tcW w:type="dxa" w:w="8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Investor dibanjiri berita, chart, laporan keuangan, forum, media sosial, dan opini influencer — namun tetap kesulitan mengambil keputusan yang terstruktur.</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2. Tidak Ada Prioritas</w:t>
            </w:r>
          </w:p>
        </w:tc>
        <w:tc>
          <w:tcPr>
            <w:tcW w:type="dxa" w:w="8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Platform yang ada hanya menyediakan data mentah tanpa menjawab pertanyaan: saham mana yang harus diprioritaskan, mana yang lebih menarik, mana yang harus dihindari.</w:t>
            </w:r>
          </w:p>
        </w:tc>
      </w:tr>
      <w:tr>
        <w:tc>
          <w:tcPr>
            <w:tcW w:type="dxa" w:w="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3. Tidak Tahu Kapan Bertahan</w:t>
            </w:r>
          </w:p>
        </w:tc>
        <w:tc>
          <w:tcPr>
            <w:tcW w:type="dxa" w:w="8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Mayoritas investor hanya fokus pada pertanyaan 'Beli saham apa?' — padahal pertanyaan yang lebih krusial adalah 'Apakah sekarang waktu yang tepat untuk mengambil risiko?'</w:t>
            </w:r>
          </w:p>
        </w:tc>
      </w:tr>
    </w:tbl>
    <w:p>
      <w:pPr>
        <w:spacing w:after="80" w:before="8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2.3 Gap di Pasar</w:t>
      </w:r>
    </w:p>
    <w:p>
      <w:pPr>
        <w:spacing w:after="80" w:before="80"/>
        <w:jc w:val="both"/>
      </w:pPr>
      <w:r>
        <w:rPr>
          <w:rFonts w:ascii="Arial" w:cs="Arial" w:eastAsia="Arial" w:hAnsi="Arial"/>
          <w:color w:val="334155"/>
          <w:sz w:val="22"/>
          <w:szCs w:val="22"/>
        </w:rPr>
        <w:t xml:space="preserve">Solusi yang ada di pasar saat ini umumnya jatuh ke dalam dua kategori ekstrem:</w:t>
      </w:r>
    </w:p>
    <w:p>
      <w:pPr>
        <w:pStyle w:val="ListParagraph"/>
        <w:numPr>
          <w:ilvl w:val="0"/>
          <w:numId w:val="2"/>
        </w:numPr>
        <w:spacing w:after="40" w:before="40"/>
      </w:pPr>
      <w:r>
        <w:rPr>
          <w:rFonts w:ascii="Arial" w:cs="Arial" w:eastAsia="Arial" w:hAnsi="Arial"/>
          <w:color w:val="334155"/>
          <w:sz w:val="22"/>
          <w:szCs w:val="22"/>
        </w:rPr>
        <w:t xml:space="preserve">Platform data penuh (Bloomberg, Refinitiv): terlalu kompleks dan mahal untuk investor retail.</w:t>
      </w:r>
    </w:p>
    <w:p>
      <w:pPr>
        <w:pStyle w:val="ListParagraph"/>
        <w:numPr>
          <w:ilvl w:val="0"/>
          <w:numId w:val="2"/>
        </w:numPr>
        <w:spacing w:after="40" w:before="40"/>
      </w:pPr>
      <w:r>
        <w:rPr>
          <w:rFonts w:ascii="Arial" w:cs="Arial" w:eastAsia="Arial" w:hAnsi="Arial"/>
          <w:color w:val="334155"/>
          <w:sz w:val="22"/>
          <w:szCs w:val="22"/>
        </w:rPr>
        <w:t xml:space="preserve">Aplikasi saham umum (RTI, Stockbit): memberikan data tetapi tidak menerjemahkan data menjadi keputusan.</w:t>
      </w:r>
    </w:p>
    <w:p>
      <w:pPr>
        <w:pStyle w:val="ListParagraph"/>
        <w:numPr>
          <w:ilvl w:val="0"/>
          <w:numId w:val="2"/>
        </w:numPr>
        <w:spacing w:after="40" w:before="40"/>
      </w:pPr>
      <w:r>
        <w:rPr>
          <w:rFonts w:ascii="Arial" w:cs="Arial" w:eastAsia="Arial" w:hAnsi="Arial"/>
          <w:color w:val="334155"/>
          <w:sz w:val="22"/>
          <w:szCs w:val="22"/>
        </w:rPr>
        <w:t xml:space="preserve">Konten influencer/komunitas: tidak konsisten, bias, dan tidak tervalidasi secara historis.</w:t>
      </w:r>
    </w:p>
    <w:p>
      <w:pPr>
        <w:spacing w:after="80" w:before="80"/>
      </w:pPr>
      <w:r>
        <w:t xml:space="preserve"/>
      </w:r>
    </w:p>
    <w:p>
      <w:pPr>
        <w:spacing w:after="80" w:before="80"/>
        <w:jc w:val="both"/>
      </w:pPr>
      <w:r>
        <w:rPr>
          <w:rFonts w:ascii="Arial" w:cs="Arial" w:eastAsia="Arial" w:hAnsi="Arial"/>
          <w:color w:val="334155"/>
          <w:sz w:val="22"/>
          <w:szCs w:val="22"/>
        </w:rPr>
        <w:t xml:space="preserve">QuantBit mengisi gap ini dengan menyediakan sistem keputusan berbasis data yang sudah divalidasi, dengan output yang jelas dan actionable.</w:t>
      </w:r>
    </w:p>
    <w:p>
      <w:pPr>
        <w:spacing w:after="80" w:before="80"/>
      </w:pPr>
      <w:r>
        <w:t xml:space="preserve"/>
      </w:r>
    </w:p>
    <w:p>
      <w:pPr>
        <w:pBdr>
          <w:bottom w:val="single" w:color="CCFBF1" w:sz="4" w:space="1"/>
        </w:pBdr>
        <w:spacing w:after="120" w:before="120"/>
      </w:pPr>
      <w:r>
        <w:t xml:space="preserve"/>
      </w:r>
    </w:p>
    <w:p>
      <w:pPr>
        <w:pStyle w:val="Heading1"/>
        <w:pBdr>
          <w:bottom w:val="single" w:color="0F766E" w:sz="6" w:space="1"/>
        </w:pBdr>
        <w:shd w:fill="0D9488" w:val="clear"/>
        <w:spacing w:after="120" w:before="360"/>
        <w:ind w:left="240" w:right="240"/>
      </w:pPr>
      <w:r>
        <w:rPr>
          <w:rFonts w:ascii="Arial" w:cs="Arial" w:eastAsia="Arial" w:hAnsi="Arial"/>
          <w:b/>
          <w:bCs/>
          <w:color w:val="FFFFFF"/>
          <w:sz w:val="32"/>
          <w:szCs w:val="32"/>
        </w:rPr>
        <w:t xml:space="preserve">3. VISI &amp; FILOSOFI PRODUK</w:t>
      </w:r>
    </w:p>
    <w:p>
      <w:pPr>
        <w:spacing w:after="80" w:before="8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3.1 Pernyataan Visi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D9488" w:sz="18"/>
              <w:bottom w:val="single" w:color="E2E8F0" w:sz="1"/>
              <w:right w:val="single" w:color="E2E8F0" w:sz="1"/>
            </w:tcBorders>
            <w:shd w:fill="CCFBF1" w:val="clear"/>
            <w:tcMar>
              <w:top w:type="dxa" w:w="120"/>
              <w:left w:type="dxa" w:w="200"/>
              <w:bottom w:type="dxa" w:w="120"/>
              <w:right w:type="dxa" w:w="120"/>
            </w:tcMar>
          </w:tcPr>
          <w:p>
            <w:pPr>
              <w:jc w:val="center"/>
            </w:pPr>
            <w:r>
              <w:rPr>
                <w:rFonts w:ascii="Arial" w:cs="Arial" w:eastAsia="Arial" w:hAnsi="Arial"/>
                <w:b/>
                <w:bCs/>
                <w:i/>
                <w:iCs/>
                <w:color w:val="0F766E"/>
                <w:sz w:val="22"/>
                <w:szCs w:val="22"/>
              </w:rPr>
              <w:t xml:space="preserve">Menjadi mesin keputusan investasi terbaik untuk pasar Indonesia — bukan Bloomberg versi murah.</w:t>
            </w:r>
          </w:p>
        </w:tc>
      </w:tr>
    </w:tbl>
    <w:p>
      <w:pPr>
        <w:spacing w:after="120" w:before="12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3.2 Filosofi Inti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Pilar</w:t>
            </w:r>
          </w:p>
        </w:tc>
        <w:tc>
          <w:tcPr>
            <w:tcW w:type="dxa" w:w="636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Peran dalam Sistem</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Data</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Digunakan untuk mengukur kondisi saham dan pasar secara objektif.</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Algoritma</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Digunakan untuk menyaring dan meranking saham berdasarkan faktor yang tervalidasi.</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Manajemen Risiko</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Digunakan untuk melindungi modal melalui Dynamic Allocation dan Market Regime Framework.</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AI</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Digunakan untuk menjelaskan hasil analisis yang sudah dihasilkan sistem — bukan untuk mengambil keputusan.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Investor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Tetap sebagai pengambil keputusan akhir. QuantBit adalah pendukung, bukan pengganti.</w:t>
            </w:r>
          </w:p>
        </w:tc>
      </w:tr>
    </w:tbl>
    <w:p>
      <w:pPr>
        <w:spacing w:after="120" w:before="12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3.3 Prinsip Data First, AI Second</w:t>
      </w:r>
    </w:p>
    <w:p>
      <w:pPr>
        <w:spacing w:after="80" w:before="80"/>
        <w:jc w:val="both"/>
      </w:pPr>
      <w:r>
        <w:rPr>
          <w:rFonts w:ascii="Arial" w:cs="Arial" w:eastAsia="Arial" w:hAnsi="Arial"/>
          <w:color w:val="334155"/>
          <w:sz w:val="22"/>
          <w:szCs w:val="22"/>
        </w:rPr>
        <w:t xml:space="preserve">QuantBit secara eksplisit menolak pendekatan di mana AI digunakan sebagai pengambil keputusan investasi. Alasannya: model AI yang berbeda sering menghasilkan rekomendasi yang berbeda (Buy, Hold, atau Sell) untuk saham yang sama, bergantung pada parameter dan data yang digunakan. Karena itu, data dan algoritma kuantitatif menjadi fondasi utama — AI hanya berperan sebagai layer eksplanasi.</w:t>
      </w:r>
    </w:p>
    <w:p>
      <w:pPr>
        <w:spacing w:after="80" w:before="80"/>
      </w:pPr>
      <w:r>
        <w:t xml:space="preserve"/>
      </w:r>
    </w:p>
    <w:p>
      <w:pPr>
        <w:pBdr>
          <w:bottom w:val="single" w:color="CCFBF1" w:sz="4" w:space="1"/>
        </w:pBdr>
        <w:spacing w:after="120" w:before="120"/>
      </w:pPr>
      <w:r>
        <w:t xml:space="preserve"/>
      </w:r>
    </w:p>
    <w:p>
      <w:pPr>
        <w:pStyle w:val="Heading1"/>
        <w:pBdr>
          <w:bottom w:val="single" w:color="0F766E" w:sz="6" w:space="1"/>
        </w:pBdr>
        <w:shd w:fill="0D9488" w:val="clear"/>
        <w:spacing w:after="120" w:before="360"/>
        <w:ind w:left="240" w:right="240"/>
      </w:pPr>
      <w:r>
        <w:rPr>
          <w:rFonts w:ascii="Arial" w:cs="Arial" w:eastAsia="Arial" w:hAnsi="Arial"/>
          <w:b/>
          <w:bCs/>
          <w:color w:val="FFFFFF"/>
          <w:sz w:val="32"/>
          <w:szCs w:val="32"/>
        </w:rPr>
        <w:t xml:space="preserve">4. CORE ENGINE — ARSITEKTUR SISTEM</w:t>
      </w:r>
    </w:p>
    <w:p>
      <w:pPr>
        <w:spacing w:after="80" w:before="8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4.1 Factor Scoring Engine</w:t>
      </w:r>
    </w:p>
    <w:p>
      <w:pPr>
        <w:spacing w:after="80" w:before="80"/>
        <w:jc w:val="both"/>
      </w:pPr>
      <w:r>
        <w:rPr>
          <w:rFonts w:ascii="Arial" w:cs="Arial" w:eastAsia="Arial" w:hAnsi="Arial"/>
          <w:color w:val="334155"/>
          <w:sz w:val="22"/>
          <w:szCs w:val="22"/>
        </w:rPr>
        <w:t xml:space="preserve">Setiap saham dianalisis dan diberi skor berdasarkan empat faktor utama. Masing-masing faktor menggunakan kombinasi metrik spesifik dan memiliki bobot dalam skor akhir (Config F — konfigurasi produksi).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760"/>
        <w:gridCol w:w="2000"/>
      </w:tblGrid>
      <w:tr>
        <w:tc>
          <w:tcPr>
            <w:tcW w:type="dxa" w:w="16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Faktor</w:t>
            </w:r>
          </w:p>
        </w:tc>
        <w:tc>
          <w:tcPr>
            <w:tcW w:type="dxa" w:w="2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Bobot (Config F)</w:t>
            </w:r>
          </w:p>
        </w:tc>
        <w:tc>
          <w:tcPr>
            <w:tcW w:type="dxa" w:w="376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Metrik Utama</w:t>
            </w:r>
          </w:p>
        </w:tc>
        <w:tc>
          <w:tcPr>
            <w:tcW w:type="dxa" w:w="2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Tujuan Pengukuran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766E"/>
                <w:sz w:val="20"/>
                <w:szCs w:val="20"/>
              </w:rPr>
              <w:t xml:space="preserve">Quality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25%</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ROE, ROA, Net Profit Margin, Asset Turnover, Debt/Equity</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Mengukur kualitas dan efisiensi bisnis perusahaan</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766E"/>
                <w:sz w:val="20"/>
                <w:szCs w:val="20"/>
              </w:rPr>
              <w:t xml:space="preserve">Growth</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30%</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EPS Growth YoY, Revenue Growth, Earnings Growth, Net Income Growth</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Mengukur laju pertumbuhan kinerja keuangan perusahaan</w:t>
            </w:r>
          </w:p>
        </w:tc>
      </w:tr>
      <w:tr>
        <w:tc>
          <w:tcPr>
            <w:tcW w:type="dxa" w:w="16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0F766E"/>
                <w:sz w:val="20"/>
                <w:szCs w:val="20"/>
              </w:rPr>
              <w:t xml:space="preserve">Value</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10%</w:t>
            </w:r>
          </w:p>
        </w:tc>
        <w:tc>
          <w:tcPr>
            <w:tcW w:type="dxa" w:w="37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PER relatif, PBV relatif, EV/EBITDA, Dividend Yield</w:t>
            </w:r>
          </w:p>
        </w:tc>
        <w:tc>
          <w:tcPr>
            <w:tcW w:type="dxa" w:w="2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Mengukur apakah saham masih menarik secara valuasi</w:t>
            </w:r>
          </w:p>
        </w:tc>
      </w:tr>
      <w:tr>
        <w:tc>
          <w:tcPr>
            <w:tcW w:type="dxa" w:w="16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0F766E"/>
                <w:sz w:val="20"/>
                <w:szCs w:val="20"/>
              </w:rPr>
              <w:t xml:space="preserve">Momentum</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35%</w:t>
            </w:r>
          </w:p>
        </w:tc>
        <w:tc>
          <w:tcPr>
            <w:tcW w:type="dxa" w:w="37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Relative Strength 6M, Price Trend, Volume Trend, RS vs IHSG</w:t>
            </w:r>
          </w:p>
        </w:tc>
        <w:tc>
          <w:tcPr>
            <w:tcW w:type="dxa" w:w="2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Mengukur apakah pasar mendukung saham tersebut saat ini</w:t>
            </w:r>
          </w:p>
        </w:tc>
      </w:tr>
    </w:tbl>
    <w:p>
      <w:pPr>
        <w:spacing w:after="80" w:before="8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4.2 Market Regime Framework</w:t>
      </w:r>
    </w:p>
    <w:p>
      <w:pPr>
        <w:spacing w:after="80" w:before="80"/>
        <w:jc w:val="both"/>
      </w:pPr>
      <w:r>
        <w:rPr>
          <w:rFonts w:ascii="Arial" w:cs="Arial" w:eastAsia="Arial" w:hAnsi="Arial"/>
          <w:color w:val="334155"/>
          <w:sz w:val="22"/>
          <w:szCs w:val="22"/>
        </w:rPr>
        <w:t xml:space="preserve">QuantBit mengevaluasi kondisi pasar secara keseluruhan untuk menentukan tingkat agresivitas investasi yang tepat. Output regime mempengaruhi alokasi aset secara langsung.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Regime</w:t>
            </w:r>
          </w:p>
        </w:tc>
        <w:tc>
          <w:tcPr>
            <w:tcW w:type="dxa" w:w="636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Kondisi &amp; Implikasi</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RISK 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Pasar mendukung pengambilan risiko. Fokus pada saham IDX. Alokasi saham dominan (misal 80–100%).</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RISK NEUTRAL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Pasar tidak menunjukkan arah yang jelas. Pendekatan seimbang. Alokasi saham dan emas proporsional.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RISK OFF</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Risiko pasar meningkat signifikan. Fokus pada perlindungan modal. Shift ke emas meningkat (bisa hingga 100%).</w:t>
            </w:r>
          </w:p>
        </w:tc>
      </w:tr>
    </w:tbl>
    <w:p>
      <w:pPr>
        <w:spacing w:after="80" w:before="8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4.3 Dynamic Allocation Engine</w:t>
      </w:r>
    </w:p>
    <w:p>
      <w:pPr>
        <w:spacing w:after="80" w:before="80"/>
        <w:jc w:val="both"/>
      </w:pPr>
      <w:r>
        <w:rPr>
          <w:rFonts w:ascii="Arial" w:cs="Arial" w:eastAsia="Arial" w:hAnsi="Arial"/>
          <w:color w:val="334155"/>
          <w:sz w:val="22"/>
          <w:szCs w:val="22"/>
        </w:rPr>
        <w:t xml:space="preserve">Berdasarkan output Market Regime, sistem secara dinamis mengatur alokasi antara saham IDX dan emas. Prinsip utama: Protect Capital First.</w:t>
      </w:r>
    </w:p>
    <w:p>
      <w:pPr>
        <w:spacing w:after="80" w:before="80"/>
      </w:pPr>
      <w:r>
        <w:t xml:space="preserve"/>
      </w:r>
    </w:p>
    <w:p>
      <w:pPr>
        <w:pStyle w:val="ListParagraph"/>
        <w:numPr>
          <w:ilvl w:val="0"/>
          <w:numId w:val="2"/>
        </w:numPr>
        <w:spacing w:after="40" w:before="40"/>
      </w:pPr>
      <w:r>
        <w:rPr>
          <w:rFonts w:ascii="Arial" w:cs="Arial" w:eastAsia="Arial" w:hAnsi="Arial"/>
          <w:color w:val="334155"/>
          <w:sz w:val="22"/>
          <w:szCs w:val="22"/>
        </w:rPr>
        <w:t xml:space="preserve">Contoh alokasi RISK ON: 80% Saham IDX + 20% Emas</w:t>
      </w:r>
    </w:p>
    <w:p>
      <w:pPr>
        <w:pStyle w:val="ListParagraph"/>
        <w:numPr>
          <w:ilvl w:val="0"/>
          <w:numId w:val="2"/>
        </w:numPr>
        <w:spacing w:after="40" w:before="40"/>
      </w:pPr>
      <w:r>
        <w:rPr>
          <w:rFonts w:ascii="Arial" w:cs="Arial" w:eastAsia="Arial" w:hAnsi="Arial"/>
          <w:color w:val="334155"/>
          <w:sz w:val="22"/>
          <w:szCs w:val="22"/>
        </w:rPr>
        <w:t xml:space="preserve">Contoh alokasi RISK NEUTRAL: 60% Saham IDX + 40% Emas</w:t>
      </w:r>
    </w:p>
    <w:p>
      <w:pPr>
        <w:pStyle w:val="ListParagraph"/>
        <w:numPr>
          <w:ilvl w:val="0"/>
          <w:numId w:val="2"/>
        </w:numPr>
        <w:spacing w:after="40" w:before="40"/>
      </w:pPr>
      <w:r>
        <w:rPr>
          <w:rFonts w:ascii="Arial" w:cs="Arial" w:eastAsia="Arial" w:hAnsi="Arial"/>
          <w:color w:val="334155"/>
          <w:sz w:val="22"/>
          <w:szCs w:val="22"/>
        </w:rPr>
        <w:t xml:space="preserve">Contoh alokasi RISK OFF: 30% Saham IDX + 70% Emas (atau 0% + 100% Emas)</w:t>
      </w:r>
    </w:p>
    <w:p>
      <w:pPr>
        <w:spacing w:after="80" w:before="8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4.4 Evolusi Research &amp; Validasi Konfigurasi</w:t>
      </w:r>
    </w:p>
    <w:p>
      <w:pPr>
        <w:spacing w:after="80" w:before="80"/>
        <w:jc w:val="both"/>
      </w:pPr>
      <w:r>
        <w:rPr>
          <w:rFonts w:ascii="Arial" w:cs="Arial" w:eastAsia="Arial" w:hAnsi="Arial"/>
          <w:color w:val="334155"/>
          <w:sz w:val="22"/>
          <w:szCs w:val="22"/>
        </w:rPr>
        <w:t xml:space="preserve">QuantBit tidak dibangun dalam satu versi. Tim research menguji sembilan konfigurasi (Config A hingga Config I) dengan kombinasi faktor dan bobot berbeda, diuji terhadap data historis 2020–2026.</w:t>
      </w:r>
    </w:p>
    <w:p>
      <w:pPr>
        <w:spacing w:after="80" w:before="80"/>
      </w:pPr>
      <w:r>
        <w:t xml:space="preserve"/>
      </w:r>
    </w:p>
    <w:p>
      <w:pPr>
        <w:pStyle w:val="ListParagraph"/>
        <w:numPr>
          <w:ilvl w:val="0"/>
          <w:numId w:val="2"/>
        </w:numPr>
        <w:spacing w:after="40" w:before="40"/>
      </w:pPr>
      <w:r>
        <w:rPr>
          <w:rFonts w:ascii="Arial" w:cs="Arial" w:eastAsia="Arial" w:hAnsi="Arial"/>
          <w:color w:val="334155"/>
          <w:sz w:val="22"/>
          <w:szCs w:val="22"/>
        </w:rPr>
        <w:t xml:space="preserve">Config A – Config E: Gagal memenuhi kriteria performa minimum.</w:t>
      </w:r>
    </w:p>
    <w:p>
      <w:pPr>
        <w:pStyle w:val="ListParagraph"/>
        <w:numPr>
          <w:ilvl w:val="0"/>
          <w:numId w:val="2"/>
        </w:numPr>
        <w:spacing w:after="40" w:before="40"/>
      </w:pPr>
      <w:r>
        <w:rPr>
          <w:rFonts w:ascii="Arial" w:cs="Arial" w:eastAsia="Arial" w:hAnsi="Arial"/>
          <w:color w:val="334155"/>
          <w:sz w:val="22"/>
          <w:szCs w:val="22"/>
        </w:rPr>
        <w:t xml:space="preserve">Config F: Dipilih sebagai konfigurasi produksi utama — performa paling konsisten.</w:t>
      </w:r>
    </w:p>
    <w:p>
      <w:pPr>
        <w:pStyle w:val="ListParagraph"/>
        <w:numPr>
          <w:ilvl w:val="0"/>
          <w:numId w:val="2"/>
        </w:numPr>
        <w:spacing w:after="40" w:before="40"/>
      </w:pPr>
      <w:r>
        <w:rPr>
          <w:rFonts w:ascii="Arial" w:cs="Arial" w:eastAsia="Arial" w:hAnsi="Arial"/>
          <w:color w:val="334155"/>
          <w:sz w:val="22"/>
          <w:szCs w:val="22"/>
        </w:rPr>
        <w:t xml:space="preserve">Config G: Runner-up — ditahan sebagai kandidat alternatif jika Config F mengalami degradasi.</w:t>
      </w:r>
    </w:p>
    <w:p>
      <w:pPr>
        <w:pStyle w:val="ListParagraph"/>
        <w:numPr>
          <w:ilvl w:val="0"/>
          <w:numId w:val="2"/>
        </w:numPr>
        <w:spacing w:after="40" w:before="40"/>
      </w:pPr>
      <w:r>
        <w:rPr>
          <w:rFonts w:ascii="Arial" w:cs="Arial" w:eastAsia="Arial" w:hAnsi="Arial"/>
          <w:color w:val="334155"/>
          <w:sz w:val="22"/>
          <w:szCs w:val="22"/>
        </w:rPr>
        <w:t xml:space="preserve">Config H – Config I: Tahap eksperimen lanjutan.</w:t>
      </w:r>
    </w:p>
    <w:p>
      <w:pPr>
        <w:spacing w:after="80" w:before="80"/>
      </w:pPr>
      <w:r>
        <w:t xml:space="preserve"/>
      </w:r>
    </w:p>
    <w:p>
      <w:pPr>
        <w:spacing w:after="80" w:before="80"/>
        <w:jc w:val="both"/>
      </w:pPr>
      <w:r>
        <w:rPr>
          <w:rFonts w:ascii="Arial" w:cs="Arial" w:eastAsia="Arial" w:hAnsi="Arial"/>
          <w:color w:val="334155"/>
          <w:sz w:val="22"/>
          <w:szCs w:val="22"/>
        </w:rPr>
        <w:t xml:space="preserve">Proses ini menjadikan QuantBit bukan sekadar opini — melainkan hasil penelitian dan validasi yang panjang.</w:t>
      </w:r>
    </w:p>
    <w:p>
      <w:pPr>
        <w:spacing w:after="80" w:before="8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4.5 Hasil Historis (Backtest 2020–2026)</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Portofolio</w:t>
            </w:r>
          </w:p>
        </w:tc>
        <w:tc>
          <w:tcPr>
            <w:tcW w:type="dxa" w:w="636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Nilai Akhir (dari Rp100 juta)</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QuantBit (Config F)</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Rp 641.281.945</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Emas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Rp 356.679.338</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IHSG (Buy &amp; Hold)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Rp 95.018.188</w:t>
            </w:r>
          </w:p>
        </w:tc>
      </w:tr>
    </w:tbl>
    <w:p>
      <w:pPr>
        <w:spacing w:after="80" w:before="80"/>
      </w:pPr>
      <w:r>
        <w:t xml:space="preserve"/>
      </w:r>
    </w:p>
    <w:p>
      <w:pPr>
        <w:spacing w:after="80" w:before="80"/>
        <w:jc w:val="both"/>
      </w:pPr>
      <w:r>
        <w:rPr>
          <w:rFonts w:ascii="Arial" w:cs="Arial" w:eastAsia="Arial" w:hAnsi="Arial"/>
          <w:color w:val="334155"/>
          <w:sz w:val="22"/>
          <w:szCs w:val="22"/>
        </w:rPr>
        <w:t xml:space="preserve">Catatan: Hasil historis tidak menjamin performa masa depan. Angka ini digunakan sebagai referensi validasi sistem, bukan janji imbal hasil.</w:t>
      </w:r>
    </w:p>
    <w:p>
      <w:pPr>
        <w:spacing w:after="80" w:before="80"/>
      </w:pPr>
      <w:r>
        <w:t xml:space="preserve"/>
      </w:r>
    </w:p>
    <w:p>
      <w:pPr>
        <w:pBdr>
          <w:bottom w:val="single" w:color="CCFBF1" w:sz="4" w:space="1"/>
        </w:pBdr>
        <w:spacing w:after="120" w:before="120"/>
      </w:pPr>
      <w:r>
        <w:t xml:space="preserve"/>
      </w:r>
    </w:p>
    <w:p>
      <w:pPr>
        <w:pStyle w:val="Heading1"/>
        <w:pBdr>
          <w:bottom w:val="single" w:color="0F766E" w:sz="6" w:space="1"/>
        </w:pBdr>
        <w:shd w:fill="0D9488" w:val="clear"/>
        <w:spacing w:after="120" w:before="360"/>
        <w:ind w:left="240" w:right="240"/>
      </w:pPr>
      <w:r>
        <w:rPr>
          <w:rFonts w:ascii="Arial" w:cs="Arial" w:eastAsia="Arial" w:hAnsi="Arial"/>
          <w:b/>
          <w:bCs/>
          <w:color w:val="FFFFFF"/>
          <w:sz w:val="32"/>
          <w:szCs w:val="32"/>
        </w:rPr>
        <w:t xml:space="preserve">5. TARGET PENGGUNA &amp; USER PERSONA</w:t>
      </w:r>
    </w:p>
    <w:p>
      <w:pPr>
        <w:spacing w:after="80" w:before="8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5.1 Segmen Utama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Segmen</w:t>
            </w:r>
          </w:p>
        </w:tc>
        <w:tc>
          <w:tcPr>
            <w:tcW w:type="dxa" w:w="636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Karakteristik</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Investor Retail Aktif</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Sudah berinvestasi di IDX, memiliki rekening sekuritas aktif, ingin sistem yang lebih terstruktur daripada analisis manual atau ikut-ikutan komunitas.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Investor Pemula Serius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Baru memulai investasi tetapi ingin pendekatan yang berbasis data, bukan sekedar tips saham dari media sosial.</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Investor Dengan Kesibukan Tinggi</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Tidak punya waktu untuk riset mendalam, butuh ringkasan keputusan yang siap pakai setiap minggu.</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Komunitas Quant / Trader Sistematis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Tertarik pada pendekatan kuantitatif, ingin akses ke mesin ranking dan backtest data.</w:t>
            </w:r>
          </w:p>
        </w:tc>
      </w:tr>
    </w:tbl>
    <w:p>
      <w:pPr>
        <w:spacing w:after="80" w:before="8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5.2 User Need Statement</w:t>
      </w:r>
    </w:p>
    <w:p>
      <w:pPr>
        <w:spacing w:after="80" w:before="80"/>
        <w:jc w:val="both"/>
      </w:pPr>
      <w:r>
        <w:rPr>
          <w:rFonts w:ascii="Arial" w:cs="Arial" w:eastAsia="Arial" w:hAnsi="Arial"/>
          <w:color w:val="334155"/>
          <w:sz w:val="22"/>
          <w:szCs w:val="22"/>
        </w:rPr>
        <w:t xml:space="preserve">Sebagai investor retail Indonesia, saya membutuhkan sistem yang dapat mengubah data pasar yang kompleks menjadi keputusan investasi yang jelas — tanpa harus menjadi analis profesional atau menghabiskan berjam-jam membaca berita dan laporan keuangan.</w:t>
      </w:r>
    </w:p>
    <w:p>
      <w:pPr>
        <w:spacing w:after="80" w:before="80"/>
      </w:pPr>
      <w:r>
        <w:t xml:space="preserve"/>
      </w:r>
    </w:p>
    <w:p>
      <w:pPr>
        <w:pBdr>
          <w:bottom w:val="single" w:color="CCFBF1" w:sz="4" w:space="1"/>
        </w:pBdr>
        <w:spacing w:after="120" w:before="120"/>
      </w:pPr>
      <w:r>
        <w:t xml:space="preserve"/>
      </w:r>
    </w:p>
    <w:p>
      <w:pPr>
        <w:pStyle w:val="Heading1"/>
        <w:pBdr>
          <w:bottom w:val="single" w:color="0F766E" w:sz="6" w:space="1"/>
        </w:pBdr>
        <w:shd w:fill="0D9488" w:val="clear"/>
        <w:spacing w:after="120" w:before="360"/>
        <w:ind w:left="240" w:right="240"/>
      </w:pPr>
      <w:r>
        <w:rPr>
          <w:rFonts w:ascii="Arial" w:cs="Arial" w:eastAsia="Arial" w:hAnsi="Arial"/>
          <w:b/>
          <w:bCs/>
          <w:color w:val="FFFFFF"/>
          <w:sz w:val="32"/>
          <w:szCs w:val="32"/>
        </w:rPr>
        <w:t xml:space="preserve">6. ROADMAP PRODUK — 6 FASE</w:t>
      </w:r>
    </w:p>
    <w:p>
      <w:pPr>
        <w:spacing w:after="80" w:before="80"/>
      </w:pPr>
      <w:r>
        <w:t xml:space="preserve"/>
      </w:r>
    </w:p>
    <w:p>
      <w:pPr>
        <w:spacing w:after="80" w:before="80"/>
        <w:jc w:val="both"/>
      </w:pPr>
      <w:r>
        <w:rPr>
          <w:rFonts w:ascii="Arial" w:cs="Arial" w:eastAsia="Arial" w:hAnsi="Arial"/>
          <w:color w:val="334155"/>
          <w:sz w:val="22"/>
          <w:szCs w:val="22"/>
        </w:rPr>
        <w:t xml:space="preserve">QuantBit dikembangkan secara bertahap melalui enam fase. Setiap fase membangun di atas fase sebelumnya, dengan validasi pasar di setiap tahap sebelum melanjutkan ke fase berikutnya.</w:t>
      </w:r>
    </w:p>
    <w:p>
      <w:pPr>
        <w:spacing w:after="120" w:before="12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FASE 1 — QuantBit Weekly Report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Tujuan</w:t>
            </w:r>
          </w:p>
        </w:tc>
        <w:tc>
          <w:tcPr>
            <w:tcW w:type="dxa" w:w="736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Membuktikan bahwa investor bersedia membayar untuk hasil analisis QuantBit (product-market fit awal).</w:t>
            </w:r>
          </w:p>
        </w:tc>
      </w:tr>
    </w:tbl>
    <w:p>
      <w:pPr>
        <w:spacing w:after="80" w:before="80"/>
      </w:pPr>
      <w:r>
        <w:t xml:space="preserve"/>
      </w:r>
    </w:p>
    <w:p>
      <w:pPr>
        <w:pStyle w:val="Heading3"/>
        <w:spacing w:after="80" w:before="200"/>
      </w:pPr>
      <w:r>
        <w:rPr>
          <w:rFonts w:ascii="Arial" w:cs="Arial" w:eastAsia="Arial" w:hAnsi="Arial"/>
          <w:b/>
          <w:bCs/>
          <w:color w:val="334155"/>
          <w:sz w:val="24"/>
          <w:szCs w:val="24"/>
        </w:rPr>
        <w:t xml:space="preserve">Deliverable Utama</w:t>
      </w:r>
    </w:p>
    <w:p>
      <w:pPr>
        <w:pStyle w:val="ListParagraph"/>
        <w:numPr>
          <w:ilvl w:val="0"/>
          <w:numId w:val="2"/>
        </w:numPr>
        <w:spacing w:after="40" w:before="40"/>
      </w:pPr>
      <w:r>
        <w:rPr>
          <w:rFonts w:ascii="Arial" w:cs="Arial" w:eastAsia="Arial" w:hAnsi="Arial"/>
          <w:color w:val="334155"/>
          <w:sz w:val="22"/>
          <w:szCs w:val="22"/>
        </w:rPr>
        <w:t xml:space="preserve">Laporan mingguan dalam format PDF/digital yang dikirimkan secara berkala.</w:t>
      </w:r>
    </w:p>
    <w:p>
      <w:pPr>
        <w:pStyle w:val="ListParagraph"/>
        <w:numPr>
          <w:ilvl w:val="0"/>
          <w:numId w:val="2"/>
        </w:numPr>
        <w:spacing w:after="40" w:before="40"/>
      </w:pPr>
      <w:r>
        <w:rPr>
          <w:rFonts w:ascii="Arial" w:cs="Arial" w:eastAsia="Arial" w:hAnsi="Arial"/>
          <w:color w:val="334155"/>
          <w:sz w:val="22"/>
          <w:szCs w:val="22"/>
        </w:rPr>
        <w:t xml:space="preserve">Ringkasan kondisi pasar dan market regime saat ini (Risk On / Neutral / Off).</w:t>
      </w:r>
    </w:p>
    <w:p>
      <w:pPr>
        <w:pStyle w:val="ListParagraph"/>
        <w:numPr>
          <w:ilvl w:val="0"/>
          <w:numId w:val="2"/>
        </w:numPr>
        <w:spacing w:after="40" w:before="40"/>
      </w:pPr>
      <w:r>
        <w:rPr>
          <w:rFonts w:ascii="Arial" w:cs="Arial" w:eastAsia="Arial" w:hAnsi="Arial"/>
          <w:color w:val="334155"/>
          <w:sz w:val="22"/>
          <w:szCs w:val="22"/>
        </w:rPr>
        <w:t xml:space="preserve">Daftar Top 5 saham pilihan beserta skor faktor masing-masing.</w:t>
      </w:r>
    </w:p>
    <w:p>
      <w:pPr>
        <w:pStyle w:val="ListParagraph"/>
        <w:numPr>
          <w:ilvl w:val="0"/>
          <w:numId w:val="2"/>
        </w:numPr>
        <w:spacing w:after="40" w:before="40"/>
      </w:pPr>
      <w:r>
        <w:rPr>
          <w:rFonts w:ascii="Arial" w:cs="Arial" w:eastAsia="Arial" w:hAnsi="Arial"/>
          <w:color w:val="334155"/>
          <w:sz w:val="22"/>
          <w:szCs w:val="22"/>
        </w:rPr>
        <w:t xml:space="preserve">Rekomendasi alokasi saham vs emas berdasarkan kondisi pasar.</w:t>
      </w:r>
    </w:p>
    <w:p>
      <w:pPr>
        <w:pStyle w:val="ListParagraph"/>
        <w:numPr>
          <w:ilvl w:val="0"/>
          <w:numId w:val="2"/>
        </w:numPr>
        <w:spacing w:after="40" w:before="40"/>
      </w:pPr>
      <w:r>
        <w:rPr>
          <w:rFonts w:ascii="Arial" w:cs="Arial" w:eastAsia="Arial" w:hAnsi="Arial"/>
          <w:color w:val="334155"/>
          <w:sz w:val="22"/>
          <w:szCs w:val="22"/>
        </w:rPr>
        <w:t xml:space="preserve">Risk summary — metrik risiko portofolio keseluruhan.</w:t>
      </w:r>
    </w:p>
    <w:p>
      <w:pPr>
        <w:pStyle w:val="ListParagraph"/>
        <w:numPr>
          <w:ilvl w:val="0"/>
          <w:numId w:val="2"/>
        </w:numPr>
        <w:spacing w:after="40" w:before="40"/>
      </w:pPr>
      <w:r>
        <w:rPr>
          <w:rFonts w:ascii="Arial" w:cs="Arial" w:eastAsia="Arial" w:hAnsi="Arial"/>
          <w:color w:val="334155"/>
          <w:sz w:val="22"/>
          <w:szCs w:val="22"/>
        </w:rPr>
        <w:t xml:space="preserve">AI Explanation — narasi penjelasan hasil analisis dalam bahasa yang mudah dipahami.</w:t>
      </w:r>
    </w:p>
    <w:p>
      <w:pPr>
        <w:spacing w:after="80" w:before="80"/>
      </w:pPr>
      <w:r>
        <w:t xml:space="preserve"/>
      </w:r>
    </w:p>
    <w:p>
      <w:pPr>
        <w:pStyle w:val="Heading3"/>
        <w:spacing w:after="80" w:before="200"/>
      </w:pPr>
      <w:r>
        <w:rPr>
          <w:rFonts w:ascii="Arial" w:cs="Arial" w:eastAsia="Arial" w:hAnsi="Arial"/>
          <w:b/>
          <w:bCs/>
          <w:color w:val="334155"/>
          <w:sz w:val="24"/>
          <w:szCs w:val="24"/>
        </w:rPr>
        <w:t xml:space="preserve">Kriteria Sukses Fase 1</w:t>
      </w:r>
    </w:p>
    <w:p>
      <w:pPr>
        <w:pStyle w:val="ListParagraph"/>
        <w:numPr>
          <w:ilvl w:val="0"/>
          <w:numId w:val="2"/>
        </w:numPr>
        <w:spacing w:after="40" w:before="40"/>
      </w:pPr>
      <w:r>
        <w:rPr>
          <w:rFonts w:ascii="Arial" w:cs="Arial" w:eastAsia="Arial" w:hAnsi="Arial"/>
          <w:color w:val="334155"/>
          <w:sz w:val="22"/>
          <w:szCs w:val="22"/>
        </w:rPr>
        <w:t xml:space="preserve">Minimal 50 pelanggan berbayar dalam 3 bulan pertama.</w:t>
      </w:r>
    </w:p>
    <w:p>
      <w:pPr>
        <w:pStyle w:val="ListParagraph"/>
        <w:numPr>
          <w:ilvl w:val="0"/>
          <w:numId w:val="2"/>
        </w:numPr>
        <w:spacing w:after="40" w:before="40"/>
      </w:pPr>
      <w:r>
        <w:rPr>
          <w:rFonts w:ascii="Arial" w:cs="Arial" w:eastAsia="Arial" w:hAnsi="Arial"/>
          <w:color w:val="334155"/>
          <w:sz w:val="22"/>
          <w:szCs w:val="22"/>
        </w:rPr>
        <w:t xml:space="preserve">Retention rate &gt; 60% setelah bulan pertama.</w:t>
      </w:r>
    </w:p>
    <w:p>
      <w:pPr>
        <w:pStyle w:val="ListParagraph"/>
        <w:numPr>
          <w:ilvl w:val="0"/>
          <w:numId w:val="2"/>
        </w:numPr>
        <w:spacing w:after="40" w:before="40"/>
      </w:pPr>
      <w:r>
        <w:rPr>
          <w:rFonts w:ascii="Arial" w:cs="Arial" w:eastAsia="Arial" w:hAnsi="Arial"/>
          <w:color w:val="334155"/>
          <w:sz w:val="22"/>
          <w:szCs w:val="22"/>
        </w:rPr>
        <w:t xml:space="preserve">Net Promoter Score (NPS) &gt; 30.</w:t>
      </w:r>
    </w:p>
    <w:p>
      <w:pPr>
        <w:spacing w:after="120" w:before="12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FASE 2 — QuantBit Membership</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Tujuan</w:t>
            </w:r>
          </w:p>
        </w:tc>
        <w:tc>
          <w:tcPr>
            <w:tcW w:type="dxa" w:w="736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Membangun komunitas pelanggan berbayar dengan akses ke arsip data historis dan fitur tambahan.</w:t>
            </w:r>
          </w:p>
        </w:tc>
      </w:tr>
    </w:tbl>
    <w:p>
      <w:pPr>
        <w:spacing w:after="80" w:before="80"/>
      </w:pPr>
      <w:r>
        <w:t xml:space="preserve"/>
      </w:r>
    </w:p>
    <w:p>
      <w:pPr>
        <w:pStyle w:val="Heading3"/>
        <w:spacing w:after="80" w:before="200"/>
      </w:pPr>
      <w:r>
        <w:rPr>
          <w:rFonts w:ascii="Arial" w:cs="Arial" w:eastAsia="Arial" w:hAnsi="Arial"/>
          <w:b/>
          <w:bCs/>
          <w:color w:val="334155"/>
          <w:sz w:val="24"/>
          <w:szCs w:val="24"/>
        </w:rPr>
        <w:t xml:space="preserve">Penambahan Fitur dari Fase 1</w:t>
      </w:r>
    </w:p>
    <w:p>
      <w:pPr>
        <w:pStyle w:val="ListParagraph"/>
        <w:numPr>
          <w:ilvl w:val="0"/>
          <w:numId w:val="2"/>
        </w:numPr>
        <w:spacing w:after="40" w:before="40"/>
      </w:pPr>
      <w:r>
        <w:rPr>
          <w:rFonts w:ascii="Arial" w:cs="Arial" w:eastAsia="Arial" w:hAnsi="Arial"/>
          <w:color w:val="334155"/>
          <w:sz w:val="22"/>
          <w:szCs w:val="22"/>
        </w:rPr>
        <w:t xml:space="preserve">Arsip Report: akses ke seluruh laporan mingguan historis.</w:t>
      </w:r>
    </w:p>
    <w:p>
      <w:pPr>
        <w:pStyle w:val="ListParagraph"/>
        <w:numPr>
          <w:ilvl w:val="0"/>
          <w:numId w:val="2"/>
        </w:numPr>
        <w:spacing w:after="40" w:before="40"/>
      </w:pPr>
      <w:r>
        <w:rPr>
          <w:rFonts w:ascii="Arial" w:cs="Arial" w:eastAsia="Arial" w:hAnsi="Arial"/>
          <w:color w:val="334155"/>
          <w:sz w:val="22"/>
          <w:szCs w:val="22"/>
        </w:rPr>
        <w:t xml:space="preserve">Historical Ranking: lihat bagaimana ranking saham berubah dari waktu ke waktu.</w:t>
      </w:r>
    </w:p>
    <w:p>
      <w:pPr>
        <w:pStyle w:val="ListParagraph"/>
        <w:numPr>
          <w:ilvl w:val="0"/>
          <w:numId w:val="2"/>
        </w:numPr>
        <w:spacing w:after="40" w:before="40"/>
      </w:pPr>
      <w:r>
        <w:rPr>
          <w:rFonts w:ascii="Arial" w:cs="Arial" w:eastAsia="Arial" w:hAnsi="Arial"/>
          <w:color w:val="334155"/>
          <w:sz w:val="22"/>
          <w:szCs w:val="22"/>
        </w:rPr>
        <w:t xml:space="preserve">Historical Regime: timeline kondisi pasar dari 2020 hingga saat ini.</w:t>
      </w:r>
    </w:p>
    <w:p>
      <w:pPr>
        <w:pStyle w:val="ListParagraph"/>
        <w:numPr>
          <w:ilvl w:val="0"/>
          <w:numId w:val="2"/>
        </w:numPr>
        <w:spacing w:after="40" w:before="40"/>
      </w:pPr>
      <w:r>
        <w:rPr>
          <w:rFonts w:ascii="Arial" w:cs="Arial" w:eastAsia="Arial" w:hAnsi="Arial"/>
          <w:color w:val="334155"/>
          <w:sz w:val="22"/>
          <w:szCs w:val="22"/>
        </w:rPr>
        <w:t xml:space="preserve">Watchlist Premium: pengguna dapat membuat watchlist dan mendapatkan notifikasi perubahan skor.</w:t>
      </w:r>
    </w:p>
    <w:p>
      <w:pPr>
        <w:spacing w:after="80" w:before="80"/>
      </w:pPr>
      <w:r>
        <w:t xml:space="preserve"/>
      </w:r>
    </w:p>
    <w:p>
      <w:pPr>
        <w:pStyle w:val="Heading3"/>
        <w:spacing w:after="80" w:before="200"/>
      </w:pPr>
      <w:r>
        <w:rPr>
          <w:rFonts w:ascii="Arial" w:cs="Arial" w:eastAsia="Arial" w:hAnsi="Arial"/>
          <w:b/>
          <w:bCs/>
          <w:color w:val="334155"/>
          <w:sz w:val="24"/>
          <w:szCs w:val="24"/>
        </w:rPr>
        <w:t xml:space="preserve">Model Bisnis</w:t>
      </w:r>
    </w:p>
    <w:p>
      <w:pPr>
        <w:pStyle w:val="ListParagraph"/>
        <w:numPr>
          <w:ilvl w:val="0"/>
          <w:numId w:val="2"/>
        </w:numPr>
        <w:spacing w:after="40" w:before="40"/>
      </w:pPr>
      <w:r>
        <w:rPr>
          <w:rFonts w:ascii="Arial" w:cs="Arial" w:eastAsia="Arial" w:hAnsi="Arial"/>
          <w:color w:val="334155"/>
          <w:sz w:val="22"/>
          <w:szCs w:val="22"/>
        </w:rPr>
        <w:t xml:space="preserve">Langganan bulanan dan/atau tahunan.</w:t>
      </w:r>
    </w:p>
    <w:p>
      <w:pPr>
        <w:pStyle w:val="ListParagraph"/>
        <w:numPr>
          <w:ilvl w:val="0"/>
          <w:numId w:val="2"/>
        </w:numPr>
        <w:spacing w:after="40" w:before="40"/>
      </w:pPr>
      <w:r>
        <w:rPr>
          <w:rFonts w:ascii="Arial" w:cs="Arial" w:eastAsia="Arial" w:hAnsi="Arial"/>
          <w:color w:val="334155"/>
          <w:sz w:val="22"/>
          <w:szCs w:val="22"/>
        </w:rPr>
        <w:t xml:space="preserve">Dua tier: Basic (report saja) dan Premium (report + arsip + watchlist).</w:t>
      </w:r>
    </w:p>
    <w:p>
      <w:pPr>
        <w:spacing w:after="120" w:before="12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FASE 3 — QuantBit Terminal</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Tujuan</w:t>
            </w:r>
          </w:p>
        </w:tc>
        <w:tc>
          <w:tcPr>
            <w:tcW w:type="dxa" w:w="736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Memberikan akses langsung ke mesin QuantBit melalui dashboard interaktif berbasis web.</w:t>
            </w:r>
          </w:p>
        </w:tc>
      </w:tr>
    </w:tbl>
    <w:p>
      <w:pPr>
        <w:spacing w:after="80" w:before="80"/>
      </w:pPr>
      <w:r>
        <w:t xml:space="preserve"/>
      </w:r>
    </w:p>
    <w:p>
      <w:pPr>
        <w:pStyle w:val="Heading3"/>
        <w:spacing w:after="80" w:before="200"/>
      </w:pPr>
      <w:r>
        <w:rPr>
          <w:rFonts w:ascii="Arial" w:cs="Arial" w:eastAsia="Arial" w:hAnsi="Arial"/>
          <w:b/>
          <w:bCs/>
          <w:color w:val="334155"/>
          <w:sz w:val="24"/>
          <w:szCs w:val="24"/>
        </w:rPr>
        <w:t xml:space="preserve">Modul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Modul</w:t>
            </w:r>
          </w:p>
        </w:tc>
        <w:tc>
          <w:tcPr>
            <w:tcW w:type="dxa" w:w="636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Stock Ranking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Ranking real-time seluruh saham IDX berdasarkan skor QuantBit (Quality, Growth, Value, Momentum).</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Market Dashboard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Overview kondisi pasar: regime saat ini, indikator teknikal utama, statistik pasar.</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Backtest Dashboard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Visualisasi performa historis Config F vs benchmark (IHSG, Emas) dengan parameter yang dapat dikustomisasi.</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Research Dashboard</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Detail faktor per saham, trend skor historis, perbandingan antar saham.</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Historical Analysis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Analisis kondisi pasar historis dan korelasinya dengan performa portofolio.</w:t>
            </w:r>
          </w:p>
        </w:tc>
      </w:tr>
    </w:tbl>
    <w:p>
      <w:pPr>
        <w:spacing w:after="80" w:before="80"/>
      </w:pPr>
      <w:r>
        <w:t xml:space="preserve"/>
      </w:r>
    </w:p>
    <w:p>
      <w:pPr>
        <w:pStyle w:val="Heading3"/>
        <w:spacing w:after="80" w:before="200"/>
      </w:pPr>
      <w:r>
        <w:rPr>
          <w:rFonts w:ascii="Arial" w:cs="Arial" w:eastAsia="Arial" w:hAnsi="Arial"/>
          <w:b/>
          <w:bCs/>
          <w:color w:val="334155"/>
          <w:sz w:val="24"/>
          <w:szCs w:val="24"/>
        </w:rPr>
        <w:t xml:space="preserve">Stack Teknologi (Rencana)</w:t>
      </w:r>
    </w:p>
    <w:p>
      <w:pPr>
        <w:pStyle w:val="ListParagraph"/>
        <w:numPr>
          <w:ilvl w:val="0"/>
          <w:numId w:val="2"/>
        </w:numPr>
        <w:spacing w:after="40" w:before="40"/>
      </w:pPr>
      <w:r>
        <w:rPr>
          <w:rFonts w:ascii="Arial" w:cs="Arial" w:eastAsia="Arial" w:hAnsi="Arial"/>
          <w:color w:val="334155"/>
          <w:sz w:val="22"/>
          <w:szCs w:val="22"/>
        </w:rPr>
        <w:t xml:space="preserve">Frontend: React + TypeScript + Vite, TradingView Lightweight Charts.</w:t>
      </w:r>
    </w:p>
    <w:p>
      <w:pPr>
        <w:pStyle w:val="ListParagraph"/>
        <w:numPr>
          <w:ilvl w:val="0"/>
          <w:numId w:val="2"/>
        </w:numPr>
        <w:spacing w:after="40" w:before="40"/>
      </w:pPr>
      <w:r>
        <w:rPr>
          <w:rFonts w:ascii="Arial" w:cs="Arial" w:eastAsia="Arial" w:hAnsi="Arial"/>
          <w:color w:val="334155"/>
          <w:sz w:val="22"/>
          <w:szCs w:val="22"/>
        </w:rPr>
        <w:t xml:space="preserve">Backend: Python, FastAPI/Flask, data pipeline dari Yahoo Finance + Sectors.app.</w:t>
      </w:r>
    </w:p>
    <w:p>
      <w:pPr>
        <w:pStyle w:val="ListParagraph"/>
        <w:numPr>
          <w:ilvl w:val="0"/>
          <w:numId w:val="2"/>
        </w:numPr>
        <w:spacing w:after="40" w:before="40"/>
      </w:pPr>
      <w:r>
        <w:rPr>
          <w:rFonts w:ascii="Arial" w:cs="Arial" w:eastAsia="Arial" w:hAnsi="Arial"/>
          <w:color w:val="334155"/>
          <w:sz w:val="22"/>
          <w:szCs w:val="22"/>
        </w:rPr>
        <w:t xml:space="preserve">Deployment: Cloudflare Workers / Pages.</w:t>
      </w:r>
    </w:p>
    <w:p>
      <w:pPr>
        <w:spacing w:after="120" w:before="12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FASE 4 — QuantBit Decision Engine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Tujuan</w:t>
            </w:r>
          </w:p>
        </w:tc>
        <w:tc>
          <w:tcPr>
            <w:tcW w:type="dxa" w:w="736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Menggeser fokus dashboard dari data ke keputusan — menjawab pertanyaan 'Apa yang harus saya lakukan sekarang?'</w:t>
            </w:r>
          </w:p>
        </w:tc>
      </w:tr>
    </w:tbl>
    <w:p>
      <w:pPr>
        <w:spacing w:after="80" w:before="80"/>
      </w:pPr>
      <w:r>
        <w:t xml:space="preserve"/>
      </w:r>
    </w:p>
    <w:p>
      <w:pPr>
        <w:pStyle w:val="Heading3"/>
        <w:spacing w:after="80" w:before="200"/>
      </w:pPr>
      <w:r>
        <w:rPr>
          <w:rFonts w:ascii="Arial" w:cs="Arial" w:eastAsia="Arial" w:hAnsi="Arial"/>
          <w:b/>
          <w:bCs/>
          <w:color w:val="334155"/>
          <w:sz w:val="24"/>
          <w:szCs w:val="24"/>
        </w:rPr>
        <w:t xml:space="preserve">Output Utama</w:t>
      </w:r>
    </w:p>
    <w:p>
      <w:pPr>
        <w:pStyle w:val="ListParagraph"/>
        <w:numPr>
          <w:ilvl w:val="0"/>
          <w:numId w:val="2"/>
        </w:numPr>
        <w:spacing w:after="40" w:before="40"/>
      </w:pPr>
      <w:r>
        <w:rPr>
          <w:rFonts w:ascii="Arial" w:cs="Arial" w:eastAsia="Arial" w:hAnsi="Arial"/>
          <w:color w:val="334155"/>
          <w:sz w:val="22"/>
          <w:szCs w:val="22"/>
        </w:rPr>
        <w:t xml:space="preserve">Risk On / Risk Off / Risk Neutral indicator yang prominently ditampilkan.</w:t>
      </w:r>
    </w:p>
    <w:p>
      <w:pPr>
        <w:pStyle w:val="ListParagraph"/>
        <w:numPr>
          <w:ilvl w:val="0"/>
          <w:numId w:val="2"/>
        </w:numPr>
        <w:spacing w:after="40" w:before="40"/>
      </w:pPr>
      <w:r>
        <w:rPr>
          <w:rFonts w:ascii="Arial" w:cs="Arial" w:eastAsia="Arial" w:hAnsi="Arial"/>
          <w:color w:val="334155"/>
          <w:sz w:val="22"/>
          <w:szCs w:val="22"/>
        </w:rPr>
        <w:t xml:space="preserve">Rekomendasi alokasi saham dan emas yang spesifik (persentase).</w:t>
      </w:r>
    </w:p>
    <w:p>
      <w:pPr>
        <w:pStyle w:val="ListParagraph"/>
        <w:numPr>
          <w:ilvl w:val="0"/>
          <w:numId w:val="2"/>
        </w:numPr>
        <w:spacing w:after="40" w:before="40"/>
      </w:pPr>
      <w:r>
        <w:rPr>
          <w:rFonts w:ascii="Arial" w:cs="Arial" w:eastAsia="Arial" w:hAnsi="Arial"/>
          <w:color w:val="334155"/>
          <w:sz w:val="22"/>
          <w:szCs w:val="22"/>
        </w:rPr>
        <w:t xml:space="preserve">Top picks dengan justifikasi singkat berbasis faktor.</w:t>
      </w:r>
    </w:p>
    <w:p>
      <w:pPr>
        <w:pStyle w:val="ListParagraph"/>
        <w:numPr>
          <w:ilvl w:val="0"/>
          <w:numId w:val="2"/>
        </w:numPr>
        <w:spacing w:after="40" w:before="40"/>
      </w:pPr>
      <w:r>
        <w:rPr>
          <w:rFonts w:ascii="Arial" w:cs="Arial" w:eastAsia="Arial" w:hAnsi="Arial"/>
          <w:color w:val="334155"/>
          <w:sz w:val="22"/>
          <w:szCs w:val="22"/>
        </w:rPr>
        <w:t xml:space="preserve">Action items yang jelas: Buy, Hold, Review, Reduce.</w:t>
      </w:r>
    </w:p>
    <w:p>
      <w:pPr>
        <w:spacing w:after="80" w:before="80"/>
      </w:pPr>
      <w:r>
        <w:t xml:space="preserve"/>
      </w:r>
    </w:p>
    <w:p>
      <w:pPr>
        <w:pStyle w:val="Heading3"/>
        <w:spacing w:after="80" w:before="200"/>
      </w:pPr>
      <w:r>
        <w:rPr>
          <w:rFonts w:ascii="Arial" w:cs="Arial" w:eastAsia="Arial" w:hAnsi="Arial"/>
          <w:b/>
          <w:bCs/>
          <w:color w:val="334155"/>
          <w:sz w:val="24"/>
          <w:szCs w:val="24"/>
        </w:rPr>
        <w:t xml:space="preserve">Prinsip Desain</w:t>
      </w:r>
    </w:p>
    <w:p>
      <w:pPr>
        <w:spacing w:after="80" w:before="80"/>
        <w:jc w:val="both"/>
      </w:pPr>
      <w:r>
        <w:rPr>
          <w:rFonts w:ascii="Arial" w:cs="Arial" w:eastAsia="Arial" w:hAnsi="Arial"/>
          <w:color w:val="334155"/>
          <w:sz w:val="22"/>
          <w:szCs w:val="22"/>
        </w:rPr>
        <w:t xml:space="preserve">Dashboard Decision Engine harus dapat dibaca dan dipahami dalam waktu kurang dari 60 detik. Kompleksitas disembunyikan di balik antarmuka yang sederhana.</w:t>
      </w:r>
    </w:p>
    <w:p>
      <w:pPr>
        <w:spacing w:after="120" w:before="12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FASE 5 — QuantBit AI Analyst</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Tujuan</w:t>
            </w:r>
          </w:p>
        </w:tc>
        <w:tc>
          <w:tcPr>
            <w:tcW w:type="dxa" w:w="736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Menyediakan AI berbasis data internal QuantBit yang dapat menjawab pertanyaan spesifik tentang analisis sistem.</w:t>
            </w:r>
          </w:p>
        </w:tc>
      </w:tr>
    </w:tbl>
    <w:p>
      <w:pPr>
        <w:spacing w:after="80" w:before="80"/>
      </w:pPr>
      <w:r>
        <w:t xml:space="preserve"/>
      </w:r>
    </w:p>
    <w:p>
      <w:pPr>
        <w:pStyle w:val="Heading3"/>
        <w:spacing w:after="80" w:before="200"/>
      </w:pPr>
      <w:r>
        <w:rPr>
          <w:rFonts w:ascii="Arial" w:cs="Arial" w:eastAsia="Arial" w:hAnsi="Arial"/>
          <w:b/>
          <w:bCs/>
          <w:color w:val="334155"/>
          <w:sz w:val="24"/>
          <w:szCs w:val="24"/>
        </w:rPr>
        <w:t xml:space="preserve">Contoh Interaksi</w:t>
      </w:r>
    </w:p>
    <w:p>
      <w:pPr>
        <w:pStyle w:val="ListParagraph"/>
        <w:numPr>
          <w:ilvl w:val="0"/>
          <w:numId w:val="2"/>
        </w:numPr>
        <w:spacing w:after="40" w:before="40"/>
      </w:pPr>
      <w:r>
        <w:rPr>
          <w:rFonts w:ascii="Arial" w:cs="Arial" w:eastAsia="Arial" w:hAnsi="Arial"/>
          <w:color w:val="334155"/>
          <w:sz w:val="22"/>
          <w:szCs w:val="22"/>
        </w:rPr>
        <w:t xml:space="preserve">"Mengapa BBCA masuk ranking minggu ini?"</w:t>
      </w:r>
    </w:p>
    <w:p>
      <w:pPr>
        <w:pStyle w:val="ListParagraph"/>
        <w:numPr>
          <w:ilvl w:val="0"/>
          <w:numId w:val="2"/>
        </w:numPr>
        <w:spacing w:after="40" w:before="40"/>
      </w:pPr>
      <w:r>
        <w:rPr>
          <w:rFonts w:ascii="Arial" w:cs="Arial" w:eastAsia="Arial" w:hAnsi="Arial"/>
          <w:color w:val="334155"/>
          <w:sz w:val="22"/>
          <w:szCs w:val="22"/>
        </w:rPr>
        <w:t xml:space="preserve">"Kenapa skor BMRI turun dari minggu lalu?"</w:t>
      </w:r>
    </w:p>
    <w:p>
      <w:pPr>
        <w:pStyle w:val="ListParagraph"/>
        <w:numPr>
          <w:ilvl w:val="0"/>
          <w:numId w:val="2"/>
        </w:numPr>
        <w:spacing w:after="40" w:before="40"/>
      </w:pPr>
      <w:r>
        <w:rPr>
          <w:rFonts w:ascii="Arial" w:cs="Arial" w:eastAsia="Arial" w:hAnsi="Arial"/>
          <w:color w:val="334155"/>
          <w:sz w:val="22"/>
          <w:szCs w:val="22"/>
        </w:rPr>
        <w:t xml:space="preserve">"Kenapa sistem merekomendasikan shift ke emas bulan ini?"</w:t>
      </w:r>
    </w:p>
    <w:p>
      <w:pPr>
        <w:pStyle w:val="ListParagraph"/>
        <w:numPr>
          <w:ilvl w:val="0"/>
          <w:numId w:val="2"/>
        </w:numPr>
        <w:spacing w:after="40" w:before="40"/>
      </w:pPr>
      <w:r>
        <w:rPr>
          <w:rFonts w:ascii="Arial" w:cs="Arial" w:eastAsia="Arial" w:hAnsi="Arial"/>
          <w:color w:val="334155"/>
          <w:sz w:val="22"/>
          <w:szCs w:val="22"/>
        </w:rPr>
        <w:t xml:space="preserve">"Bagaimana kondisi pasar dibandingkan dengan periode yang sama tahun lalu?"</w:t>
      </w:r>
    </w:p>
    <w:p>
      <w:pPr>
        <w:spacing w:after="80" w:before="80"/>
      </w:pPr>
      <w:r>
        <w:t xml:space="preserve"/>
      </w:r>
    </w:p>
    <w:p>
      <w:pPr>
        <w:pStyle w:val="Heading3"/>
        <w:spacing w:after="80" w:before="200"/>
      </w:pPr>
      <w:r>
        <w:rPr>
          <w:rFonts w:ascii="Arial" w:cs="Arial" w:eastAsia="Arial" w:hAnsi="Arial"/>
          <w:b/>
          <w:bCs/>
          <w:color w:val="334155"/>
          <w:sz w:val="24"/>
          <w:szCs w:val="24"/>
        </w:rPr>
        <w:t xml:space="preserve">Batasan Penting</w:t>
      </w:r>
    </w:p>
    <w:p>
      <w:pPr>
        <w:spacing w:after="80" w:before="80"/>
        <w:jc w:val="both"/>
      </w:pPr>
      <w:r>
        <w:rPr>
          <w:rFonts w:ascii="Arial" w:cs="Arial" w:eastAsia="Arial" w:hAnsi="Arial"/>
          <w:color w:val="334155"/>
          <w:sz w:val="22"/>
          <w:szCs w:val="22"/>
        </w:rPr>
        <w:t xml:space="preserve">AI Analyst TIDAK membuat analisis baru atau memberikan rekomendasi independen. AI hanya menjelaskan keputusan yang sudah dibuat oleh sistem QuantBit berdasarkan data. Ini memastikan konsistensi dan mencegah AI menghasilkan output yang kontradiktif dengan engine.</w:t>
      </w:r>
    </w:p>
    <w:p>
      <w:pPr>
        <w:spacing w:after="120" w:before="12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FASE 6 — QuantBit Portfolio Manager</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Tujuan</w:t>
            </w:r>
          </w:p>
        </w:tc>
        <w:tc>
          <w:tcPr>
            <w:tcW w:type="dxa" w:w="736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Membantu investor mengelola portofolio nyata mereka berdasarkan framework QuantBit.</w:t>
            </w:r>
          </w:p>
        </w:tc>
      </w:tr>
    </w:tbl>
    <w:p>
      <w:pPr>
        <w:spacing w:after="80" w:before="80"/>
      </w:pPr>
      <w:r>
        <w:t xml:space="preserve"/>
      </w:r>
    </w:p>
    <w:p>
      <w:pPr>
        <w:pStyle w:val="Heading3"/>
        <w:spacing w:after="80" w:before="200"/>
      </w:pPr>
      <w:r>
        <w:rPr>
          <w:rFonts w:ascii="Arial" w:cs="Arial" w:eastAsia="Arial" w:hAnsi="Arial"/>
          <w:b/>
          <w:bCs/>
          <w:color w:val="334155"/>
          <w:sz w:val="24"/>
          <w:szCs w:val="24"/>
        </w:rPr>
        <w:t xml:space="preserve">Fitur Utama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Fitur</w:t>
            </w:r>
          </w:p>
        </w:tc>
        <w:tc>
          <w:tcPr>
            <w:tcW w:type="dxa" w:w="636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Portfolio Score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Skor agregat portofolio pengguna berdasarkan bobot masing-masing saham dan skor faktornya.</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Diversification Score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Evaluasi diversifikasi — apakah pengguna terlalu terkonsentrasi di satu sektor atau faktor tertentu.</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Risk Score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Penilaian tingkat risiko portofolio secara keseluruhan relatif terhadap kondisi pasar saat ini.</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Rebalancing Recommendation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Saran konkret: tambah posisi X, kurangi posisi Y, shift ke emas Z%, berdasarkan Decision Engine.</w:t>
            </w:r>
          </w:p>
        </w:tc>
      </w:tr>
    </w:tbl>
    <w:p>
      <w:pPr>
        <w:spacing w:after="80" w:before="80"/>
      </w:pPr>
      <w:r>
        <w:t xml:space="preserve"/>
      </w:r>
    </w:p>
    <w:p>
      <w:pPr>
        <w:pBdr>
          <w:bottom w:val="single" w:color="CCFBF1" w:sz="4" w:space="1"/>
        </w:pBdr>
        <w:spacing w:after="120" w:before="120"/>
      </w:pPr>
      <w:r>
        <w:t xml:space="preserve"/>
      </w:r>
    </w:p>
    <w:p>
      <w:pPr>
        <w:pStyle w:val="Heading1"/>
        <w:pBdr>
          <w:bottom w:val="single" w:color="0F766E" w:sz="6" w:space="1"/>
        </w:pBdr>
        <w:shd w:fill="0D9488" w:val="clear"/>
        <w:spacing w:after="120" w:before="360"/>
        <w:ind w:left="240" w:right="240"/>
      </w:pPr>
      <w:r>
        <w:rPr>
          <w:rFonts w:ascii="Arial" w:cs="Arial" w:eastAsia="Arial" w:hAnsi="Arial"/>
          <w:b/>
          <w:bCs/>
          <w:color w:val="FFFFFF"/>
          <w:sz w:val="32"/>
          <w:szCs w:val="32"/>
        </w:rPr>
        <w:t xml:space="preserve">7. RENCANA EKSPANSI ASET</w:t>
      </w:r>
    </w:p>
    <w:p>
      <w:pPr>
        <w:spacing w:after="80" w:before="80"/>
      </w:pPr>
      <w:r>
        <w:t xml:space="preserve"/>
      </w:r>
    </w:p>
    <w:p>
      <w:pPr>
        <w:spacing w:after="80" w:before="80"/>
        <w:jc w:val="both"/>
      </w:pPr>
      <w:r>
        <w:rPr>
          <w:rFonts w:ascii="Arial" w:cs="Arial" w:eastAsia="Arial" w:hAnsi="Arial"/>
          <w:color w:val="334155"/>
          <w:sz w:val="22"/>
          <w:szCs w:val="22"/>
        </w:rPr>
        <w:t xml:space="preserve">QuantBit saat ini fokus pada Indonesia Equities (IDX) dan Emas — bukan karena keterbatasan teknologi, tetapi karena kualitas dan konsistensi data lebih diprioritaskan daripada kuantitas aset yang diliput. Ekspansi dilakukan secara bertahap setelah fondasi IDX matang.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Tahap Ekspansi</w:t>
            </w:r>
          </w:p>
        </w:tc>
        <w:tc>
          <w:tcPr>
            <w:tcW w:type="dxa" w:w="636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Aset / Data yang Ditambahkan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Saat ini (Core)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Saham IDX (~800 emiten) + Emas</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Tahap 1 (Kripto)</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Bitcoin (BTC) + Ethereum (ETH) — data relatif mudah diperoleh dan terstandarisasi.</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Tahap 2 (Makro)</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USD/IDR, BI Rate, Inflasi Indonesia, Data Makro Domestik — untuk meningkatkan kualitas Market Regime.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Tahap 3 (Global)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Saham Amerika Serikat + ETF Global — jika terdapat permintaan pengguna yang cukup besar.</w:t>
            </w:r>
          </w:p>
        </w:tc>
      </w:tr>
    </w:tbl>
    <w:p>
      <w:pPr>
        <w:spacing w:after="80" w:before="80"/>
      </w:pPr>
      <w:r>
        <w:t xml:space="preserve"/>
      </w:r>
    </w:p>
    <w:p>
      <w:pPr>
        <w:pBdr>
          <w:bottom w:val="single" w:color="CCFBF1" w:sz="4" w:space="1"/>
        </w:pBdr>
        <w:spacing w:after="120" w:before="120"/>
      </w:pPr>
      <w:r>
        <w:t xml:space="preserve"/>
      </w:r>
    </w:p>
    <w:p>
      <w:pPr>
        <w:pStyle w:val="Heading1"/>
        <w:pBdr>
          <w:bottom w:val="single" w:color="0F766E" w:sz="6" w:space="1"/>
        </w:pBdr>
        <w:shd w:fill="0D9488" w:val="clear"/>
        <w:spacing w:after="120" w:before="360"/>
        <w:ind w:left="240" w:right="240"/>
      </w:pPr>
      <w:r>
        <w:rPr>
          <w:rFonts w:ascii="Arial" w:cs="Arial" w:eastAsia="Arial" w:hAnsi="Arial"/>
          <w:b/>
          <w:bCs/>
          <w:color w:val="FFFFFF"/>
          <w:sz w:val="32"/>
          <w:szCs w:val="32"/>
        </w:rPr>
        <w:t xml:space="preserve">8. NON-FUNCTIONAL REQUIREMENTS</w:t>
      </w:r>
    </w:p>
    <w:p>
      <w:pPr>
        <w:spacing w:after="80" w:before="8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8.1 Performa</w:t>
      </w:r>
    </w:p>
    <w:p>
      <w:pPr>
        <w:pStyle w:val="ListParagraph"/>
        <w:numPr>
          <w:ilvl w:val="0"/>
          <w:numId w:val="2"/>
        </w:numPr>
        <w:spacing w:after="40" w:before="40"/>
      </w:pPr>
      <w:r>
        <w:rPr>
          <w:rFonts w:ascii="Arial" w:cs="Arial" w:eastAsia="Arial" w:hAnsi="Arial"/>
          <w:color w:val="334155"/>
          <w:sz w:val="22"/>
          <w:szCs w:val="22"/>
        </w:rPr>
        <w:t xml:space="preserve">Waktu load dashboard utama &lt; 3 detik pada koneksi 4G standar.</w:t>
      </w:r>
    </w:p>
    <w:p>
      <w:pPr>
        <w:pStyle w:val="ListParagraph"/>
        <w:numPr>
          <w:ilvl w:val="0"/>
          <w:numId w:val="2"/>
        </w:numPr>
        <w:spacing w:after="40" w:before="40"/>
      </w:pPr>
      <w:r>
        <w:rPr>
          <w:rFonts w:ascii="Arial" w:cs="Arial" w:eastAsia="Arial" w:hAnsi="Arial"/>
          <w:color w:val="334155"/>
          <w:sz w:val="22"/>
          <w:szCs w:val="22"/>
        </w:rPr>
        <w:t xml:space="preserve">Update skor saham diselesaikan dalam &lt; 30 menit setelah data pasar tersedia.</w:t>
      </w:r>
    </w:p>
    <w:p>
      <w:pPr>
        <w:pStyle w:val="ListParagraph"/>
        <w:numPr>
          <w:ilvl w:val="0"/>
          <w:numId w:val="2"/>
        </w:numPr>
        <w:spacing w:after="40" w:before="40"/>
      </w:pPr>
      <w:r>
        <w:rPr>
          <w:rFonts w:ascii="Arial" w:cs="Arial" w:eastAsia="Arial" w:hAnsi="Arial"/>
          <w:color w:val="334155"/>
          <w:sz w:val="22"/>
          <w:szCs w:val="22"/>
        </w:rPr>
        <w:t xml:space="preserve">Laporan mingguan dikirimkan paling lambat Senin pukul 08.00 WIB.</w:t>
      </w:r>
    </w:p>
    <w:p>
      <w:pPr>
        <w:spacing w:after="80" w:before="8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8.2 Keandalan</w:t>
      </w:r>
    </w:p>
    <w:p>
      <w:pPr>
        <w:pStyle w:val="ListParagraph"/>
        <w:numPr>
          <w:ilvl w:val="0"/>
          <w:numId w:val="2"/>
        </w:numPr>
        <w:spacing w:after="40" w:before="40"/>
      </w:pPr>
      <w:r>
        <w:rPr>
          <w:rFonts w:ascii="Arial" w:cs="Arial" w:eastAsia="Arial" w:hAnsi="Arial"/>
          <w:color w:val="334155"/>
          <w:sz w:val="22"/>
          <w:szCs w:val="22"/>
        </w:rPr>
        <w:t xml:space="preserve">Uptime target: 99.5% per bulan untuk Terminal dan Decision Engine.</w:t>
      </w:r>
    </w:p>
    <w:p>
      <w:pPr>
        <w:pStyle w:val="ListParagraph"/>
        <w:numPr>
          <w:ilvl w:val="0"/>
          <w:numId w:val="2"/>
        </w:numPr>
        <w:spacing w:after="40" w:before="40"/>
      </w:pPr>
      <w:r>
        <w:rPr>
          <w:rFonts w:ascii="Arial" w:cs="Arial" w:eastAsia="Arial" w:hAnsi="Arial"/>
          <w:color w:val="334155"/>
          <w:sz w:val="22"/>
          <w:szCs w:val="22"/>
        </w:rPr>
        <w:t xml:space="preserve">Data pipeline memiliki fallback mechanism jika sumber data utama tidak tersedia.</w:t>
      </w:r>
    </w:p>
    <w:p>
      <w:pPr>
        <w:pStyle w:val="ListParagraph"/>
        <w:numPr>
          <w:ilvl w:val="0"/>
          <w:numId w:val="2"/>
        </w:numPr>
        <w:spacing w:after="40" w:before="40"/>
      </w:pPr>
      <w:r>
        <w:rPr>
          <w:rFonts w:ascii="Arial" w:cs="Arial" w:eastAsia="Arial" w:hAnsi="Arial"/>
          <w:color w:val="334155"/>
          <w:sz w:val="22"/>
          <w:szCs w:val="22"/>
        </w:rPr>
        <w:t xml:space="preserve">Sistem logging dan alerting untuk deteksi anomali data secara otomatis.</w:t>
      </w:r>
    </w:p>
    <w:p>
      <w:pPr>
        <w:spacing w:after="80" w:before="8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8.3 Keamanan</w:t>
      </w:r>
    </w:p>
    <w:p>
      <w:pPr>
        <w:pStyle w:val="ListParagraph"/>
        <w:numPr>
          <w:ilvl w:val="0"/>
          <w:numId w:val="2"/>
        </w:numPr>
        <w:spacing w:after="40" w:before="40"/>
      </w:pPr>
      <w:r>
        <w:rPr>
          <w:rFonts w:ascii="Arial" w:cs="Arial" w:eastAsia="Arial" w:hAnsi="Arial"/>
          <w:color w:val="334155"/>
          <w:sz w:val="22"/>
          <w:szCs w:val="22"/>
        </w:rPr>
        <w:t xml:space="preserve">Autentikasi pengguna menggunakan standar OAuth 2.0 / JWT.</w:t>
      </w:r>
    </w:p>
    <w:p>
      <w:pPr>
        <w:pStyle w:val="ListParagraph"/>
        <w:numPr>
          <w:ilvl w:val="0"/>
          <w:numId w:val="2"/>
        </w:numPr>
        <w:spacing w:after="40" w:before="40"/>
      </w:pPr>
      <w:r>
        <w:rPr>
          <w:rFonts w:ascii="Arial" w:cs="Arial" w:eastAsia="Arial" w:hAnsi="Arial"/>
          <w:color w:val="334155"/>
          <w:sz w:val="22"/>
          <w:szCs w:val="22"/>
        </w:rPr>
        <w:t xml:space="preserve">Data portofolio pengguna dienkripsi at rest dan in transit.</w:t>
      </w:r>
    </w:p>
    <w:p>
      <w:pPr>
        <w:pStyle w:val="ListParagraph"/>
        <w:numPr>
          <w:ilvl w:val="0"/>
          <w:numId w:val="2"/>
        </w:numPr>
        <w:spacing w:after="40" w:before="40"/>
      </w:pPr>
      <w:r>
        <w:rPr>
          <w:rFonts w:ascii="Arial" w:cs="Arial" w:eastAsia="Arial" w:hAnsi="Arial"/>
          <w:color w:val="334155"/>
          <w:sz w:val="22"/>
          <w:szCs w:val="22"/>
        </w:rPr>
        <w:t xml:space="preserve">Tidak menyimpan data akun sekuritas atau informasi sensitif keuangan secara langsung.</w:t>
      </w:r>
    </w:p>
    <w:p>
      <w:pPr>
        <w:spacing w:after="80" w:before="8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8.4 Skalabilitas</w:t>
      </w:r>
    </w:p>
    <w:p>
      <w:pPr>
        <w:pStyle w:val="ListParagraph"/>
        <w:numPr>
          <w:ilvl w:val="0"/>
          <w:numId w:val="2"/>
        </w:numPr>
        <w:spacing w:after="40" w:before="40"/>
      </w:pPr>
      <w:r>
        <w:rPr>
          <w:rFonts w:ascii="Arial" w:cs="Arial" w:eastAsia="Arial" w:hAnsi="Arial"/>
          <w:color w:val="334155"/>
          <w:sz w:val="22"/>
          <w:szCs w:val="22"/>
        </w:rPr>
        <w:t xml:space="preserve">Arsitektur mampu menangani hingga 10.000 pengguna aktif bersamaan tanpa degradasi performa.</w:t>
      </w:r>
    </w:p>
    <w:p>
      <w:pPr>
        <w:pStyle w:val="ListParagraph"/>
        <w:numPr>
          <w:ilvl w:val="0"/>
          <w:numId w:val="2"/>
        </w:numPr>
        <w:spacing w:after="40" w:before="40"/>
      </w:pPr>
      <w:r>
        <w:rPr>
          <w:rFonts w:ascii="Arial" w:cs="Arial" w:eastAsia="Arial" w:hAnsi="Arial"/>
          <w:color w:val="334155"/>
          <w:sz w:val="22"/>
          <w:szCs w:val="22"/>
        </w:rPr>
        <w:t xml:space="preserve">Data pipeline dirancang untuk mendukung ekspansi ke aset baru tanpa perubahan arsitektur fundamental.</w:t>
      </w:r>
    </w:p>
    <w:p>
      <w:pPr>
        <w:spacing w:after="80" w:before="80"/>
      </w:pPr>
      <w:r>
        <w:t xml:space="preserve"/>
      </w:r>
    </w:p>
    <w:p>
      <w:pPr>
        <w:pStyle w:val="Heading2"/>
        <w:pBdr>
          <w:bottom w:val="single" w:color="CCFBF1" w:sz="4" w:space="1"/>
        </w:pBdr>
        <w:spacing w:after="100" w:before="280"/>
      </w:pPr>
      <w:r>
        <w:rPr>
          <w:rFonts w:ascii="Arial" w:cs="Arial" w:eastAsia="Arial" w:hAnsi="Arial"/>
          <w:b/>
          <w:bCs/>
          <w:color w:val="0F766E"/>
          <w:sz w:val="28"/>
          <w:szCs w:val="28"/>
        </w:rPr>
        <w:t xml:space="preserve">8.5 Maintainability</w:t>
      </w:r>
    </w:p>
    <w:p>
      <w:pPr>
        <w:pStyle w:val="ListParagraph"/>
        <w:numPr>
          <w:ilvl w:val="0"/>
          <w:numId w:val="2"/>
        </w:numPr>
        <w:spacing w:after="40" w:before="40"/>
      </w:pPr>
      <w:r>
        <w:rPr>
          <w:rFonts w:ascii="Arial" w:cs="Arial" w:eastAsia="Arial" w:hAnsi="Arial"/>
          <w:color w:val="334155"/>
          <w:sz w:val="22"/>
          <w:szCs w:val="22"/>
        </w:rPr>
        <w:t xml:space="preserve">Kode mengikuti standar dokumentasi yang memadai untuk memudahkan onboarding developer baru.</w:t>
      </w:r>
    </w:p>
    <w:p>
      <w:pPr>
        <w:pStyle w:val="ListParagraph"/>
        <w:numPr>
          <w:ilvl w:val="0"/>
          <w:numId w:val="2"/>
        </w:numPr>
        <w:spacing w:after="40" w:before="40"/>
      </w:pPr>
      <w:r>
        <w:rPr>
          <w:rFonts w:ascii="Arial" w:cs="Arial" w:eastAsia="Arial" w:hAnsi="Arial"/>
          <w:color w:val="334155"/>
          <w:sz w:val="22"/>
          <w:szCs w:val="22"/>
        </w:rPr>
        <w:t xml:space="preserve">Konfigurasi faktor (bobot, parameter) dapat diubah tanpa deployment ulang (config-driven architecture).</w:t>
      </w:r>
    </w:p>
    <w:p>
      <w:pPr>
        <w:pStyle w:val="ListParagraph"/>
        <w:numPr>
          <w:ilvl w:val="0"/>
          <w:numId w:val="2"/>
        </w:numPr>
        <w:spacing w:after="40" w:before="40"/>
      </w:pPr>
      <w:r>
        <w:rPr>
          <w:rFonts w:ascii="Arial" w:cs="Arial" w:eastAsia="Arial" w:hAnsi="Arial"/>
          <w:color w:val="334155"/>
          <w:sz w:val="22"/>
          <w:szCs w:val="22"/>
        </w:rPr>
        <w:t xml:space="preserve">Sistem backtesting terintegrasi untuk validasi sebelum setiap perubahan konfigurasi dipublikasikan.</w:t>
      </w:r>
    </w:p>
    <w:p>
      <w:pPr>
        <w:spacing w:after="80" w:before="80"/>
      </w:pPr>
      <w:r>
        <w:t xml:space="preserve"/>
      </w:r>
    </w:p>
    <w:p>
      <w:pPr>
        <w:pBdr>
          <w:bottom w:val="single" w:color="CCFBF1" w:sz="4" w:space="1"/>
        </w:pBdr>
        <w:spacing w:after="120" w:before="120"/>
      </w:pPr>
      <w:r>
        <w:t xml:space="preserve"/>
      </w:r>
    </w:p>
    <w:p>
      <w:pPr>
        <w:pStyle w:val="Heading1"/>
        <w:pBdr>
          <w:bottom w:val="single" w:color="0F766E" w:sz="6" w:space="1"/>
        </w:pBdr>
        <w:shd w:fill="0D9488" w:val="clear"/>
        <w:spacing w:after="120" w:before="360"/>
        <w:ind w:left="240" w:right="240"/>
      </w:pPr>
      <w:r>
        <w:rPr>
          <w:rFonts w:ascii="Arial" w:cs="Arial" w:eastAsia="Arial" w:hAnsi="Arial"/>
          <w:b/>
          <w:bCs/>
          <w:color w:val="FFFFFF"/>
          <w:sz w:val="32"/>
          <w:szCs w:val="32"/>
        </w:rPr>
        <w:t xml:space="preserve">9. METRIK KESUKSESAN (KPI)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Metrik</w:t>
            </w:r>
          </w:p>
        </w:tc>
        <w:tc>
          <w:tcPr>
            <w:tcW w:type="dxa" w:w="636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Monthly Active Users (MAU)</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Fase 1: 200 | Fase 3: 2.000 | Fase 6: 10.000</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Paying Subscribers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Fase 1: 50 | Fase 2: 500 | Fase 4: 2.000+</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Churn Rate Bulanan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&lt; 5% setelah bulan ke-3</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Report Open Rate (Fase 1)</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&gt; 70%</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Net Promoter Score (NPS)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&gt; 40 secara konsisten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Backtest Sharpe Ratio (Config F)</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Dipertahankan &gt; 1.0</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Data Freshness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Skor diperbarui dalam &lt; 30 menit setelah market close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System Uptime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&gt; 99.5% per bulan</w:t>
            </w:r>
          </w:p>
        </w:tc>
      </w:tr>
    </w:tbl>
    <w:p>
      <w:pPr>
        <w:spacing w:after="80" w:before="80"/>
      </w:pPr>
      <w:r>
        <w:t xml:space="preserve"/>
      </w:r>
    </w:p>
    <w:p>
      <w:pPr>
        <w:pBdr>
          <w:bottom w:val="single" w:color="CCFBF1" w:sz="4" w:space="1"/>
        </w:pBdr>
        <w:spacing w:after="120" w:before="120"/>
      </w:pPr>
      <w:r>
        <w:t xml:space="preserve"/>
      </w:r>
    </w:p>
    <w:p>
      <w:pPr>
        <w:pStyle w:val="Heading1"/>
        <w:pBdr>
          <w:bottom w:val="single" w:color="0F766E" w:sz="6" w:space="1"/>
        </w:pBdr>
        <w:shd w:fill="0D9488" w:val="clear"/>
        <w:spacing w:after="120" w:before="360"/>
        <w:ind w:left="240" w:right="240"/>
      </w:pPr>
      <w:r>
        <w:rPr>
          <w:rFonts w:ascii="Arial" w:cs="Arial" w:eastAsia="Arial" w:hAnsi="Arial"/>
          <w:b/>
          <w:bCs/>
          <w:color w:val="FFFFFF"/>
          <w:sz w:val="32"/>
          <w:szCs w:val="32"/>
        </w:rPr>
        <w:t xml:space="preserve">10. RISIKO &amp; MITIGASI</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Risiko</w:t>
            </w:r>
          </w:p>
        </w:tc>
        <w:tc>
          <w:tcPr>
            <w:tcW w:type="dxa" w:w="348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Dampak</w:t>
            </w:r>
          </w:p>
        </w:tc>
        <w:tc>
          <w:tcPr>
            <w:tcW w:type="dxa" w:w="348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Mitigasi</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Performa sistem di bawah ekspektasi pengguna</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Churn tinggi, reputasi rusak</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Disclaimer edukasi yang jelas; manage ekspektasi dari awal; backtest transparan.</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Kualitas data dari sumber eksternal terdegradasi</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Skor saham menjadi tidak akurat</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Multi-source data pipeline; validasi otomatis; fallback mechanism.</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Regulasi OJK terkait layanan investasi digital</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Legal exposure; perlu izin atau penyesuaian model bisnis</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Konsultasi legal sejak awal; positioning sebagai edukasi/referensi, bukan advisory.</w:t>
            </w:r>
          </w:p>
        </w:tc>
      </w:tr>
      <w:tr>
        <w:tc>
          <w:tcPr>
            <w:tcW w:type="dxa" w:w="24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Kompetitor dengan resource lebih besar masuk</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Kehilangan market share</w:t>
            </w:r>
          </w:p>
        </w:tc>
        <w:tc>
          <w:tcPr>
            <w:tcW w:type="dxa" w:w="348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color w:val="334155"/>
                <w:sz w:val="20"/>
                <w:szCs w:val="20"/>
              </w:rPr>
              <w:t xml:space="preserve">Fokus pada niche kuantitatif IDX; kualitas research sebagai moat; komunitas pelanggan loyal.</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Config F mengalami degradasi performa</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Kepercayaan pengguna menurun</w:t>
            </w:r>
          </w:p>
        </w:tc>
        <w:tc>
          <w:tcPr>
            <w:tcW w:type="dxa" w:w="34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color w:val="334155"/>
                <w:sz w:val="20"/>
                <w:szCs w:val="20"/>
              </w:rPr>
              <w:t xml:space="preserve">Monitoring performa config secara real-time; Config G sebagai contingency; proses update konfigurasi yang terdokumentasi.</w:t>
            </w:r>
          </w:p>
        </w:tc>
      </w:tr>
    </w:tbl>
    <w:p>
      <w:pPr>
        <w:spacing w:after="80" w:before="80"/>
      </w:pPr>
      <w:r>
        <w:t xml:space="preserve"/>
      </w:r>
    </w:p>
    <w:p>
      <w:pPr>
        <w:pBdr>
          <w:bottom w:val="single" w:color="CCFBF1" w:sz="4" w:space="1"/>
        </w:pBdr>
        <w:spacing w:after="120" w:before="120"/>
      </w:pPr>
      <w:r>
        <w:t xml:space="preserve"/>
      </w:r>
    </w:p>
    <w:p>
      <w:pPr>
        <w:pStyle w:val="Heading1"/>
        <w:pBdr>
          <w:bottom w:val="single" w:color="0F766E" w:sz="6" w:space="1"/>
        </w:pBdr>
        <w:shd w:fill="0D9488" w:val="clear"/>
        <w:spacing w:after="120" w:before="360"/>
        <w:ind w:left="240" w:right="240"/>
      </w:pPr>
      <w:r>
        <w:rPr>
          <w:rFonts w:ascii="Arial" w:cs="Arial" w:eastAsia="Arial" w:hAnsi="Arial"/>
          <w:b/>
          <w:bCs/>
          <w:color w:val="FFFFFF"/>
          <w:sz w:val="32"/>
          <w:szCs w:val="32"/>
        </w:rPr>
        <w:t xml:space="preserve">11. CATATAN PENTING &amp; DISCLAIMER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0D9488" w:sz="18"/>
              <w:bottom w:val="single" w:color="E2E8F0" w:sz="1"/>
              <w:right w:val="single" w:color="E2E8F0" w:sz="1"/>
            </w:tcBorders>
            <w:shd w:fill="CCFBF1" w:val="clear"/>
            <w:tcMar>
              <w:top w:type="dxa" w:w="120"/>
              <w:left w:type="dxa" w:w="200"/>
              <w:bottom w:type="dxa" w:w="120"/>
              <w:right w:type="dxa" w:w="120"/>
            </w:tcMar>
          </w:tcPr>
          <w:p>
            <w:pPr>
              <w:jc w:val="center"/>
            </w:pPr>
            <w:r>
              <w:rPr>
                <w:rFonts w:ascii="Arial" w:cs="Arial" w:eastAsia="Arial" w:hAnsi="Arial"/>
                <w:b/>
                <w:bCs/>
                <w:i/>
                <w:iCs/>
                <w:color w:val="0F766E"/>
                <w:sz w:val="22"/>
                <w:szCs w:val="22"/>
              </w:rPr>
              <w:t xml:space="preserve">QuantBit adalah alat bantu keputusan investasi berbasis data, bukan layanan penasihat investasi yang terdaftar.</w:t>
            </w:r>
          </w:p>
        </w:tc>
      </w:tr>
    </w:tbl>
    <w:p>
      <w:pPr>
        <w:spacing w:after="120" w:before="120"/>
      </w:pPr>
      <w:r>
        <w:t xml:space="preserve"/>
      </w:r>
    </w:p>
    <w:p>
      <w:pPr>
        <w:pStyle w:val="ListParagraph"/>
        <w:numPr>
          <w:ilvl w:val="0"/>
          <w:numId w:val="2"/>
        </w:numPr>
        <w:spacing w:after="40" w:before="40"/>
      </w:pPr>
      <w:r>
        <w:rPr>
          <w:rFonts w:ascii="Arial" w:cs="Arial" w:eastAsia="Arial" w:hAnsi="Arial"/>
          <w:color w:val="334155"/>
          <w:sz w:val="22"/>
          <w:szCs w:val="22"/>
        </w:rPr>
        <w:t xml:space="preserve">Seluruh output sistem — termasuk ranking saham, market regime, dan rekomendasi alokasi — adalah hasil analisis kuantitatif berbasis data historis dan tidak merupakan jaminan imbal hasil di masa depan.</w:t>
      </w:r>
    </w:p>
    <w:p>
      <w:pPr>
        <w:pStyle w:val="ListParagraph"/>
        <w:numPr>
          <w:ilvl w:val="0"/>
          <w:numId w:val="2"/>
        </w:numPr>
        <w:spacing w:after="40" w:before="40"/>
      </w:pPr>
      <w:r>
        <w:rPr>
          <w:rFonts w:ascii="Arial" w:cs="Arial" w:eastAsia="Arial" w:hAnsi="Arial"/>
          <w:color w:val="334155"/>
          <w:sz w:val="22"/>
          <w:szCs w:val="22"/>
        </w:rPr>
        <w:t xml:space="preserve">Hasil backtest historis (2020–2026) digunakan sebagai validasi sistem, bukan sebagai proyeksi performa masa depan.</w:t>
      </w:r>
    </w:p>
    <w:p>
      <w:pPr>
        <w:pStyle w:val="ListParagraph"/>
        <w:numPr>
          <w:ilvl w:val="0"/>
          <w:numId w:val="2"/>
        </w:numPr>
        <w:spacing w:after="40" w:before="40"/>
      </w:pPr>
      <w:r>
        <w:rPr>
          <w:rFonts w:ascii="Arial" w:cs="Arial" w:eastAsia="Arial" w:hAnsi="Arial"/>
          <w:color w:val="334155"/>
          <w:sz w:val="22"/>
          <w:szCs w:val="22"/>
        </w:rPr>
        <w:t xml:space="preserve">Keputusan investasi akhir sepenuhnya berada di tangan pengguna. QuantBit menyediakan informasi dan analisis, bukan instruksi investasi.</w:t>
      </w:r>
    </w:p>
    <w:p>
      <w:pPr>
        <w:pStyle w:val="ListParagraph"/>
        <w:numPr>
          <w:ilvl w:val="0"/>
          <w:numId w:val="2"/>
        </w:numPr>
        <w:spacing w:after="40" w:before="40"/>
      </w:pPr>
      <w:r>
        <w:rPr>
          <w:rFonts w:ascii="Arial" w:cs="Arial" w:eastAsia="Arial" w:hAnsi="Arial"/>
          <w:color w:val="334155"/>
          <w:sz w:val="22"/>
          <w:szCs w:val="22"/>
        </w:rPr>
        <w:t xml:space="preserve">Pengguna disarankan untuk memahami profil risiko mereka sendiri sebelum menggunakan output QuantBit sebagai dasar pengambilan keputusan.</w:t>
      </w:r>
    </w:p>
    <w:p>
      <w:pPr>
        <w:spacing w:after="80" w:before="80"/>
      </w:pPr>
      <w:r>
        <w:t xml:space="preserve"/>
      </w:r>
    </w:p>
    <w:p>
      <w:pPr>
        <w:pBdr>
          <w:bottom w:val="single" w:color="CCFBF1" w:sz="4" w:space="1"/>
        </w:pBdr>
        <w:spacing w:after="120" w:before="120"/>
      </w:pPr>
      <w:r>
        <w:t xml:space="preserve"/>
      </w:r>
    </w:p>
    <w:p>
      <w:pPr>
        <w:pStyle w:val="Heading1"/>
        <w:pBdr>
          <w:bottom w:val="single" w:color="0F766E" w:sz="6" w:space="1"/>
        </w:pBdr>
        <w:shd w:fill="0D9488" w:val="clear"/>
        <w:spacing w:after="120" w:before="360"/>
        <w:ind w:left="240" w:right="240"/>
      </w:pPr>
      <w:r>
        <w:rPr>
          <w:rFonts w:ascii="Arial" w:cs="Arial" w:eastAsia="Arial" w:hAnsi="Arial"/>
          <w:b/>
          <w:bCs/>
          <w:color w:val="FFFFFF"/>
          <w:sz w:val="32"/>
          <w:szCs w:val="32"/>
        </w:rPr>
        <w:t xml:space="preserve">12. APPENDIX — DAFTAR ISTILAH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2E8F0" w:sz="1"/>
              <w:left w:val="single" w:color="E2E8F0" w:sz="1"/>
              <w:bottom w:val="single" w:color="E2E8F0" w:sz="1"/>
              <w:right w:val="single" w:color="E2E8F0" w:sz="1"/>
            </w:tcBorders>
            <w:shd w:fill="0D9488" w:val="clear"/>
            <w:tcMar>
              <w:top w:type="dxa" w:w="80"/>
              <w:left w:type="dxa" w:w="120"/>
              <w:bottom w:type="dxa" w:w="80"/>
              <w:right w:type="dxa" w:w="120"/>
            </w:tcMar>
          </w:tcPr>
          <w:p>
            <w:r>
              <w:rPr>
                <w:rFonts w:ascii="Arial" w:cs="Arial" w:eastAsia="Arial" w:hAnsi="Arial"/>
                <w:b/>
                <w:bCs/>
                <w:color w:val="FFFFFF"/>
                <w:sz w:val="20"/>
                <w:szCs w:val="20"/>
              </w:rPr>
              <w:t xml:space="preserve">Istilah</w:t>
            </w:r>
          </w:p>
        </w:tc>
        <w:tc>
          <w:tcPr>
            <w:tcW w:type="dxa" w:w="6360"/>
            <w:tcBorders>
              <w:top w:val="single" w:color="E2E8F0" w:sz="1"/>
              <w:left w:val="single" w:color="E2E8F0" w:sz="1"/>
              <w:bottom w:val="single" w:color="E2E8F0" w:sz="1"/>
              <w:right w:val="single" w:color="E2E8F0" w:sz="1"/>
            </w:tcBorders>
            <w:shd w:fill="0F766E" w:val="clear"/>
            <w:tcMar>
              <w:top w:type="dxa" w:w="80"/>
              <w:left w:type="dxa" w:w="120"/>
              <w:bottom w:type="dxa" w:w="80"/>
              <w:right w:type="dxa" w:w="120"/>
            </w:tcMar>
          </w:tcPr>
          <w:p>
            <w:r>
              <w:rPr>
                <w:rFonts w:ascii="Arial" w:cs="Arial" w:eastAsia="Arial" w:hAnsi="Arial"/>
                <w:b/>
                <w:bCs/>
                <w:color w:val="FFFFFF"/>
                <w:sz w:val="20"/>
                <w:szCs w:val="20"/>
              </w:rPr>
              <w:t xml:space="preserve">Definisi</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Config F</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Konfigurasi faktor dan bobot yang dipilih sebagai produksi utama setelah proses validasi 9 konfigurasi.</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Dynamic Allocation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Mekanisme pengaturan alokasi aset (saham vs emas) secara dinamis berdasarkan output Market Regime.</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Factor Scoring</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Sistem pemberian skor pada setiap saham berdasarkan empat faktor: Quality, Growth, Value, Momentum.</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Market Regime</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Penilaian kondisi pasar secara keseluruhan: Risk On, Risk Neutral, atau Risk Off.</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Momentum (Faktor)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Faktor yang mengukur kekuatan relatif pergerakan harga saham dibandingkan pasar dan saham lain.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Quality (Faktor)</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Faktor yang mengukur kualitas dan efisiensi operasional bisnis perusahaan.</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Relative Strength (RS)</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Metrik momentum yang membandingkan performa harga saham terhadap IHSG dalam periode tertentu.</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Risk Off</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Kondisi pasar di mana risiko sistemik tinggi; sistem merekomendasikan pengurangan eksposur saham.</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Risk 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Kondisi pasar yang kondusif; sistem merekomendasikan peningkatan eksposur saham.</w:t>
            </w:r>
          </w:p>
        </w:tc>
      </w:tr>
      <w:tr>
        <w:tc>
          <w:tcPr>
            <w:tcW w:type="dxa" w:w="3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334155"/>
                <w:sz w:val="20"/>
                <w:szCs w:val="20"/>
              </w:rPr>
              <w:t xml:space="preserve">Weekly Report</w:t>
            </w:r>
          </w:p>
        </w:tc>
        <w:tc>
          <w:tcPr>
            <w:tcW w:type="dxa" w:w="63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Produk Fase 1 — laporan analisis mingguan yang mencakup regime, top saham, dan rekomendasi alokasi.</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9488" w:val="clear"/>
            <w:tcMar>
              <w:top w:type="dxa" w:w="200"/>
              <w:left w:type="dxa" w:w="400"/>
              <w:bottom w:type="dxa" w:w="200"/>
              <w:right w:type="dxa" w:w="400"/>
            </w:tcMar>
          </w:tcPr>
          <w:p>
            <w:pPr>
              <w:jc w:val="center"/>
            </w:pPr>
            <w:r>
              <w:rPr>
                <w:rFonts w:ascii="Arial" w:cs="Arial" w:eastAsia="Arial" w:hAnsi="Arial"/>
                <w:b/>
                <w:bCs/>
                <w:color w:val="FFFFFF"/>
                <w:sz w:val="28"/>
                <w:szCs w:val="28"/>
              </w:rPr>
              <w:t xml:space="preserve">QUANTBIT ECOSYSTEM</w:t>
            </w:r>
          </w:p>
          <w:p>
            <w:pPr>
              <w:jc w:val="center"/>
            </w:pPr>
            <w:r>
              <w:rPr>
                <w:rFonts w:ascii="Arial" w:cs="Arial" w:eastAsia="Arial" w:hAnsi="Arial"/>
                <w:color w:val="CCFBF1"/>
                <w:sz w:val="20"/>
                <w:szCs w:val="20"/>
              </w:rPr>
              <w:t xml:space="preserve">Product Requirements Document v1.0 — Juni 2026</w:t>
            </w:r>
          </w:p>
          <w:p>
            <w:pPr>
              <w:jc w:val="center"/>
            </w:pPr>
            <w:r>
              <w:rPr>
                <w:rFonts w:ascii="Arial" w:cs="Arial" w:eastAsia="Arial" w:hAnsi="Arial"/>
                <w:i/>
                <w:iCs/>
                <w:color w:val="CCFBF1"/>
                <w:sz w:val="18"/>
                <w:szCs w:val="18"/>
              </w:rPr>
              <w:t xml:space="preserve">Dokumen ini bersifat CONFIDENTIAL — hanya untuk internal QuantBit Team</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none" w:color="FFFFFF" w:sz="0"/>
            <w:left w:val="none" w:color="FFFFFF" w:sz="0"/>
            <w:bottom w:val="single" w:color="0D9488" w:sz="4"/>
            <w:right w:val="none" w:color="FFFFFF" w:sz="0"/>
          </w:tcBorders>
          <w:tcMar>
            <w:top w:type="dxa" w:w="60"/>
            <w:left w:type="dxa" w:w="0"/>
            <w:bottom w:type="dxa" w:w="60"/>
            <w:right w:type="dxa" w:w="0"/>
          </w:tcMar>
        </w:tcPr>
        <w:p>
          <w:r>
            <w:rPr>
              <w:rFonts w:ascii="Arial" w:cs="Arial" w:eastAsia="Arial" w:hAnsi="Arial"/>
              <w:b/>
              <w:bCs/>
              <w:color w:val="0D9488"/>
              <w:sz w:val="18"/>
              <w:szCs w:val="18"/>
            </w:rPr>
            <w:t xml:space="preserve">QUANTBIT ECOSYSTEM — PRD</w:t>
          </w:r>
        </w:p>
      </w:tc>
      <w:tc>
        <w:tcPr>
          <w:tcW w:type="dxa" w:w="5040"/>
          <w:tcBorders>
            <w:top w:val="none" w:color="FFFFFF" w:sz="0"/>
            <w:left w:val="none" w:color="FFFFFF" w:sz="0"/>
            <w:bottom w:val="single" w:color="0D9488" w:sz="4"/>
            <w:right w:val="none" w:color="FFFFFF" w:sz="0"/>
          </w:tcBorders>
          <w:tcMar>
            <w:top w:type="dxa" w:w="60"/>
            <w:left w:type="dxa" w:w="0"/>
            <w:bottom w:type="dxa" w:w="60"/>
            <w:right w:type="dxa" w:w="0"/>
          </w:tcMar>
        </w:tcPr>
        <w:p>
          <w:pPr>
            <w:jc w:val="right"/>
          </w:pPr>
          <w:r>
            <w:rPr>
              <w:rFonts w:ascii="Arial" w:cs="Arial" w:eastAsia="Arial" w:hAnsi="Arial"/>
              <w:color w:val="64748B"/>
              <w:sz w:val="18"/>
              <w:szCs w:val="18"/>
            </w:rPr>
            <w:t xml:space="preserve">v1.0 · Juni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FFFFFF"/>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F766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2026-06-23T08:56:19.736Z</dcterms:created>
  <dcterms:modified xsi:type="dcterms:W3CDTF">2026-06-23T08:56:19.736Z</dcterms:modified>
</cp:coreProperties>
</file>

<file path=docProps/custom.xml><?xml version="1.0" encoding="utf-8"?>
<Properties xmlns="http://schemas.openxmlformats.org/officeDocument/2006/custom-properties" xmlns:vt="http://schemas.openxmlformats.org/officeDocument/2006/docPropsVTypes"/>
</file>