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4A2F8F1" w:rsidR="00CB60F5" w:rsidRPr="00CB60F5" w:rsidRDefault="00CB60F5"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Formatting Instructions for NIPS 2015</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bookmarkStart w:id="0" w:name="_GoBack"/>
      <w:bookmarkEnd w:id="0"/>
    </w:p>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57543352" w14:textId="3AB3E86C"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6" w:history="1">
        <w:r w:rsidR="00CB60F5" w:rsidRPr="00261113">
          <w:rPr>
            <w:rStyle w:val="Hyperlink"/>
            <w:i/>
            <w:iCs/>
            <w:spacing w:val="5"/>
            <w:kern w:val="1"/>
          </w:rPr>
          <w:t>hippo@cs.cranberry.lemon.edu</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t>Affiliation</w:t>
      </w:r>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Pr>
          <w:i/>
          <w:iCs/>
          <w:spacing w:val="5"/>
          <w:kern w:val="1"/>
        </w:rPr>
        <w:t>email</w:t>
      </w:r>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(if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8304B0">
        <w:rPr>
          <w:b/>
          <w:bCs/>
          <w:spacing w:val="24"/>
          <w:kern w:val="1"/>
          <w:sz w:val="24"/>
          <w:szCs w:val="24"/>
        </w:rPr>
        <w:t>2015</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note that this year we have introduced automatic line number generation into the style file (for LaTeX 2e and  MS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lastRenderedPageBreak/>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LaTeX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w:t>
      </w:r>
      <w:r>
        <w:rPr>
          <w:spacing w:val="5"/>
          <w:kern w:val="1"/>
        </w:rPr>
        <w:lastRenderedPageBreak/>
        <w:t xml:space="preserve">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CB60F5" w:rsidP="00DB0664">
      <w:pPr>
        <w:widowControl w:val="0"/>
        <w:numPr>
          <w:ilvl w:val="1"/>
          <w:numId w:val="7"/>
        </w:numPr>
        <w:tabs>
          <w:tab w:val="left" w:pos="720"/>
        </w:tabs>
        <w:autoSpaceDE w:val="0"/>
        <w:autoSpaceDN w:val="0"/>
        <w:adjustRightInd w:val="0"/>
        <w:rPr>
          <w:spacing w:val="5"/>
          <w:kern w:val="1"/>
        </w:rPr>
      </w:pPr>
      <w:hyperlink r:id="rId7"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lastRenderedPageBreak/>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8304B0"/>
    <w:rsid w:val="009A6637"/>
    <w:rsid w:val="00A667B5"/>
    <w:rsid w:val="00BC1C8D"/>
    <w:rsid w:val="00C71ADE"/>
    <w:rsid w:val="00CB60F5"/>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ippo@cs.cranberry.lemon.edu" TargetMode="External"/><Relationship Id="rId7" Type="http://schemas.openxmlformats.org/officeDocument/2006/relationships/hyperlink" Target="http://www.adobe.com/support/downloads/detail.jsp?ftpID=20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1911</Words>
  <Characters>10897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Kilian Weinberger</cp:lastModifiedBy>
  <cp:revision>5</cp:revision>
  <dcterms:created xsi:type="dcterms:W3CDTF">2012-03-12T18:28:00Z</dcterms:created>
  <dcterms:modified xsi:type="dcterms:W3CDTF">2015-06-02T21:46:00Z</dcterms:modified>
</cp:coreProperties>
</file>