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60"/>
        <w:jc w:val="center"/>
      </w:pPr>
      <w:r>
        <w:rPr>
          <w:rFonts w:ascii="Calibri" w:hAnsi="Calibri"/>
          <w:b/>
          <w:color w:val="9A6A00"/>
          <w:sz w:val="22"/>
        </w:rPr>
        <w:t>PROOF OF CONCEPT STUDY GUIDE</w:t>
      </w:r>
    </w:p>
    <w:p>
      <w:pPr>
        <w:spacing w:after="200"/>
        <w:jc w:val="center"/>
      </w:pPr>
      <w:r>
        <w:rPr>
          <w:rFonts w:ascii="Calibri" w:hAnsi="Calibri"/>
          <w:b/>
          <w:color w:val="16324F"/>
          <w:sz w:val="60"/>
        </w:rPr>
        <w:t>Open Finance Income Estimator</w:t>
      </w:r>
    </w:p>
    <w:p>
      <w:pPr>
        <w:spacing w:after="560"/>
        <w:jc w:val="center"/>
      </w:pPr>
      <w:r>
        <w:rPr>
          <w:rFonts w:ascii="Calibri" w:hAnsi="Calibri"/>
          <w:color w:val="1F4D78"/>
          <w:sz w:val="30"/>
        </w:rPr>
        <w:t>Results, methodology, limitations, and presentation narrative</w:t>
      </w:r>
    </w:p>
    <w:p>
      <w:pPr>
        <w:spacing w:after="840"/>
        <w:jc w:val="center"/>
      </w:pPr>
      <w:r>
        <w:rPr>
          <w:rFonts w:ascii="Calibri" w:hAnsi="Calibri"/>
          <w:i/>
          <w:color w:val="65717E"/>
          <w:sz w:val="21"/>
        </w:rPr>
        <w:t>Project state reviewed August 26, 2026  |  Synthetic data only</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40" w:line="276" w:lineRule="auto"/>
            </w:pPr>
            <w:r>
              <w:rPr>
                <w:rFonts w:ascii="Calibri" w:hAnsi="Calibri"/>
                <w:b/>
                <w:color w:val="16324F"/>
              </w:rPr>
              <w:t xml:space="preserve">Central conclusion: </w:t>
            </w:r>
            <w:r>
              <w:rPr>
                <w:rFonts w:ascii="Calibri" w:hAnsi="Calibri"/>
                <w:color w:val="111111"/>
              </w:rPr>
              <w:t>Core simulator and estimator research are credible enough for a visual proof of concept. They do not yet establish production accuracy on real Open Finance clients.</w:t>
            </w:r>
          </w:p>
        </w:tc>
      </w:tr>
    </w:tbl>
    <w:p>
      <w:pPr>
        <w:spacing w:after="40"/>
      </w:pPr>
    </w:p>
    <w:p>
      <w:pPr>
        <w:sectPr>
          <w:pgSz w:w="12240" w:h="15840"/>
          <w:pgMar w:top="1440" w:right="1440" w:bottom="1440" w:left="1440" w:header="708" w:footer="708" w:gutter="0"/>
          <w:cols w:space="720"/>
          <w:docGrid w:linePitch="360"/>
        </w:sectPr>
      </w:pPr>
    </w:p>
    <w:p>
      <w:pPr>
        <w:pStyle w:val="Heading1"/>
        <w:keepNext/>
        <w:pageBreakBefore w:val="0"/>
      </w:pPr>
      <w:r>
        <w:t>How to use this guide</w:t>
      </w:r>
    </w:p>
    <w:p>
      <w:pPr>
        <w:keepLines w:val="0"/>
        <w:spacing w:after="120" w:line="300" w:lineRule="auto"/>
      </w:pPr>
      <w:r>
        <w:rPr>
          <w:rFonts w:ascii="Calibri" w:hAnsi="Calibri"/>
          <w:i w:val="0"/>
          <w:color w:val="111111"/>
        </w:rPr>
        <w:t>Study technical sections deeply. Use executive sections as presentation language. Keep distinction between synthetic evidence and production claims explicit.</w:t>
      </w:r>
    </w:p>
    <w:p>
      <w:pPr>
        <w:pStyle w:val="Heading2"/>
        <w:keepNext/>
        <w:pageBreakBefore w:val="0"/>
      </w:pPr>
      <w:r>
        <w:t>Study map</w:t>
      </w:r>
    </w:p>
    <w:p>
      <w:pPr>
        <w:numPr>
          <w:ilvl w:val="0"/>
          <w:numId w:val="10"/>
        </w:numPr>
        <w:spacing w:after="80" w:line="300" w:lineRule="auto"/>
        <w:ind w:left="540" w:hanging="271"/>
      </w:pPr>
      <w:r>
        <w:rPr>
          <w:rFonts w:ascii="Calibri" w:hAnsi="Calibri"/>
          <w:color w:val="111111"/>
        </w:rPr>
        <w:t>Executive summary: what exists and what decision it supports.</w:t>
      </w:r>
    </w:p>
    <w:p>
      <w:pPr>
        <w:numPr>
          <w:ilvl w:val="0"/>
          <w:numId w:val="10"/>
        </w:numPr>
        <w:spacing w:after="80" w:line="300" w:lineRule="auto"/>
        <w:ind w:left="540" w:hanging="271"/>
      </w:pPr>
      <w:r>
        <w:rPr>
          <w:rFonts w:ascii="Calibri" w:hAnsi="Calibri"/>
          <w:color w:val="111111"/>
        </w:rPr>
        <w:t>Technical architecture: simulator, trust boundary, estimator, and evaluation flow.</w:t>
      </w:r>
    </w:p>
    <w:p>
      <w:pPr>
        <w:numPr>
          <w:ilvl w:val="0"/>
          <w:numId w:val="10"/>
        </w:numPr>
        <w:spacing w:after="80" w:line="300" w:lineRule="auto"/>
        <w:ind w:left="540" w:hanging="271"/>
      </w:pPr>
      <w:r>
        <w:rPr>
          <w:rFonts w:ascii="Calibri" w:hAnsi="Calibri"/>
          <w:color w:val="111111"/>
        </w:rPr>
        <w:t>Methodology: how each estimator stage was introduced and promoted.</w:t>
      </w:r>
    </w:p>
    <w:p>
      <w:pPr>
        <w:numPr>
          <w:ilvl w:val="0"/>
          <w:numId w:val="10"/>
        </w:numPr>
        <w:spacing w:after="80" w:line="300" w:lineRule="auto"/>
        <w:ind w:left="540" w:hanging="271"/>
      </w:pPr>
      <w:r>
        <w:rPr>
          <w:rFonts w:ascii="Calibri" w:hAnsi="Calibri"/>
          <w:color w:val="111111"/>
        </w:rPr>
        <w:t>Measured results: point accuracy, classification, intervals, and stress behavior.</w:t>
      </w:r>
    </w:p>
    <w:p>
      <w:pPr>
        <w:numPr>
          <w:ilvl w:val="0"/>
          <w:numId w:val="10"/>
        </w:numPr>
        <w:spacing w:after="80" w:line="300" w:lineRule="auto"/>
        <w:ind w:left="540" w:hanging="271"/>
      </w:pPr>
      <w:r>
        <w:rPr>
          <w:rFonts w:ascii="Calibri" w:hAnsi="Calibri"/>
          <w:color w:val="111111"/>
        </w:rPr>
        <w:t>Limitations: external validity, high-volatility behavior, uncertainty, and product gaps.</w:t>
      </w:r>
    </w:p>
    <w:p>
      <w:pPr>
        <w:numPr>
          <w:ilvl w:val="0"/>
          <w:numId w:val="10"/>
        </w:numPr>
        <w:spacing w:after="80" w:line="300" w:lineRule="auto"/>
        <w:ind w:left="540" w:hanging="271"/>
      </w:pPr>
      <w:r>
        <w:rPr>
          <w:rFonts w:ascii="Calibri" w:hAnsi="Calibri"/>
          <w:color w:val="111111"/>
        </w:rPr>
        <w:t>Presentation narrative: recommended demo sequence and likely management questions.</w:t>
      </w:r>
    </w:p>
    <w:p>
      <w:pPr>
        <w:pStyle w:val="Heading1"/>
        <w:keepNext/>
        <w:pageBreakBefore w:val="0"/>
      </w:pPr>
      <w:r>
        <w:t>Executive summary</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2340"/>
        <w:gridCol w:w="2340"/>
        <w:gridCol w:w="2340"/>
        <w:gridCol w:w="2340"/>
      </w:tblGrid>
      <w:tr>
        <w:trPr>
          <w:tblHeader w:val="true"/>
        </w:trPr>
        <w:tc>
          <w:tcPr>
            <w:tcW w:type="dxa" w:w="2340"/>
            <w:shd w:fill="E8EEF5"/>
            <w:tcMar>
              <w:top w:w="80" w:type="dxa"/>
              <w:start w:w="120" w:type="dxa"/>
              <w:bottom w:w="80" w:type="dxa"/>
              <w:end w:w="120" w:type="dxa"/>
            </w:tcMar>
            <w:vAlign w:val="center"/>
          </w:tcPr>
          <w:p>
            <w:pPr>
              <w:spacing w:after="40"/>
              <w:jc w:val="center"/>
            </w:pPr>
            <w:r>
              <w:rPr>
                <w:rFonts w:ascii="Calibri" w:hAnsi="Calibri"/>
                <w:b/>
                <w:color w:val="16324F"/>
                <w:sz w:val="32"/>
              </w:rPr>
              <w:t>480</w:t>
            </w:r>
          </w:p>
          <w:p>
            <w:pPr>
              <w:spacing w:after="0"/>
              <w:jc w:val="center"/>
            </w:pPr>
            <w:r>
              <w:rPr>
                <w:rFonts w:ascii="Calibri" w:hAnsi="Calibri"/>
                <w:b/>
                <w:color w:val="65717E"/>
                <w:sz w:val="17"/>
              </w:rPr>
              <w:t>automated tests passing</w:t>
            </w:r>
          </w:p>
        </w:tc>
        <w:tc>
          <w:tcPr>
            <w:tcW w:type="dxa" w:w="2340"/>
            <w:shd w:fill="F2F4F7"/>
            <w:tcMar>
              <w:top w:w="80" w:type="dxa"/>
              <w:start w:w="120" w:type="dxa"/>
              <w:bottom w:w="80" w:type="dxa"/>
              <w:end w:w="120" w:type="dxa"/>
            </w:tcMar>
            <w:vAlign w:val="center"/>
          </w:tcPr>
          <w:p>
            <w:pPr>
              <w:spacing w:after="40"/>
              <w:jc w:val="center"/>
            </w:pPr>
            <w:r>
              <w:rPr>
                <w:rFonts w:ascii="Calibri" w:hAnsi="Calibri"/>
                <w:b/>
                <w:color w:val="16324F"/>
                <w:sz w:val="32"/>
              </w:rPr>
              <w:t>4.53%</w:t>
            </w:r>
          </w:p>
          <w:p>
            <w:pPr>
              <w:spacing w:after="0"/>
              <w:jc w:val="center"/>
            </w:pPr>
            <w:r>
              <w:rPr>
                <w:rFonts w:ascii="Calibri" w:hAnsi="Calibri"/>
                <w:b/>
                <w:color w:val="65717E"/>
                <w:sz w:val="17"/>
              </w:rPr>
              <w:t>point WAPE on 0.11 validation</w:t>
            </w:r>
          </w:p>
        </w:tc>
        <w:tc>
          <w:tcPr>
            <w:tcW w:type="dxa" w:w="2340"/>
            <w:shd w:fill="E8EEF5"/>
            <w:tcMar>
              <w:top w:w="80" w:type="dxa"/>
              <w:start w:w="120" w:type="dxa"/>
              <w:bottom w:w="80" w:type="dxa"/>
              <w:end w:w="120" w:type="dxa"/>
            </w:tcMar>
            <w:vAlign w:val="center"/>
          </w:tcPr>
          <w:p>
            <w:pPr>
              <w:spacing w:after="40"/>
              <w:jc w:val="center"/>
            </w:pPr>
            <w:r>
              <w:rPr>
                <w:rFonts w:ascii="Calibri" w:hAnsi="Calibri"/>
                <w:b/>
                <w:color w:val="16324F"/>
                <w:sz w:val="32"/>
              </w:rPr>
              <w:t>90.50%</w:t>
            </w:r>
          </w:p>
          <w:p>
            <w:pPr>
              <w:spacing w:after="0"/>
              <w:jc w:val="center"/>
            </w:pPr>
            <w:r>
              <w:rPr>
                <w:rFonts w:ascii="Calibri" w:hAnsi="Calibri"/>
                <w:b/>
                <w:color w:val="65717E"/>
                <w:sz w:val="17"/>
              </w:rPr>
              <w:t>published interval coverage</w:t>
            </w:r>
          </w:p>
        </w:tc>
        <w:tc>
          <w:tcPr>
            <w:tcW w:type="dxa" w:w="2340"/>
            <w:shd w:fill="F2F4F7"/>
            <w:tcMar>
              <w:top w:w="80" w:type="dxa"/>
              <w:start w:w="120" w:type="dxa"/>
              <w:bottom w:w="80" w:type="dxa"/>
              <w:end w:w="120" w:type="dxa"/>
            </w:tcMar>
            <w:vAlign w:val="center"/>
          </w:tcPr>
          <w:p>
            <w:pPr>
              <w:spacing w:after="40"/>
              <w:jc w:val="center"/>
            </w:pPr>
            <w:r>
              <w:rPr>
                <w:rFonts w:ascii="Calibri" w:hAnsi="Calibri"/>
                <w:b/>
                <w:color w:val="16324F"/>
                <w:sz w:val="32"/>
              </w:rPr>
              <w:t>17</w:t>
            </w:r>
          </w:p>
          <w:p>
            <w:pPr>
              <w:spacing w:after="0"/>
              <w:jc w:val="center"/>
            </w:pPr>
            <w:r>
              <w:rPr>
                <w:rFonts w:ascii="Calibri" w:hAnsi="Calibri"/>
                <w:b/>
                <w:color w:val="65717E"/>
                <w:sz w:val="17"/>
              </w:rPr>
              <w:t>latest local commits not pushed</w:t>
            </w:r>
          </w:p>
        </w:tc>
      </w:tr>
    </w:tbl>
    <w:p>
      <w:pPr>
        <w:spacing w:after="20"/>
      </w:pPr>
    </w:p>
    <w:p>
      <w:pPr>
        <w:keepLines w:val="0"/>
        <w:spacing w:after="120" w:line="300" w:lineRule="auto"/>
      </w:pPr>
      <w:r>
        <w:rPr>
          <w:rFonts w:ascii="Calibri" w:hAnsi="Calibri"/>
          <w:i w:val="0"/>
          <w:color w:val="111111"/>
        </w:rPr>
        <w:t>Project now provides deterministic financial-life simulation, observation-only income estimation, sustainable-income modeling, uncertainty intervals, and evidence-backed explanations. It is suitable for an internal demonstration because one synthetic client can be generated, estimated, and compared against known private truth.</w:t>
      </w:r>
    </w:p>
    <w:p>
      <w:pPr>
        <w:keepLines w:val="0"/>
        <w:spacing w:after="120" w:line="300" w:lineRule="auto"/>
      </w:pPr>
      <w:r>
        <w:rPr>
          <w:rFonts w:ascii="Calibri" w:hAnsi="Calibri"/>
          <w:i w:val="0"/>
          <w:color w:val="111111"/>
        </w:rPr>
        <w:t>Approval should fund real-data discovery and a governed pilot, not production deployment. Current results measure behavior on designed synthetic populations. High-volatility and noisy-feed stress tests expose material uncertainty failures outside calibration conditions.</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9360"/>
      </w:tblGrid>
      <w:tr>
        <w:trPr>
          <w:tblHeader w:val="true"/>
        </w:trPr>
        <w:tc>
          <w:tcPr>
            <w:tcW w:type="dxa" w:w="9360"/>
            <w:tcMar>
              <w:top w:w="80" w:type="dxa"/>
              <w:start w:w="120" w:type="dxa"/>
              <w:bottom w:w="80" w:type="dxa"/>
              <w:end w:w="120" w:type="dxa"/>
            </w:tcMar>
            <w:vAlign w:val="center"/>
            <w:shd w:fill="E7F2EA"/>
          </w:tcPr>
          <w:p>
            <w:pPr>
              <w:spacing w:after="40" w:line="276" w:lineRule="auto"/>
            </w:pPr>
            <w:r>
              <w:rPr>
                <w:rFonts w:ascii="Calibri" w:hAnsi="Calibri"/>
                <w:b/>
                <w:color w:val="2E7D5B"/>
              </w:rPr>
              <w:t xml:space="preserve">Recommended management decision: </w:t>
            </w:r>
            <w:r>
              <w:rPr>
                <w:rFonts w:ascii="Calibri" w:hAnsi="Calibri"/>
                <w:color w:val="111111"/>
              </w:rPr>
              <w:t>Approve development of visual PoC and next discovery phase: one provider adapter, de-identified shadow evaluation, and production requirements definition. Do not approve consequential use yet.</w:t>
            </w:r>
          </w:p>
        </w:tc>
      </w:tr>
    </w:tbl>
    <w:p>
      <w:pPr>
        <w:spacing w:after="40"/>
      </w:pPr>
    </w:p>
    <w:p>
      <w:pPr>
        <w:pStyle w:val="Heading1"/>
        <w:keepNext/>
        <w:pageBreakBefore/>
      </w:pPr>
      <w:r>
        <w:t>1. Project purpose and scope</w:t>
      </w:r>
    </w:p>
    <w:p>
      <w:pPr>
        <w:pStyle w:val="Heading2"/>
        <w:keepNext/>
        <w:pageBreakBefore w:val="0"/>
      </w:pPr>
      <w:r>
        <w:t>1.1 Original objective</w:t>
      </w:r>
    </w:p>
    <w:p>
      <w:pPr>
        <w:keepLines w:val="0"/>
        <w:spacing w:after="120" w:line="300" w:lineRule="auto"/>
      </w:pPr>
      <w:r>
        <w:rPr>
          <w:rFonts w:ascii="Calibri" w:hAnsi="Calibri"/>
          <w:i w:val="0"/>
          <w:color w:val="111111"/>
        </w:rPr>
        <w:t>Project objective is to transform consented financial observations into explainable income estimates. Estimator has two layers: reconstruct visible realized income from observed events, then infer sustainable income when observation is incomplete or ambiguous.</w:t>
      </w:r>
    </w:p>
    <w:p>
      <w:pPr>
        <w:keepLines w:val="0"/>
        <w:spacing w:after="120" w:line="300" w:lineRule="auto"/>
      </w:pPr>
      <w:r>
        <w:rPr>
          <w:rFonts w:ascii="Calibri" w:hAnsi="Calibri"/>
          <w:i w:val="0"/>
          <w:color w:val="111111"/>
        </w:rPr>
        <w:t>Expected output includes realized and sustainable monthly income, calibrated uncertainty, confidence, and auditable evidence. Simulator supplies representative synthetic histories and private truth so methods can be built without real customer records.</w:t>
      </w:r>
    </w:p>
    <w:p>
      <w:pPr>
        <w:pStyle w:val="Heading2"/>
        <w:keepNext/>
        <w:pageBreakBefore w:val="0"/>
      </w:pPr>
      <w:r>
        <w:t>1.2 Why simulator exists</w:t>
      </w:r>
    </w:p>
    <w:p>
      <w:pPr>
        <w:numPr>
          <w:ilvl w:val="0"/>
          <w:numId w:val="10"/>
        </w:numPr>
        <w:spacing w:after="80" w:line="300" w:lineRule="auto"/>
        <w:ind w:left="540" w:hanging="271"/>
      </w:pPr>
      <w:r>
        <w:rPr>
          <w:rFonts w:ascii="Calibri" w:hAnsi="Calibri"/>
          <w:color w:val="111111"/>
        </w:rPr>
        <w:t>Known truth: every economic event has a private classification and income target.</w:t>
      </w:r>
    </w:p>
    <w:p>
      <w:pPr>
        <w:numPr>
          <w:ilvl w:val="0"/>
          <w:numId w:val="10"/>
        </w:numPr>
        <w:spacing w:after="80" w:line="300" w:lineRule="auto"/>
        <w:ind w:left="540" w:hanging="271"/>
      </w:pPr>
      <w:r>
        <w:rPr>
          <w:rFonts w:ascii="Calibri" w:hAnsi="Calibri"/>
          <w:color w:val="111111"/>
        </w:rPr>
        <w:t>Controlled difficulty: consent loss, missing data, reversals, transfers, loans, refunds, and volatile income can be introduced deliberately.</w:t>
      </w:r>
    </w:p>
    <w:p>
      <w:pPr>
        <w:numPr>
          <w:ilvl w:val="0"/>
          <w:numId w:val="10"/>
        </w:numPr>
        <w:spacing w:after="80" w:line="300" w:lineRule="auto"/>
        <w:ind w:left="540" w:hanging="271"/>
      </w:pPr>
      <w:r>
        <w:rPr>
          <w:rFonts w:ascii="Calibri" w:hAnsi="Calibri"/>
          <w:color w:val="111111"/>
        </w:rPr>
        <w:t>Reproducibility: same configuration, seed, and version produce same financial history.</w:t>
      </w:r>
    </w:p>
    <w:p>
      <w:pPr>
        <w:numPr>
          <w:ilvl w:val="0"/>
          <w:numId w:val="10"/>
        </w:numPr>
        <w:spacing w:after="80" w:line="300" w:lineRule="auto"/>
        <w:ind w:left="540" w:hanging="271"/>
      </w:pPr>
      <w:r>
        <w:rPr>
          <w:rFonts w:ascii="Calibri" w:hAnsi="Calibri"/>
          <w:color w:val="111111"/>
        </w:rPr>
        <w:t>Leakage protection: estimator receives normalized observations, never hidden labels.</w:t>
      </w:r>
    </w:p>
    <w:p>
      <w:pPr>
        <w:pStyle w:val="Heading2"/>
        <w:keepNext/>
        <w:pageBreakBefore w:val="0"/>
      </w:pPr>
      <w:r>
        <w:t>1.3 Current project boundary</w:t>
      </w:r>
    </w:p>
    <w:p>
      <w:pPr>
        <w:keepLines w:val="0"/>
        <w:spacing w:after="120" w:line="300" w:lineRule="auto"/>
      </w:pPr>
      <w:r>
        <w:rPr>
          <w:rFonts w:ascii="Calibri" w:hAnsi="Calibri"/>
          <w:i w:val="0"/>
          <w:color w:val="111111"/>
        </w:rPr>
        <w:t>Repository models Open Finance-like categories, not official Open Finance wire formats. Authentication, token handling, consent orchestration, provider transport, and production monitoring remain outside implemented scope.</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9360"/>
      </w:tblGrid>
      <w:tr>
        <w:trPr>
          <w:tblHeader w:val="true"/>
        </w:trPr>
        <w:tc>
          <w:tcPr>
            <w:tcW w:type="dxa" w:w="9360"/>
            <w:tcMar>
              <w:top w:w="80" w:type="dxa"/>
              <w:start w:w="120" w:type="dxa"/>
              <w:bottom w:w="80" w:type="dxa"/>
              <w:end w:w="120" w:type="dxa"/>
            </w:tcMar>
            <w:vAlign w:val="center"/>
            <w:shd w:fill="FFF7E6"/>
          </w:tcPr>
          <w:p>
            <w:pPr>
              <w:spacing w:after="40" w:line="276" w:lineRule="auto"/>
            </w:pPr>
            <w:r>
              <w:rPr>
                <w:rFonts w:ascii="Calibri" w:hAnsi="Calibri"/>
                <w:b/>
                <w:color w:val="9A6A00"/>
              </w:rPr>
              <w:t xml:space="preserve">Presentation wording: </w:t>
            </w:r>
            <w:r>
              <w:rPr>
                <w:rFonts w:ascii="Calibri" w:hAnsi="Calibri"/>
                <w:color w:val="111111"/>
              </w:rPr>
              <w:t>Call it an evidence-generating proof of concept, not an Open Finance integration or production credit-decision system.</w:t>
            </w:r>
          </w:p>
        </w:tc>
      </w:tr>
    </w:tbl>
    <w:p>
      <w:pPr>
        <w:spacing w:after="40"/>
      </w:pPr>
    </w:p>
    <w:p>
      <w:pPr>
        <w:pStyle w:val="Heading1"/>
        <w:keepNext/>
        <w:pageBreakBefore/>
      </w:pPr>
      <w:r>
        <w:t>2. Technical architecture</w:t>
      </w:r>
    </w:p>
    <w:p>
      <w:pPr>
        <w:keepNext/>
        <w:jc w:val="center"/>
      </w:pPr>
      <w:r>
        <w:drawing>
          <wp:inline xmlns:a="http://schemas.openxmlformats.org/drawingml/2006/main" xmlns:pic="http://schemas.openxmlformats.org/drawingml/2006/picture">
            <wp:extent cx="5806440" cy="3161284"/>
            <wp:docPr id="1" name="Picture 1" descr="Diagram of simulator, observation layer, estimator, truth boundary, and evaluation flow."/>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161284"/>
                    </a:xfrm>
                    <a:prstGeom prst="rect"/>
                  </pic:spPr>
                </pic:pic>
              </a:graphicData>
            </a:graphic>
          </wp:inline>
        </w:drawing>
      </w:r>
    </w:p>
    <w:p>
      <w:pPr>
        <w:spacing w:before="40" w:after="160"/>
        <w:jc w:val="center"/>
      </w:pPr>
      <w:r>
        <w:rPr>
          <w:rFonts w:ascii="Calibri" w:hAnsi="Calibri"/>
          <w:i/>
          <w:color w:val="65717E"/>
          <w:sz w:val="18"/>
        </w:rPr>
        <w:t>Figure 1. End-to-end architecture. Red path is private truth; teal path is estimator-visible observation data.</w:t>
      </w:r>
    </w:p>
    <w:p>
      <w:pPr>
        <w:pStyle w:val="Heading2"/>
        <w:keepNext/>
        <w:pageBreakBefore w:val="0"/>
      </w:pPr>
      <w:r>
        <w:t>2.1 Simulator architecture</w:t>
      </w:r>
    </w:p>
    <w:p>
      <w:pPr>
        <w:keepLines w:val="0"/>
        <w:spacing w:after="120" w:line="300" w:lineRule="auto"/>
      </w:pPr>
      <w:r>
        <w:rPr>
          <w:rFonts w:ascii="Calibri" w:hAnsi="Calibri"/>
          <w:i w:val="0"/>
          <w:color w:val="111111"/>
        </w:rPr>
        <w:t>Simulator separates three levels. This separation is load-bearing, not cosmetic:</w:t>
      </w:r>
    </w:p>
    <w:p>
      <w:pPr>
        <w:numPr>
          <w:ilvl w:val="0"/>
          <w:numId w:val="10"/>
        </w:numPr>
        <w:spacing w:after="80" w:line="300" w:lineRule="auto"/>
        <w:ind w:left="540" w:hanging="271"/>
      </w:pPr>
      <w:r>
        <w:rPr>
          <w:rFonts w:ascii="Calibri" w:hAnsi="Calibri"/>
          <w:color w:val="111111"/>
        </w:rPr>
        <w:t>World state: hidden customer profile, income sources, behavior, assets, liabilities, products, and life events.</w:t>
      </w:r>
    </w:p>
    <w:p>
      <w:pPr>
        <w:numPr>
          <w:ilvl w:val="0"/>
          <w:numId w:val="10"/>
        </w:numPr>
        <w:spacing w:after="80" w:line="300" w:lineRule="auto"/>
        <w:ind w:left="540" w:hanging="271"/>
      </w:pPr>
      <w:r>
        <w:rPr>
          <w:rFonts w:ascii="Calibri" w:hAnsi="Calibri"/>
          <w:color w:val="111111"/>
        </w:rPr>
        <w:t>Financial events and ledger: economic events become account-level postings; balances, debt, invoices, investments, and net worth reconcile.</w:t>
      </w:r>
    </w:p>
    <w:p>
      <w:pPr>
        <w:numPr>
          <w:ilvl w:val="0"/>
          <w:numId w:val="10"/>
        </w:numPr>
        <w:spacing w:after="80" w:line="300" w:lineRule="auto"/>
        <w:ind w:left="540" w:hanging="271"/>
      </w:pPr>
      <w:r>
        <w:rPr>
          <w:rFonts w:ascii="Calibri" w:hAnsi="Calibri"/>
          <w:color w:val="111111"/>
        </w:rPr>
        <w:t>Observation layer: consent and degradation determine what estimator can see without changing hidden economics.</w:t>
      </w:r>
    </w:p>
    <w:p>
      <w:pPr>
        <w:keepLines w:val="0"/>
        <w:spacing w:after="120" w:line="300" w:lineRule="auto"/>
      </w:pPr>
      <w:r>
        <w:rPr>
          <w:rFonts w:ascii="Calibri" w:hAnsi="Calibri"/>
          <w:i w:val="0"/>
          <w:color w:val="111111"/>
        </w:rPr>
        <w:t>Money uses integer minor units. Deterministic identifiers and isolated random streams prevent unrelated configuration changes from perturbing other financial behaviors. Batch generation uses addressable consecutive seeds and stable customer buckets, allowing worker-count-independent output.</w:t>
      </w:r>
    </w:p>
    <w:p>
      <w:pPr>
        <w:pStyle w:val="Heading2"/>
        <w:keepNext/>
        <w:pageBreakBefore w:val="0"/>
      </w:pPr>
      <w:r>
        <w:t>2.2 Simulator domain coverage</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1600"/>
        <w:gridCol w:w="4960"/>
        <w:gridCol w:w="2800"/>
      </w:tblGrid>
      <w:tr>
        <w:trPr>
          <w:tblHeader w:val="true"/>
        </w:trPr>
        <w:tc>
          <w:tcPr>
            <w:tcW w:type="dxa" w:w="1600"/>
            <w:shd w:fill="E8EEF5"/>
            <w:tcMar>
              <w:top w:w="80" w:type="dxa"/>
              <w:start w:w="120" w:type="dxa"/>
              <w:bottom w:w="80" w:type="dxa"/>
              <w:end w:w="120" w:type="dxa"/>
            </w:tcMar>
            <w:vAlign w:val="center"/>
          </w:tcPr>
          <w:p>
            <w:pPr>
              <w:spacing w:after="0"/>
              <w:jc w:val="center"/>
            </w:pPr>
            <w:r>
              <w:rPr>
                <w:rFonts w:ascii="Calibri" w:hAnsi="Calibri"/>
                <w:b/>
                <w:color w:val="16324F"/>
                <w:sz w:val="17"/>
              </w:rPr>
              <w:t>Area</w:t>
            </w:r>
          </w:p>
        </w:tc>
        <w:tc>
          <w:tcPr>
            <w:tcW w:type="dxa" w:w="4960"/>
            <w:shd w:fill="E8EEF5"/>
            <w:tcMar>
              <w:top w:w="80" w:type="dxa"/>
              <w:start w:w="120" w:type="dxa"/>
              <w:bottom w:w="80" w:type="dxa"/>
              <w:end w:w="120" w:type="dxa"/>
            </w:tcMar>
            <w:vAlign w:val="center"/>
          </w:tcPr>
          <w:p>
            <w:pPr>
              <w:spacing w:after="0"/>
              <w:jc w:val="center"/>
            </w:pPr>
            <w:r>
              <w:rPr>
                <w:rFonts w:ascii="Calibri" w:hAnsi="Calibri"/>
                <w:b/>
                <w:color w:val="16324F"/>
                <w:sz w:val="17"/>
              </w:rPr>
              <w:t>Implemented capability</w:t>
            </w:r>
          </w:p>
        </w:tc>
        <w:tc>
          <w:tcPr>
            <w:tcW w:type="dxa" w:w="2800"/>
            <w:shd w:fill="E8EEF5"/>
            <w:tcMar>
              <w:top w:w="80" w:type="dxa"/>
              <w:start w:w="120" w:type="dxa"/>
              <w:bottom w:w="80" w:type="dxa"/>
              <w:end w:w="120" w:type="dxa"/>
            </w:tcMar>
            <w:vAlign w:val="center"/>
          </w:tcPr>
          <w:p>
            <w:pPr>
              <w:spacing w:after="0"/>
              <w:jc w:val="center"/>
            </w:pPr>
            <w:r>
              <w:rPr>
                <w:rFonts w:ascii="Calibri" w:hAnsi="Calibri"/>
                <w:b/>
                <w:color w:val="16324F"/>
                <w:sz w:val="17"/>
              </w:rPr>
              <w:t>Important simplification</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111111"/>
                <w:sz w:val="17"/>
              </w:rPr>
              <w:t>Income</w:t>
            </w:r>
          </w:p>
        </w:tc>
        <w:tc>
          <w:tcPr>
            <w:tcW w:type="dxa" w:w="4960"/>
            <w:tcMar>
              <w:top w:w="80" w:type="dxa"/>
              <w:start w:w="120" w:type="dxa"/>
              <w:bottom w:w="80" w:type="dxa"/>
              <w:end w:w="120" w:type="dxa"/>
            </w:tcMar>
            <w:vAlign w:val="center"/>
          </w:tcPr>
          <w:p>
            <w:pPr>
              <w:spacing w:after="0" w:line="259" w:lineRule="auto"/>
              <w:jc w:val="left"/>
            </w:pPr>
            <w:r>
              <w:rPr>
                <w:rFonts w:ascii="Calibri" w:hAnsi="Calibri"/>
                <w:color w:val="111111"/>
                <w:sz w:val="17"/>
              </w:rPr>
              <w:t>Salary, self-employment, business, retirement, investment, mixed, unemployment; frequency, probability, volatility, seasonality</w:t>
            </w:r>
          </w:p>
        </w:tc>
        <w:tc>
          <w:tcPr>
            <w:tcW w:type="dxa" w:w="2800"/>
            <w:tcMar>
              <w:top w:w="80" w:type="dxa"/>
              <w:start w:w="120" w:type="dxa"/>
              <w:bottom w:w="80" w:type="dxa"/>
              <w:end w:w="120" w:type="dxa"/>
            </w:tcMar>
            <w:vAlign w:val="center"/>
          </w:tcPr>
          <w:p>
            <w:pPr>
              <w:spacing w:after="0" w:line="259" w:lineRule="auto"/>
              <w:jc w:val="left"/>
            </w:pPr>
            <w:r>
              <w:rPr>
                <w:rFonts w:ascii="Calibri" w:hAnsi="Calibri"/>
                <w:color w:val="111111"/>
                <w:sz w:val="17"/>
              </w:rPr>
              <w:t>Synthetic parameter distributions</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111111"/>
                <w:sz w:val="17"/>
              </w:rPr>
              <w:t>Accounts</w:t>
            </w:r>
          </w:p>
        </w:tc>
        <w:tc>
          <w:tcPr>
            <w:tcW w:type="dxa" w:w="4960"/>
            <w:tcMar>
              <w:top w:w="80" w:type="dxa"/>
              <w:start w:w="120" w:type="dxa"/>
              <w:bottom w:w="80" w:type="dxa"/>
              <w:end w:w="120" w:type="dxa"/>
            </w:tcMar>
            <w:vAlign w:val="center"/>
          </w:tcPr>
          <w:p>
            <w:pPr>
              <w:spacing w:after="0" w:line="259" w:lineRule="auto"/>
              <w:jc w:val="left"/>
            </w:pPr>
            <w:r>
              <w:rPr>
                <w:rFonts w:ascii="Calibri" w:hAnsi="Calibri"/>
                <w:color w:val="111111"/>
                <w:sz w:val="17"/>
              </w:rPr>
              <w:t>Multiple institutions/accounts, transfers, balances, expenses</w:t>
            </w:r>
          </w:p>
        </w:tc>
        <w:tc>
          <w:tcPr>
            <w:tcW w:type="dxa" w:w="2800"/>
            <w:tcMar>
              <w:top w:w="80" w:type="dxa"/>
              <w:start w:w="120" w:type="dxa"/>
              <w:bottom w:w="80" w:type="dxa"/>
              <w:end w:w="120" w:type="dxa"/>
            </w:tcMar>
            <w:vAlign w:val="center"/>
          </w:tcPr>
          <w:p>
            <w:pPr>
              <w:spacing w:after="0" w:line="259" w:lineRule="auto"/>
              <w:jc w:val="left"/>
            </w:pPr>
            <w:r>
              <w:rPr>
                <w:rFonts w:ascii="Calibri" w:hAnsi="Calibri"/>
                <w:color w:val="111111"/>
                <w:sz w:val="17"/>
              </w:rPr>
              <w:t>Negative balances allowed; no overdraft policy</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111111"/>
                <w:sz w:val="17"/>
              </w:rPr>
              <w:t>Cards</w:t>
            </w:r>
          </w:p>
        </w:tc>
        <w:tc>
          <w:tcPr>
            <w:tcW w:type="dxa" w:w="4960"/>
            <w:tcMar>
              <w:top w:w="80" w:type="dxa"/>
              <w:start w:w="120" w:type="dxa"/>
              <w:bottom w:w="80" w:type="dxa"/>
              <w:end w:w="120" w:type="dxa"/>
            </w:tcMar>
            <w:vAlign w:val="center"/>
          </w:tcPr>
          <w:p>
            <w:pPr>
              <w:spacing w:after="0" w:line="259" w:lineRule="auto"/>
              <w:jc w:val="left"/>
            </w:pPr>
            <w:r>
              <w:rPr>
                <w:rFonts w:ascii="Calibri" w:hAnsi="Calibri"/>
                <w:color w:val="111111"/>
                <w:sz w:val="17"/>
              </w:rPr>
              <w:t>Limits, invoices, installments, deterministic decline, automatic full payment</w:t>
            </w:r>
          </w:p>
        </w:tc>
        <w:tc>
          <w:tcPr>
            <w:tcW w:type="dxa" w:w="2800"/>
            <w:tcMar>
              <w:top w:w="80" w:type="dxa"/>
              <w:start w:w="120" w:type="dxa"/>
              <w:bottom w:w="80" w:type="dxa"/>
              <w:end w:w="120" w:type="dxa"/>
            </w:tcMar>
            <w:vAlign w:val="center"/>
          </w:tcPr>
          <w:p>
            <w:pPr>
              <w:spacing w:after="0" w:line="259" w:lineRule="auto"/>
              <w:jc w:val="left"/>
            </w:pPr>
            <w:r>
              <w:rPr>
                <w:rFonts w:ascii="Calibri" w:hAnsi="Calibri"/>
                <w:color w:val="111111"/>
                <w:sz w:val="17"/>
              </w:rPr>
              <w:t>No revolving balance, fees, or failed payment</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111111"/>
                <w:sz w:val="17"/>
              </w:rPr>
              <w:t>Loans</w:t>
            </w:r>
          </w:p>
        </w:tc>
        <w:tc>
          <w:tcPr>
            <w:tcW w:type="dxa" w:w="4960"/>
            <w:tcMar>
              <w:top w:w="80" w:type="dxa"/>
              <w:start w:w="120" w:type="dxa"/>
              <w:bottom w:w="80" w:type="dxa"/>
              <w:end w:w="120" w:type="dxa"/>
            </w:tcMar>
            <w:vAlign w:val="center"/>
          </w:tcPr>
          <w:p>
            <w:pPr>
              <w:spacing w:after="0" w:line="259" w:lineRule="auto"/>
              <w:jc w:val="left"/>
            </w:pPr>
            <w:r>
              <w:rPr>
                <w:rFonts w:ascii="Calibri" w:hAnsi="Calibri"/>
                <w:color w:val="111111"/>
                <w:sz w:val="17"/>
              </w:rPr>
              <w:t>Origination, fixed-rate constant-principal schedule, balances, payments</w:t>
            </w:r>
          </w:p>
        </w:tc>
        <w:tc>
          <w:tcPr>
            <w:tcW w:type="dxa" w:w="2800"/>
            <w:tcMar>
              <w:top w:w="80" w:type="dxa"/>
              <w:start w:w="120" w:type="dxa"/>
              <w:bottom w:w="80" w:type="dxa"/>
              <w:end w:w="120" w:type="dxa"/>
            </w:tcMar>
            <w:vAlign w:val="center"/>
          </w:tcPr>
          <w:p>
            <w:pPr>
              <w:spacing w:after="0" w:line="259" w:lineRule="auto"/>
              <w:jc w:val="left"/>
            </w:pPr>
            <w:r>
              <w:rPr>
                <w:rFonts w:ascii="Calibri" w:hAnsi="Calibri"/>
                <w:color w:val="111111"/>
                <w:sz w:val="17"/>
              </w:rPr>
              <w:t>No default or prepayment</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111111"/>
                <w:sz w:val="17"/>
              </w:rPr>
              <w:t>Investments</w:t>
            </w:r>
          </w:p>
        </w:tc>
        <w:tc>
          <w:tcPr>
            <w:tcW w:type="dxa" w:w="4960"/>
            <w:tcMar>
              <w:top w:w="80" w:type="dxa"/>
              <w:start w:w="120" w:type="dxa"/>
              <w:bottom w:w="80" w:type="dxa"/>
              <w:end w:w="120" w:type="dxa"/>
            </w:tcMar>
            <w:vAlign w:val="center"/>
          </w:tcPr>
          <w:p>
            <w:pPr>
              <w:spacing w:after="0" w:line="259" w:lineRule="auto"/>
              <w:jc w:val="left"/>
            </w:pPr>
            <w:r>
              <w:rPr>
                <w:rFonts w:ascii="Calibri" w:hAnsi="Calibri"/>
                <w:color w:val="111111"/>
                <w:sz w:val="17"/>
              </w:rPr>
              <w:t>Contributions, redemptions, balances, deterministic returns</w:t>
            </w:r>
          </w:p>
        </w:tc>
        <w:tc>
          <w:tcPr>
            <w:tcW w:type="dxa" w:w="2800"/>
            <w:tcMar>
              <w:top w:w="80" w:type="dxa"/>
              <w:start w:w="120" w:type="dxa"/>
              <w:bottom w:w="80" w:type="dxa"/>
              <w:end w:w="120" w:type="dxa"/>
            </w:tcMar>
            <w:vAlign w:val="center"/>
          </w:tcPr>
          <w:p>
            <w:pPr>
              <w:spacing w:after="0" w:line="259" w:lineRule="auto"/>
              <w:jc w:val="left"/>
            </w:pPr>
            <w:r>
              <w:rPr>
                <w:rFonts w:ascii="Calibri" w:hAnsi="Calibri"/>
                <w:color w:val="111111"/>
                <w:sz w:val="17"/>
              </w:rPr>
              <w:t>No units, prices, taxes, or negative returns</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111111"/>
                <w:sz w:val="17"/>
              </w:rPr>
              <w:t>Observation</w:t>
            </w:r>
          </w:p>
        </w:tc>
        <w:tc>
          <w:tcPr>
            <w:tcW w:type="dxa" w:w="4960"/>
            <w:tcMar>
              <w:top w:w="80" w:type="dxa"/>
              <w:start w:w="120" w:type="dxa"/>
              <w:bottom w:w="80" w:type="dxa"/>
              <w:end w:w="120" w:type="dxa"/>
            </w:tcMar>
            <w:vAlign w:val="center"/>
          </w:tcPr>
          <w:p>
            <w:pPr>
              <w:spacing w:after="0" w:line="259" w:lineRule="auto"/>
              <w:jc w:val="left"/>
            </w:pPr>
            <w:r>
              <w:rPr>
                <w:rFonts w:ascii="Calibri" w:hAnsi="Calibri"/>
                <w:color w:val="111111"/>
                <w:sz w:val="17"/>
              </w:rPr>
              <w:t>Coverage, missing, late, duplicate, reversal, corrected re-post</w:t>
            </w:r>
          </w:p>
        </w:tc>
        <w:tc>
          <w:tcPr>
            <w:tcW w:type="dxa" w:w="2800"/>
            <w:tcMar>
              <w:top w:w="80" w:type="dxa"/>
              <w:start w:w="120" w:type="dxa"/>
              <w:bottom w:w="80" w:type="dxa"/>
              <w:end w:w="120" w:type="dxa"/>
            </w:tcMar>
            <w:vAlign w:val="center"/>
          </w:tcPr>
          <w:p>
            <w:pPr>
              <w:spacing w:after="0" w:line="259" w:lineRule="auto"/>
              <w:jc w:val="left"/>
            </w:pPr>
            <w:r>
              <w:rPr>
                <w:rFonts w:ascii="Calibri" w:hAnsi="Calibri"/>
                <w:color w:val="111111"/>
                <w:sz w:val="17"/>
              </w:rPr>
              <w:t>Degradation mainly targets deposit transactions</w:t>
            </w:r>
          </w:p>
        </w:tc>
      </w:tr>
    </w:tbl>
    <w:p>
      <w:pPr>
        <w:spacing w:after="40"/>
      </w:pPr>
    </w:p>
    <w:p>
      <w:pPr>
        <w:pStyle w:val="Heading2"/>
        <w:keepNext/>
        <w:pageBreakBefore w:val="0"/>
      </w:pPr>
      <w:r>
        <w:t>2.3 Estimator runtime</w:t>
      </w:r>
    </w:p>
    <w:p>
      <w:pPr>
        <w:keepLines w:val="0"/>
        <w:spacing w:after="120" w:line="300" w:lineRule="auto"/>
      </w:pPr>
      <w:r>
        <w:rPr>
          <w:rFonts w:ascii="Calibri" w:hAnsi="Calibri"/>
          <w:i w:val="0"/>
          <w:color w:val="111111"/>
        </w:rPr>
        <w:t>Estimator runtime accepts contracts 1.0 through 1.2. Contract 1.2 includes accounts, transactions, balances, cards, limits, invoices, loans, investments, and coverage metadata. Every domain is optional; unavailable domain is represented as missing, not invented zero.</w:t>
      </w:r>
    </w:p>
    <w:p>
      <w:pPr>
        <w:numPr>
          <w:ilvl w:val="0"/>
          <w:numId w:val="11"/>
        </w:numPr>
        <w:spacing w:after="80" w:line="300" w:lineRule="auto"/>
        <w:ind w:left="540" w:hanging="271"/>
      </w:pPr>
      <w:r>
        <w:rPr>
          <w:rFonts w:ascii="Calibri" w:hAnsi="Calibri"/>
          <w:color w:val="111111"/>
        </w:rPr>
        <w:t>Preprocessing orders records by observation time and normalizes descriptions.</w:t>
      </w:r>
    </w:p>
    <w:p>
      <w:pPr>
        <w:numPr>
          <w:ilvl w:val="0"/>
          <w:numId w:val="11"/>
        </w:numPr>
        <w:spacing w:after="80" w:line="300" w:lineRule="auto"/>
        <w:ind w:left="540" w:hanging="271"/>
      </w:pPr>
      <w:r>
        <w:rPr>
          <w:rFonts w:ascii="Calibri" w:hAnsi="Calibri"/>
          <w:color w:val="111111"/>
        </w:rPr>
        <w:t>Rule classifier excludes visible transfers, loan disbursements, investment redemptions, refunds, duplicates, and reversals.</w:t>
      </w:r>
    </w:p>
    <w:p>
      <w:pPr>
        <w:numPr>
          <w:ilvl w:val="0"/>
          <w:numId w:val="11"/>
        </w:numPr>
        <w:spacing w:after="80" w:line="300" w:lineRule="auto"/>
        <w:ind w:left="540" w:hanging="271"/>
      </w:pPr>
      <w:r>
        <w:rPr>
          <w:rFonts w:ascii="Calibri" w:hAnsi="Calibri"/>
          <w:color w:val="111111"/>
        </w:rPr>
        <w:t>Income-stream detector groups observed credits and measures recurrence, frequency, amount stability, and persistence.</w:t>
      </w:r>
    </w:p>
    <w:p>
      <w:pPr>
        <w:numPr>
          <w:ilvl w:val="0"/>
          <w:numId w:val="11"/>
        </w:numPr>
        <w:spacing w:after="80" w:line="300" w:lineRule="auto"/>
        <w:ind w:left="540" w:hanging="271"/>
      </w:pPr>
      <w:r>
        <w:rPr>
          <w:rFonts w:ascii="Calibri" w:hAnsi="Calibri"/>
          <w:color w:val="111111"/>
        </w:rPr>
        <w:t>Customer-month feature builder replays estimator at each historical cutoff, preventing future-arrival leakage.</w:t>
      </w:r>
    </w:p>
    <w:p>
      <w:pPr>
        <w:numPr>
          <w:ilvl w:val="0"/>
          <w:numId w:val="11"/>
        </w:numPr>
        <w:spacing w:after="80" w:line="300" w:lineRule="auto"/>
        <w:ind w:left="540" w:hanging="271"/>
      </w:pPr>
      <w:r>
        <w:rPr>
          <w:rFonts w:ascii="Calibri" w:hAnsi="Calibri"/>
          <w:color w:val="111111"/>
        </w:rPr>
        <w:t>Capacity model predicts sustainable monthly income from 104 features.</w:t>
      </w:r>
    </w:p>
    <w:p>
      <w:pPr>
        <w:numPr>
          <w:ilvl w:val="0"/>
          <w:numId w:val="11"/>
        </w:numPr>
        <w:spacing w:after="80" w:line="300" w:lineRule="auto"/>
        <w:ind w:left="540" w:hanging="271"/>
      </w:pPr>
      <w:r>
        <w:rPr>
          <w:rFonts w:ascii="Calibri" w:hAnsi="Calibri"/>
          <w:color w:val="111111"/>
        </w:rPr>
        <w:t>Deterministic router selects realized and sustainable components without blending incompatible targets.</w:t>
      </w:r>
    </w:p>
    <w:p>
      <w:pPr>
        <w:numPr>
          <w:ilvl w:val="0"/>
          <w:numId w:val="11"/>
        </w:numPr>
        <w:spacing w:after="80" w:line="300" w:lineRule="auto"/>
        <w:ind w:left="540" w:hanging="271"/>
      </w:pPr>
      <w:r>
        <w:rPr>
          <w:rFonts w:ascii="Calibri" w:hAnsi="Calibri"/>
          <w:color w:val="111111"/>
        </w:rPr>
        <w:t>Interval model produces sustainable P10/P90 bounds or refuses when calibration is unavailable or declared out of support.</w:t>
      </w:r>
    </w:p>
    <w:p>
      <w:pPr>
        <w:numPr>
          <w:ilvl w:val="0"/>
          <w:numId w:val="11"/>
        </w:numPr>
        <w:spacing w:after="80" w:line="300" w:lineRule="auto"/>
        <w:ind w:left="540" w:hanging="271"/>
      </w:pPr>
      <w:r>
        <w:rPr>
          <w:rFonts w:ascii="Calibri" w:hAnsi="Calibri"/>
          <w:color w:val="111111"/>
        </w:rPr>
        <w:t>Explanation builder exposes evidence, components, confidence decomposition, routing reasons, and exact stump contributions.</w:t>
      </w:r>
    </w:p>
    <w:p>
      <w:pPr>
        <w:pStyle w:val="Heading2"/>
        <w:keepNext/>
        <w:pageBreakBefore w:val="0"/>
      </w:pPr>
      <w:r>
        <w:t>2.4 Trust boundary</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1600"/>
        <w:gridCol w:w="4040"/>
        <w:gridCol w:w="3720"/>
      </w:tblGrid>
      <w:tr>
        <w:trPr>
          <w:tblHeader w:val="true"/>
        </w:trPr>
        <w:tc>
          <w:tcPr>
            <w:tcW w:type="dxa" w:w="1600"/>
            <w:shd w:fill="E8EEF5"/>
            <w:tcMar>
              <w:top w:w="80" w:type="dxa"/>
              <w:start w:w="120" w:type="dxa"/>
              <w:bottom w:w="80" w:type="dxa"/>
              <w:end w:w="120" w:type="dxa"/>
            </w:tcMar>
            <w:vAlign w:val="center"/>
          </w:tcPr>
          <w:p>
            <w:pPr>
              <w:spacing w:after="0"/>
              <w:jc w:val="center"/>
            </w:pPr>
            <w:r>
              <w:rPr>
                <w:rFonts w:ascii="Calibri" w:hAnsi="Calibri"/>
                <w:b/>
                <w:color w:val="16324F"/>
                <w:sz w:val="18"/>
              </w:rPr>
              <w:t>Zone</w:t>
            </w:r>
          </w:p>
        </w:tc>
        <w:tc>
          <w:tcPr>
            <w:tcW w:type="dxa" w:w="4040"/>
            <w:shd w:fill="E8EEF5"/>
            <w:tcMar>
              <w:top w:w="80" w:type="dxa"/>
              <w:start w:w="120" w:type="dxa"/>
              <w:bottom w:w="80" w:type="dxa"/>
              <w:end w:w="120" w:type="dxa"/>
            </w:tcMar>
            <w:vAlign w:val="center"/>
          </w:tcPr>
          <w:p>
            <w:pPr>
              <w:spacing w:after="0"/>
              <w:jc w:val="center"/>
            </w:pPr>
            <w:r>
              <w:rPr>
                <w:rFonts w:ascii="Calibri" w:hAnsi="Calibri"/>
                <w:b/>
                <w:color w:val="16324F"/>
                <w:sz w:val="18"/>
              </w:rPr>
              <w:t>Allowed data</w:t>
            </w:r>
          </w:p>
        </w:tc>
        <w:tc>
          <w:tcPr>
            <w:tcW w:type="dxa" w:w="3720"/>
            <w:shd w:fill="E8EEF5"/>
            <w:tcMar>
              <w:top w:w="80" w:type="dxa"/>
              <w:start w:w="120" w:type="dxa"/>
              <w:bottom w:w="80" w:type="dxa"/>
              <w:end w:w="120" w:type="dxa"/>
            </w:tcMar>
            <w:vAlign w:val="center"/>
          </w:tcPr>
          <w:p>
            <w:pPr>
              <w:spacing w:after="0"/>
              <w:jc w:val="center"/>
            </w:pPr>
            <w:r>
              <w:rPr>
                <w:rFonts w:ascii="Calibri" w:hAnsi="Calibri"/>
                <w:b/>
                <w:color w:val="16324F"/>
                <w:sz w:val="18"/>
              </w:rPr>
              <w:t>Prohibited behavior</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111111"/>
                <w:sz w:val="18"/>
              </w:rPr>
              <w:t>Runtime</w:t>
            </w:r>
          </w:p>
        </w:tc>
        <w:tc>
          <w:tcPr>
            <w:tcW w:type="dxa" w:w="4040"/>
            <w:tcMar>
              <w:top w:w="80" w:type="dxa"/>
              <w:start w:w="120" w:type="dxa"/>
              <w:bottom w:w="80" w:type="dxa"/>
              <w:end w:w="120" w:type="dxa"/>
            </w:tcMar>
            <w:vAlign w:val="center"/>
          </w:tcPr>
          <w:p>
            <w:pPr>
              <w:spacing w:after="0" w:line="259" w:lineRule="auto"/>
              <w:jc w:val="left"/>
            </w:pPr>
            <w:r>
              <w:rPr>
                <w:rFonts w:ascii="Calibri" w:hAnsi="Calibri"/>
                <w:color w:val="111111"/>
                <w:sz w:val="18"/>
              </w:rPr>
              <w:t>Observed contract only</w:t>
            </w:r>
          </w:p>
        </w:tc>
        <w:tc>
          <w:tcPr>
            <w:tcW w:type="dxa" w:w="3720"/>
            <w:tcMar>
              <w:top w:w="80" w:type="dxa"/>
              <w:start w:w="120" w:type="dxa"/>
              <w:bottom w:w="80" w:type="dxa"/>
              <w:end w:w="120" w:type="dxa"/>
            </w:tcMar>
            <w:vAlign w:val="center"/>
          </w:tcPr>
          <w:p>
            <w:pPr>
              <w:spacing w:after="0" w:line="259" w:lineRule="auto"/>
              <w:jc w:val="left"/>
            </w:pPr>
            <w:r>
              <w:rPr>
                <w:rFonts w:ascii="Calibri" w:hAnsi="Calibri"/>
                <w:color w:val="111111"/>
                <w:sz w:val="18"/>
              </w:rPr>
              <w:t>No simulator truth imports or hidden labels</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111111"/>
                <w:sz w:val="18"/>
              </w:rPr>
              <w:t>Training</w:t>
            </w:r>
          </w:p>
        </w:tc>
        <w:tc>
          <w:tcPr>
            <w:tcW w:type="dxa" w:w="4040"/>
            <w:tcMar>
              <w:top w:w="80" w:type="dxa"/>
              <w:start w:w="120" w:type="dxa"/>
              <w:bottom w:w="80" w:type="dxa"/>
              <w:end w:w="120" w:type="dxa"/>
            </w:tcMar>
            <w:vAlign w:val="center"/>
          </w:tcPr>
          <w:p>
            <w:pPr>
              <w:spacing w:after="0" w:line="259" w:lineRule="auto"/>
              <w:jc w:val="left"/>
            </w:pPr>
            <w:r>
              <w:rPr>
                <w:rFonts w:ascii="Calibri" w:hAnsi="Calibri"/>
                <w:color w:val="111111"/>
                <w:sz w:val="18"/>
              </w:rPr>
              <w:t>Observed features plus private labels after feature extraction</w:t>
            </w:r>
          </w:p>
        </w:tc>
        <w:tc>
          <w:tcPr>
            <w:tcW w:type="dxa" w:w="3720"/>
            <w:tcMar>
              <w:top w:w="80" w:type="dxa"/>
              <w:start w:w="120" w:type="dxa"/>
              <w:bottom w:w="80" w:type="dxa"/>
              <w:end w:w="120" w:type="dxa"/>
            </w:tcMar>
            <w:vAlign w:val="center"/>
          </w:tcPr>
          <w:p>
            <w:pPr>
              <w:spacing w:after="0" w:line="259" w:lineRule="auto"/>
              <w:jc w:val="left"/>
            </w:pPr>
            <w:r>
              <w:rPr>
                <w:rFonts w:ascii="Calibri" w:hAnsi="Calibri"/>
                <w:color w:val="111111"/>
                <w:sz w:val="18"/>
              </w:rPr>
              <w:t>No customer overlap across splits; no future observations</w:t>
            </w:r>
          </w:p>
        </w:tc>
      </w:tr>
      <w:tr>
        <w:tc>
          <w:tcPr>
            <w:tcW w:type="dxa" w:w="1600"/>
            <w:tcMar>
              <w:top w:w="80" w:type="dxa"/>
              <w:start w:w="120" w:type="dxa"/>
              <w:bottom w:w="80" w:type="dxa"/>
              <w:end w:w="120" w:type="dxa"/>
            </w:tcMar>
            <w:vAlign w:val="center"/>
          </w:tcPr>
          <w:p>
            <w:pPr>
              <w:spacing w:after="0" w:line="259" w:lineRule="auto"/>
              <w:jc w:val="left"/>
            </w:pPr>
            <w:r>
              <w:rPr>
                <w:rFonts w:ascii="Calibri" w:hAnsi="Calibri"/>
                <w:color w:val="111111"/>
                <w:sz w:val="18"/>
              </w:rPr>
              <w:t>Evaluation</w:t>
            </w:r>
          </w:p>
        </w:tc>
        <w:tc>
          <w:tcPr>
            <w:tcW w:type="dxa" w:w="4040"/>
            <w:tcMar>
              <w:top w:w="80" w:type="dxa"/>
              <w:start w:w="120" w:type="dxa"/>
              <w:bottom w:w="80" w:type="dxa"/>
              <w:end w:w="120" w:type="dxa"/>
            </w:tcMar>
            <w:vAlign w:val="center"/>
          </w:tcPr>
          <w:p>
            <w:pPr>
              <w:spacing w:after="0" w:line="259" w:lineRule="auto"/>
              <w:jc w:val="left"/>
            </w:pPr>
            <w:r>
              <w:rPr>
                <w:rFonts w:ascii="Calibri" w:hAnsi="Calibri"/>
                <w:color w:val="111111"/>
                <w:sz w:val="18"/>
              </w:rPr>
              <w:t>Completed predictions plus private truth</w:t>
            </w:r>
          </w:p>
        </w:tc>
        <w:tc>
          <w:tcPr>
            <w:tcW w:type="dxa" w:w="3720"/>
            <w:tcMar>
              <w:top w:w="80" w:type="dxa"/>
              <w:start w:w="120" w:type="dxa"/>
              <w:bottom w:w="80" w:type="dxa"/>
              <w:end w:w="120" w:type="dxa"/>
            </w:tcMar>
            <w:vAlign w:val="center"/>
          </w:tcPr>
          <w:p>
            <w:pPr>
              <w:spacing w:after="0" w:line="259" w:lineRule="auto"/>
              <w:jc w:val="left"/>
            </w:pPr>
            <w:r>
              <w:rPr>
                <w:rFonts w:ascii="Calibri" w:hAnsi="Calibri"/>
                <w:color w:val="111111"/>
                <w:sz w:val="18"/>
              </w:rPr>
              <w:t>Truth cannot influence inference</w:t>
            </w:r>
          </w:p>
        </w:tc>
      </w:tr>
    </w:tbl>
    <w:p>
      <w:pPr>
        <w:spacing w:after="40"/>
      </w:pPr>
    </w:p>
    <w:p>
      <w:pPr>
        <w:pStyle w:val="Heading1"/>
        <w:keepNext/>
        <w:pageBreakBefore w:val="0"/>
      </w:pPr>
      <w:r>
        <w:t>3. How estimator was developed</w:t>
      </w:r>
    </w:p>
    <w:p>
      <w:pPr>
        <w:keepLines w:val="0"/>
        <w:spacing w:after="120" w:line="300" w:lineRule="auto"/>
      </w:pPr>
      <w:r>
        <w:rPr>
          <w:rFonts w:ascii="Calibri" w:hAnsi="Calibri"/>
          <w:i w:val="0"/>
          <w:color w:val="111111"/>
        </w:rPr>
        <w:t>Development followed measured promotion rather than replacing baseline immediately. Each stage preserved previous model as comparison or fallback.</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1100"/>
        <w:gridCol w:w="5340"/>
        <w:gridCol w:w="2920"/>
      </w:tblGrid>
      <w:tr>
        <w:trPr>
          <w:tblHeader w:val="true"/>
        </w:trPr>
        <w:tc>
          <w:tcPr>
            <w:tcW w:type="dxa" w:w="1100"/>
            <w:shd w:fill="E8EEF5"/>
            <w:tcMar>
              <w:top w:w="80" w:type="dxa"/>
              <w:start w:w="120" w:type="dxa"/>
              <w:bottom w:w="80" w:type="dxa"/>
              <w:end w:w="120" w:type="dxa"/>
            </w:tcMar>
            <w:vAlign w:val="center"/>
          </w:tcPr>
          <w:p>
            <w:pPr>
              <w:spacing w:after="0"/>
              <w:jc w:val="center"/>
            </w:pPr>
            <w:r>
              <w:rPr>
                <w:rFonts w:ascii="Calibri" w:hAnsi="Calibri"/>
                <w:b/>
                <w:color w:val="16324F"/>
                <w:sz w:val="17"/>
              </w:rPr>
              <w:t>Stage</w:t>
            </w:r>
          </w:p>
        </w:tc>
        <w:tc>
          <w:tcPr>
            <w:tcW w:type="dxa" w:w="5340"/>
            <w:shd w:fill="E8EEF5"/>
            <w:tcMar>
              <w:top w:w="80" w:type="dxa"/>
              <w:start w:w="120" w:type="dxa"/>
              <w:bottom w:w="80" w:type="dxa"/>
              <w:end w:w="120" w:type="dxa"/>
            </w:tcMar>
            <w:vAlign w:val="center"/>
          </w:tcPr>
          <w:p>
            <w:pPr>
              <w:spacing w:after="0"/>
              <w:jc w:val="center"/>
            </w:pPr>
            <w:r>
              <w:rPr>
                <w:rFonts w:ascii="Calibri" w:hAnsi="Calibri"/>
                <w:b/>
                <w:color w:val="16324F"/>
                <w:sz w:val="17"/>
              </w:rPr>
              <w:t>Technical contribution</w:t>
            </w:r>
          </w:p>
        </w:tc>
        <w:tc>
          <w:tcPr>
            <w:tcW w:type="dxa" w:w="2920"/>
            <w:shd w:fill="E8EEF5"/>
            <w:tcMar>
              <w:top w:w="80" w:type="dxa"/>
              <w:start w:w="120" w:type="dxa"/>
              <w:bottom w:w="80" w:type="dxa"/>
              <w:end w:w="120" w:type="dxa"/>
            </w:tcMar>
            <w:vAlign w:val="center"/>
          </w:tcPr>
          <w:p>
            <w:pPr>
              <w:spacing w:after="0"/>
              <w:jc w:val="center"/>
            </w:pPr>
            <w:r>
              <w:rPr>
                <w:rFonts w:ascii="Calibri" w:hAnsi="Calibri"/>
                <w:b/>
                <w:color w:val="16324F"/>
                <w:sz w:val="17"/>
              </w:rPr>
              <w:t>Decision</w:t>
            </w:r>
          </w:p>
        </w:tc>
      </w:tr>
      <w:tr>
        <w:tc>
          <w:tcPr>
            <w:tcW w:type="dxa" w:w="1100"/>
            <w:tcMar>
              <w:top w:w="80" w:type="dxa"/>
              <w:start w:w="120" w:type="dxa"/>
              <w:bottom w:w="80" w:type="dxa"/>
              <w:end w:w="120" w:type="dxa"/>
            </w:tcMar>
            <w:vAlign w:val="center"/>
          </w:tcPr>
          <w:p>
            <w:pPr>
              <w:spacing w:after="0" w:line="259" w:lineRule="auto"/>
              <w:jc w:val="left"/>
            </w:pPr>
            <w:r>
              <w:rPr>
                <w:rFonts w:ascii="Calibri" w:hAnsi="Calibri"/>
                <w:color w:val="111111"/>
                <w:sz w:val="17"/>
              </w:rPr>
              <w:t>0.1</w:t>
            </w:r>
          </w:p>
        </w:tc>
        <w:tc>
          <w:tcPr>
            <w:tcW w:type="dxa" w:w="5340"/>
            <w:tcMar>
              <w:top w:w="80" w:type="dxa"/>
              <w:start w:w="120" w:type="dxa"/>
              <w:bottom w:w="80" w:type="dxa"/>
              <w:end w:w="120" w:type="dxa"/>
            </w:tcMar>
            <w:vAlign w:val="center"/>
          </w:tcPr>
          <w:p>
            <w:pPr>
              <w:spacing w:after="0" w:line="259" w:lineRule="auto"/>
              <w:jc w:val="left"/>
            </w:pPr>
            <w:r>
              <w:rPr>
                <w:rFonts w:ascii="Calibri" w:hAnsi="Calibri"/>
                <w:color w:val="111111"/>
                <w:sz w:val="17"/>
              </w:rPr>
              <w:t>Strict deterministic cash-flow classifier and coverage scaling</w:t>
            </w:r>
          </w:p>
        </w:tc>
        <w:tc>
          <w:tcPr>
            <w:tcW w:type="dxa" w:w="2920"/>
            <w:tcMar>
              <w:top w:w="80" w:type="dxa"/>
              <w:start w:w="120" w:type="dxa"/>
              <w:bottom w:w="80" w:type="dxa"/>
              <w:end w:w="120" w:type="dxa"/>
            </w:tcMar>
            <w:vAlign w:val="center"/>
          </w:tcPr>
          <w:p>
            <w:pPr>
              <w:spacing w:after="0" w:line="259" w:lineRule="auto"/>
              <w:jc w:val="center"/>
            </w:pPr>
            <w:r>
              <w:rPr>
                <w:rFonts w:ascii="Calibri" w:hAnsi="Calibri"/>
                <w:color w:val="111111"/>
                <w:sz w:val="17"/>
              </w:rPr>
              <w:t>Frozen baseline</w:t>
            </w:r>
          </w:p>
        </w:tc>
      </w:tr>
      <w:tr>
        <w:tc>
          <w:tcPr>
            <w:tcW w:type="dxa" w:w="1100"/>
            <w:tcMar>
              <w:top w:w="80" w:type="dxa"/>
              <w:start w:w="120" w:type="dxa"/>
              <w:bottom w:w="80" w:type="dxa"/>
              <w:end w:w="120" w:type="dxa"/>
            </w:tcMar>
            <w:vAlign w:val="center"/>
          </w:tcPr>
          <w:p>
            <w:pPr>
              <w:spacing w:after="0" w:line="259" w:lineRule="auto"/>
              <w:jc w:val="left"/>
            </w:pPr>
            <w:r>
              <w:rPr>
                <w:rFonts w:ascii="Calibri" w:hAnsi="Calibri"/>
                <w:color w:val="111111"/>
                <w:sz w:val="17"/>
              </w:rPr>
              <w:t>0.2</w:t>
            </w:r>
          </w:p>
        </w:tc>
        <w:tc>
          <w:tcPr>
            <w:tcW w:type="dxa" w:w="5340"/>
            <w:tcMar>
              <w:top w:w="80" w:type="dxa"/>
              <w:start w:w="120" w:type="dxa"/>
              <w:bottom w:w="80" w:type="dxa"/>
              <w:end w:w="120" w:type="dxa"/>
            </w:tcMar>
            <w:vAlign w:val="center"/>
          </w:tcPr>
          <w:p>
            <w:pPr>
              <w:spacing w:after="0" w:line="259" w:lineRule="auto"/>
              <w:jc w:val="left"/>
            </w:pPr>
            <w:r>
              <w:rPr>
                <w:rFonts w:ascii="Calibri" w:hAnsi="Calibri"/>
                <w:color w:val="111111"/>
                <w:sz w:val="17"/>
              </w:rPr>
              <w:t>Recurring-stream detection and evidence-backed gap reconstruction</w:t>
            </w:r>
          </w:p>
        </w:tc>
        <w:tc>
          <w:tcPr>
            <w:tcW w:type="dxa" w:w="2920"/>
            <w:tcMar>
              <w:top w:w="80" w:type="dxa"/>
              <w:start w:w="120" w:type="dxa"/>
              <w:bottom w:w="80" w:type="dxa"/>
              <w:end w:w="120" w:type="dxa"/>
            </w:tcMar>
            <w:vAlign w:val="center"/>
          </w:tcPr>
          <w:p>
            <w:pPr>
              <w:spacing w:after="0" w:line="259" w:lineRule="auto"/>
              <w:jc w:val="left"/>
            </w:pPr>
            <w:r>
              <w:rPr>
                <w:rFonts w:ascii="Calibri" w:hAnsi="Calibri"/>
                <w:color w:val="111111"/>
                <w:sz w:val="17"/>
              </w:rPr>
              <w:t>Promoted default realized estimator</w:t>
            </w:r>
          </w:p>
        </w:tc>
      </w:tr>
      <w:tr>
        <w:tc>
          <w:tcPr>
            <w:tcW w:type="dxa" w:w="1100"/>
            <w:tcMar>
              <w:top w:w="80" w:type="dxa"/>
              <w:start w:w="120" w:type="dxa"/>
              <w:bottom w:w="80" w:type="dxa"/>
              <w:end w:w="120" w:type="dxa"/>
            </w:tcMar>
            <w:vAlign w:val="center"/>
          </w:tcPr>
          <w:p>
            <w:pPr>
              <w:spacing w:after="0" w:line="259" w:lineRule="auto"/>
              <w:jc w:val="left"/>
            </w:pPr>
            <w:r>
              <w:rPr>
                <w:rFonts w:ascii="Calibri" w:hAnsi="Calibri"/>
                <w:color w:val="111111"/>
                <w:sz w:val="17"/>
              </w:rPr>
              <w:t>0.3</w:t>
            </w:r>
          </w:p>
        </w:tc>
        <w:tc>
          <w:tcPr>
            <w:tcW w:type="dxa" w:w="5340"/>
            <w:tcMar>
              <w:top w:w="80" w:type="dxa"/>
              <w:start w:w="120" w:type="dxa"/>
              <w:bottom w:w="80" w:type="dxa"/>
              <w:end w:w="120" w:type="dxa"/>
            </w:tcMar>
            <w:vAlign w:val="center"/>
          </w:tcPr>
          <w:p>
            <w:pPr>
              <w:spacing w:after="0" w:line="259" w:lineRule="auto"/>
              <w:jc w:val="left"/>
            </w:pPr>
            <w:r>
              <w:rPr>
                <w:rFonts w:ascii="Calibri" w:hAnsi="Calibri"/>
                <w:color w:val="111111"/>
                <w:sz w:val="17"/>
              </w:rPr>
              <w:t>Supervised transaction classifier using point-in-time features</w:t>
            </w:r>
          </w:p>
        </w:tc>
        <w:tc>
          <w:tcPr>
            <w:tcW w:type="dxa" w:w="2920"/>
            <w:tcMar>
              <w:top w:w="80" w:type="dxa"/>
              <w:start w:w="120" w:type="dxa"/>
              <w:bottom w:w="80" w:type="dxa"/>
              <w:end w:w="120" w:type="dxa"/>
            </w:tcMar>
            <w:vAlign w:val="center"/>
          </w:tcPr>
          <w:p>
            <w:pPr>
              <w:spacing w:after="0" w:line="259" w:lineRule="auto"/>
              <w:jc w:val="left"/>
            </w:pPr>
            <w:r>
              <w:rPr>
                <w:rFonts w:ascii="Calibri" w:hAnsi="Calibri"/>
                <w:color w:val="111111"/>
                <w:sz w:val="17"/>
              </w:rPr>
              <w:t>Not promoted; tied baseline F1</w:t>
            </w:r>
          </w:p>
        </w:tc>
      </w:tr>
      <w:tr>
        <w:tc>
          <w:tcPr>
            <w:tcW w:type="dxa" w:w="1100"/>
            <w:tcMar>
              <w:top w:w="80" w:type="dxa"/>
              <w:start w:w="120" w:type="dxa"/>
              <w:bottom w:w="80" w:type="dxa"/>
              <w:end w:w="120" w:type="dxa"/>
            </w:tcMar>
            <w:vAlign w:val="center"/>
          </w:tcPr>
          <w:p>
            <w:pPr>
              <w:spacing w:after="0" w:line="259" w:lineRule="auto"/>
              <w:jc w:val="left"/>
            </w:pPr>
            <w:r>
              <w:rPr>
                <w:rFonts w:ascii="Calibri" w:hAnsi="Calibri"/>
                <w:color w:val="111111"/>
                <w:sz w:val="17"/>
              </w:rPr>
              <w:t>0.4</w:t>
            </w:r>
          </w:p>
        </w:tc>
        <w:tc>
          <w:tcPr>
            <w:tcW w:type="dxa" w:w="5340"/>
            <w:tcMar>
              <w:top w:w="80" w:type="dxa"/>
              <w:start w:w="120" w:type="dxa"/>
              <w:bottom w:w="80" w:type="dxa"/>
              <w:end w:w="120" w:type="dxa"/>
            </w:tcMar>
            <w:vAlign w:val="center"/>
          </w:tcPr>
          <w:p>
            <w:pPr>
              <w:spacing w:after="0" w:line="259" w:lineRule="auto"/>
              <w:jc w:val="left"/>
            </w:pPr>
            <w:r>
              <w:rPr>
                <w:rFonts w:ascii="Calibri" w:hAnsi="Calibri"/>
                <w:color w:val="111111"/>
                <w:sz w:val="17"/>
              </w:rPr>
              <w:t>Versioned customer-month feature table</w:t>
            </w:r>
          </w:p>
        </w:tc>
        <w:tc>
          <w:tcPr>
            <w:tcW w:type="dxa" w:w="2920"/>
            <w:tcMar>
              <w:top w:w="80" w:type="dxa"/>
              <w:start w:w="120" w:type="dxa"/>
              <w:bottom w:w="80" w:type="dxa"/>
              <w:end w:w="120" w:type="dxa"/>
            </w:tcMar>
            <w:vAlign w:val="center"/>
          </w:tcPr>
          <w:p>
            <w:pPr>
              <w:spacing w:after="0" w:line="259" w:lineRule="auto"/>
              <w:jc w:val="left"/>
            </w:pPr>
            <w:r>
              <w:rPr>
                <w:rFonts w:ascii="Calibri" w:hAnsi="Calibri"/>
                <w:color w:val="111111"/>
                <w:sz w:val="17"/>
              </w:rPr>
              <w:t>Implemented; current set has 104 features</w:t>
            </w:r>
          </w:p>
        </w:tc>
      </w:tr>
      <w:tr>
        <w:tc>
          <w:tcPr>
            <w:tcW w:type="dxa" w:w="1100"/>
            <w:tcMar>
              <w:top w:w="80" w:type="dxa"/>
              <w:start w:w="120" w:type="dxa"/>
              <w:bottom w:w="80" w:type="dxa"/>
              <w:end w:w="120" w:type="dxa"/>
            </w:tcMar>
            <w:vAlign w:val="center"/>
          </w:tcPr>
          <w:p>
            <w:pPr>
              <w:spacing w:after="0" w:line="259" w:lineRule="auto"/>
              <w:jc w:val="left"/>
            </w:pPr>
            <w:r>
              <w:rPr>
                <w:rFonts w:ascii="Calibri" w:hAnsi="Calibri"/>
                <w:color w:val="111111"/>
                <w:sz w:val="17"/>
              </w:rPr>
              <w:t>0.5/0.6</w:t>
            </w:r>
          </w:p>
        </w:tc>
        <w:tc>
          <w:tcPr>
            <w:tcW w:type="dxa" w:w="5340"/>
            <w:tcMar>
              <w:top w:w="80" w:type="dxa"/>
              <w:start w:w="120" w:type="dxa"/>
              <w:bottom w:w="80" w:type="dxa"/>
              <w:end w:w="120" w:type="dxa"/>
            </w:tcMar>
            <w:vAlign w:val="center"/>
          </w:tcPr>
          <w:p>
            <w:pPr>
              <w:spacing w:after="0" w:line="259" w:lineRule="auto"/>
              <w:jc w:val="left"/>
            </w:pPr>
            <w:r>
              <w:rPr>
                <w:rFonts w:ascii="Calibri" w:hAnsi="Calibri"/>
                <w:color w:val="111111"/>
                <w:sz w:val="17"/>
              </w:rPr>
              <w:t>Hurdle capacity model and deterministic target-aware routing</w:t>
            </w:r>
          </w:p>
        </w:tc>
        <w:tc>
          <w:tcPr>
            <w:tcW w:type="dxa" w:w="2920"/>
            <w:tcMar>
              <w:top w:w="80" w:type="dxa"/>
              <w:start w:w="120" w:type="dxa"/>
              <w:bottom w:w="80" w:type="dxa"/>
              <w:end w:w="120" w:type="dxa"/>
            </w:tcMar>
            <w:vAlign w:val="center"/>
          </w:tcPr>
          <w:p>
            <w:pPr>
              <w:spacing w:after="0" w:line="259" w:lineRule="auto"/>
              <w:jc w:val="left"/>
            </w:pPr>
            <w:r>
              <w:rPr>
                <w:rFonts w:ascii="Calibri" w:hAnsi="Calibri"/>
                <w:color w:val="111111"/>
                <w:sz w:val="17"/>
              </w:rPr>
              <w:t>Capacity and ensemble promoted</w:t>
            </w:r>
          </w:p>
        </w:tc>
      </w:tr>
      <w:tr>
        <w:tc>
          <w:tcPr>
            <w:tcW w:type="dxa" w:w="1100"/>
            <w:tcMar>
              <w:top w:w="80" w:type="dxa"/>
              <w:start w:w="120" w:type="dxa"/>
              <w:bottom w:w="80" w:type="dxa"/>
              <w:end w:w="120" w:type="dxa"/>
            </w:tcMar>
            <w:vAlign w:val="center"/>
          </w:tcPr>
          <w:p>
            <w:pPr>
              <w:spacing w:after="0" w:line="259" w:lineRule="auto"/>
              <w:jc w:val="left"/>
            </w:pPr>
            <w:r>
              <w:rPr>
                <w:rFonts w:ascii="Calibri" w:hAnsi="Calibri"/>
                <w:color w:val="111111"/>
                <w:sz w:val="17"/>
              </w:rPr>
              <w:t>0.7/0.8</w:t>
            </w:r>
          </w:p>
        </w:tc>
        <w:tc>
          <w:tcPr>
            <w:tcW w:type="dxa" w:w="5340"/>
            <w:tcMar>
              <w:top w:w="80" w:type="dxa"/>
              <w:start w:w="120" w:type="dxa"/>
              <w:bottom w:w="80" w:type="dxa"/>
              <w:end w:w="120" w:type="dxa"/>
            </w:tcMar>
            <w:vAlign w:val="center"/>
          </w:tcPr>
          <w:p>
            <w:pPr>
              <w:spacing w:after="0" w:line="259" w:lineRule="auto"/>
              <w:jc w:val="left"/>
            </w:pPr>
            <w:r>
              <w:rPr>
                <w:rFonts w:ascii="Calibri" w:hAnsi="Calibri"/>
                <w:color w:val="111111"/>
                <w:sz w:val="17"/>
              </w:rPr>
              <w:t>Conformal intervals, confidence, explanations, stress reports</w:t>
            </w:r>
          </w:p>
        </w:tc>
        <w:tc>
          <w:tcPr>
            <w:tcW w:type="dxa" w:w="2920"/>
            <w:tcMar>
              <w:top w:w="80" w:type="dxa"/>
              <w:start w:w="120" w:type="dxa"/>
              <w:bottom w:w="80" w:type="dxa"/>
              <w:end w:w="120" w:type="dxa"/>
            </w:tcMar>
            <w:vAlign w:val="center"/>
          </w:tcPr>
          <w:p>
            <w:pPr>
              <w:spacing w:after="0" w:line="259" w:lineRule="auto"/>
              <w:jc w:val="left"/>
            </w:pPr>
            <w:r>
              <w:rPr>
                <w:rFonts w:ascii="Calibri" w:hAnsi="Calibri"/>
                <w:color w:val="111111"/>
                <w:sz w:val="17"/>
              </w:rPr>
              <w:t>Earlier calibration later superseded</w:t>
            </w:r>
          </w:p>
        </w:tc>
      </w:tr>
      <w:tr>
        <w:tc>
          <w:tcPr>
            <w:tcW w:type="dxa" w:w="1100"/>
            <w:tcMar>
              <w:top w:w="80" w:type="dxa"/>
              <w:start w:w="120" w:type="dxa"/>
              <w:bottom w:w="80" w:type="dxa"/>
              <w:end w:w="120" w:type="dxa"/>
            </w:tcMar>
            <w:vAlign w:val="center"/>
          </w:tcPr>
          <w:p>
            <w:pPr>
              <w:spacing w:after="0" w:line="259" w:lineRule="auto"/>
              <w:jc w:val="left"/>
            </w:pPr>
            <w:r>
              <w:rPr>
                <w:rFonts w:ascii="Calibri" w:hAnsi="Calibri"/>
                <w:color w:val="111111"/>
                <w:sz w:val="17"/>
              </w:rPr>
              <w:t>0.9/0.10</w:t>
            </w:r>
          </w:p>
        </w:tc>
        <w:tc>
          <w:tcPr>
            <w:tcW w:type="dxa" w:w="5340"/>
            <w:tcMar>
              <w:top w:w="80" w:type="dxa"/>
              <w:start w:w="120" w:type="dxa"/>
              <w:bottom w:w="80" w:type="dxa"/>
              <w:end w:w="120" w:type="dxa"/>
            </w:tcMar>
            <w:vAlign w:val="center"/>
          </w:tcPr>
          <w:p>
            <w:pPr>
              <w:spacing w:after="0" w:line="259" w:lineRule="auto"/>
              <w:jc w:val="left"/>
            </w:pPr>
            <w:r>
              <w:rPr>
                <w:rFonts w:ascii="Calibri" w:hAnsi="Calibri"/>
                <w:color w:val="111111"/>
                <w:sz w:val="17"/>
              </w:rPr>
              <w:t>Adaptive bands and width recalibration experiments</w:t>
            </w:r>
          </w:p>
        </w:tc>
        <w:tc>
          <w:tcPr>
            <w:tcW w:type="dxa" w:w="2920"/>
            <w:tcMar>
              <w:top w:w="80" w:type="dxa"/>
              <w:start w:w="120" w:type="dxa"/>
              <w:bottom w:w="80" w:type="dxa"/>
              <w:end w:w="120" w:type="dxa"/>
            </w:tcMar>
            <w:vAlign w:val="center"/>
          </w:tcPr>
          <w:p>
            <w:pPr>
              <w:spacing w:after="0" w:line="259" w:lineRule="auto"/>
              <w:jc w:val="center"/>
            </w:pPr>
            <w:r>
              <w:rPr>
                <w:rFonts w:ascii="Calibri" w:hAnsi="Calibri"/>
                <w:color w:val="111111"/>
                <w:sz w:val="17"/>
              </w:rPr>
              <w:t>Not promoted</w:t>
            </w:r>
          </w:p>
        </w:tc>
      </w:tr>
      <w:tr>
        <w:tc>
          <w:tcPr>
            <w:tcW w:type="dxa" w:w="1100"/>
            <w:tcMar>
              <w:top w:w="80" w:type="dxa"/>
              <w:start w:w="120" w:type="dxa"/>
              <w:bottom w:w="80" w:type="dxa"/>
              <w:end w:w="120" w:type="dxa"/>
            </w:tcMar>
            <w:vAlign w:val="center"/>
          </w:tcPr>
          <w:p>
            <w:pPr>
              <w:spacing w:after="0" w:line="259" w:lineRule="auto"/>
              <w:jc w:val="left"/>
            </w:pPr>
            <w:r>
              <w:rPr>
                <w:rFonts w:ascii="Calibri" w:hAnsi="Calibri"/>
                <w:color w:val="111111"/>
                <w:sz w:val="17"/>
              </w:rPr>
              <w:t>0.11</w:t>
            </w:r>
          </w:p>
        </w:tc>
        <w:tc>
          <w:tcPr>
            <w:tcW w:type="dxa" w:w="5340"/>
            <w:tcMar>
              <w:top w:w="80" w:type="dxa"/>
              <w:start w:w="120" w:type="dxa"/>
              <w:bottom w:w="80" w:type="dxa"/>
              <w:end w:w="120" w:type="dxa"/>
            </w:tcMar>
            <w:vAlign w:val="center"/>
          </w:tcPr>
          <w:p>
            <w:pPr>
              <w:spacing w:after="0" w:line="259" w:lineRule="auto"/>
              <w:jc w:val="left"/>
            </w:pPr>
            <w:r>
              <w:rPr>
                <w:rFonts w:ascii="Calibri" w:hAnsi="Calibri"/>
                <w:color w:val="111111"/>
                <w:sz w:val="17"/>
              </w:rPr>
              <w:t>Conditional selector, asymmetric cell corrections, support envelope</w:t>
            </w:r>
          </w:p>
        </w:tc>
        <w:tc>
          <w:tcPr>
            <w:tcW w:type="dxa" w:w="2920"/>
            <w:tcMar>
              <w:top w:w="80" w:type="dxa"/>
              <w:start w:w="120" w:type="dxa"/>
              <w:bottom w:w="80" w:type="dxa"/>
              <w:end w:w="120" w:type="dxa"/>
            </w:tcMar>
            <w:vAlign w:val="center"/>
          </w:tcPr>
          <w:p>
            <w:pPr>
              <w:spacing w:after="0" w:line="259" w:lineRule="auto"/>
              <w:jc w:val="left"/>
            </w:pPr>
            <w:r>
              <w:rPr>
                <w:rFonts w:ascii="Calibri" w:hAnsi="Calibri"/>
                <w:color w:val="111111"/>
                <w:sz w:val="17"/>
              </w:rPr>
              <w:t>Promoted with known limits</w:t>
            </w:r>
          </w:p>
        </w:tc>
      </w:tr>
    </w:tbl>
    <w:p>
      <w:pPr>
        <w:spacing w:after="40"/>
      </w:pPr>
    </w:p>
    <w:p>
      <w:pPr>
        <w:pStyle w:val="Heading2"/>
        <w:keepNext/>
        <w:pageBreakBefore w:val="0"/>
      </w:pPr>
      <w:r>
        <w:t>3.1 Transaction intelligence</w:t>
      </w:r>
    </w:p>
    <w:p>
      <w:pPr>
        <w:keepLines w:val="0"/>
        <w:spacing w:after="120" w:line="300" w:lineRule="auto"/>
      </w:pPr>
      <w:r>
        <w:rPr>
          <w:rFonts w:ascii="Calibri" w:hAnsi="Calibri"/>
          <w:i w:val="0"/>
          <w:color w:val="111111"/>
        </w:rPr>
        <w:t>Credits are not automatically income. Rules first protect against high-cost false positives. Supervised candidate cannot override deterministic safety exclusions. Recurrence features use only earlier observations, so later payments cannot make an older payment look recurring during backtesting.</w:t>
      </w:r>
    </w:p>
    <w:p>
      <w:pPr>
        <w:keepLines w:val="0"/>
        <w:spacing w:after="120" w:line="300" w:lineRule="auto"/>
      </w:pPr>
      <w:r>
        <w:rPr>
          <w:rFonts w:ascii="Calibri" w:hAnsi="Calibri"/>
          <w:i w:val="0"/>
          <w:color w:val="111111"/>
        </w:rPr>
        <w:t>Experimental classifier used customer-isolated 70/15/15 partitions. It achieved held-out F1 0.99552372, precision 1.0, recall 0.99108734, and zero critical false positives, but tied rule baseline. Strict improvement gate kept deterministic 0.2 path.</w:t>
      </w:r>
    </w:p>
    <w:p>
      <w:pPr>
        <w:pStyle w:val="Heading2"/>
        <w:keepNext/>
        <w:pageBreakBefore/>
      </w:pPr>
      <w:r>
        <w:t>3.2 Capacity model</w:t>
      </w:r>
    </w:p>
    <w:p>
      <w:pPr>
        <w:keepLines w:val="0"/>
        <w:spacing w:after="120" w:line="300" w:lineRule="auto"/>
      </w:pPr>
      <w:r>
        <w:rPr>
          <w:rFonts w:ascii="Calibri" w:hAnsi="Calibri"/>
          <w:i w:val="0"/>
          <w:color w:val="111111"/>
        </w:rPr>
        <w:t>Sustainable income differs from observed realized cash flow. Model is a hurdle architecture: logistic gate predicts whether capacity is zero; anchored regressor predicts positive amount. Regressor boosts log ratio around recent income mean rather than around constant. This makes empty model reproduce a defensible cash-flow anchor and lets each decision stump encode measured deviation.</w:t>
      </w:r>
    </w:p>
    <w:p>
      <w:pPr>
        <w:keepLines w:val="0"/>
        <w:spacing w:after="120" w:line="300" w:lineRule="auto"/>
      </w:pPr>
      <w:r>
        <w:rPr>
          <w:rFonts w:ascii="Calibri" w:hAnsi="Calibri"/>
          <w:i w:val="0"/>
          <w:color w:val="111111"/>
        </w:rPr>
        <w:t>Model artifact is dependency-free JSON. Each stump records feature, threshold, direction for missing values, and contribution. Runtime verifies feature schema fingerprint and artifact version.</w:t>
      </w:r>
    </w:p>
    <w:p>
      <w:pPr>
        <w:pStyle w:val="Heading2"/>
        <w:keepNext/>
        <w:pageBreakBefore w:val="0"/>
      </w:pPr>
      <w:r>
        <w:t>3.3 Ensemble and confidence</w:t>
      </w:r>
    </w:p>
    <w:p>
      <w:pPr>
        <w:keepLines w:val="0"/>
        <w:spacing w:after="120" w:line="300" w:lineRule="auto"/>
      </w:pPr>
      <w:r>
        <w:rPr>
          <w:rFonts w:ascii="Calibri" w:hAnsi="Calibri"/>
          <w:i w:val="0"/>
          <w:color w:val="111111"/>
        </w:rPr>
        <w:t>Realized and sustainable income are distinct targets, so project does not average them. Realized estimate uses recurring reconstruction. Sustainable estimate normally uses capacity model, except stable income routes to last-month cash flow where that component measured better.</w:t>
      </w:r>
    </w:p>
    <w:p>
      <w:pPr>
        <w:keepLines w:val="0"/>
        <w:spacing w:after="120" w:line="300" w:lineRule="auto"/>
      </w:pPr>
      <w:r>
        <w:rPr>
          <w:rFonts w:ascii="Calibri" w:hAnsi="Calibri"/>
          <w:i w:val="0"/>
          <w:color w:val="111111"/>
        </w:rPr>
        <w:t>Confidence is deterministic weighted score: data completeness 30%, history 20%, stability 20%, classification certainty 15%, component agreement 15%. Data completeness caps final score. Current confidence does not include validated distribution-shift score.</w:t>
      </w:r>
    </w:p>
    <w:p>
      <w:pPr>
        <w:pStyle w:val="Heading2"/>
        <w:keepNext/>
        <w:pageBreakBefore w:val="0"/>
      </w:pPr>
      <w:r>
        <w:t>3.4 Interval calibration</w:t>
      </w:r>
    </w:p>
    <w:p>
      <w:pPr>
        <w:keepLines w:val="0"/>
        <w:spacing w:after="120" w:line="300" w:lineRule="auto"/>
      </w:pPr>
      <w:r>
        <w:rPr>
          <w:rFonts w:ascii="Calibri" w:hAnsi="Calibri"/>
          <w:i w:val="0"/>
          <w:color w:val="111111"/>
        </w:rPr>
        <w:t>Promoted 0.11 interval model predicts lower and upper log-residual bands, then applies asymmetric conformal corrections. Rows are partitioned by confidence band and observed-domain-count cell. Each cell chooses adaptive or fixed branch using out-of-fold uncertainty-training data, then fits tail corrections on separate calibration customers.</w:t>
      </w:r>
    </w:p>
    <w:p>
      <w:pPr>
        <w:keepLines w:val="0"/>
        <w:spacing w:after="120" w:line="300" w:lineRule="auto"/>
      </w:pPr>
      <w:r>
        <w:rPr>
          <w:rFonts w:ascii="Calibri" w:hAnsi="Calibri"/>
          <w:i w:val="0"/>
          <w:color w:val="111111"/>
        </w:rPr>
        <w:t>Calibration artifact binds to exact capacity artifact by model version and SHA-256. Runtime refuses mismatched pair because interval offsets describe residuals of one exact point model.</w:t>
      </w:r>
    </w:p>
    <w:p>
      <w:pPr>
        <w:pStyle w:val="Heading1"/>
        <w:keepNext/>
        <w:pageBreakBefore/>
      </w:pPr>
      <w:r>
        <w:t>4. Measured results</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9360"/>
      </w:tblGrid>
      <w:tr>
        <w:trPr>
          <w:tblHeader w:val="true"/>
        </w:trPr>
        <w:tc>
          <w:tcPr>
            <w:tcW w:type="dxa" w:w="9360"/>
            <w:tcMar>
              <w:top w:w="80" w:type="dxa"/>
              <w:start w:w="120" w:type="dxa"/>
              <w:bottom w:w="80" w:type="dxa"/>
              <w:end w:w="120" w:type="dxa"/>
            </w:tcMar>
            <w:vAlign w:val="center"/>
            <w:shd w:fill="FFF7E6"/>
          </w:tcPr>
          <w:p>
            <w:pPr>
              <w:spacing w:after="40" w:line="276" w:lineRule="auto"/>
            </w:pPr>
            <w:r>
              <w:rPr>
                <w:rFonts w:ascii="Calibri" w:hAnsi="Calibri"/>
                <w:b/>
                <w:color w:val="9A6A00"/>
              </w:rPr>
              <w:t xml:space="preserve">Reading rule: </w:t>
            </w:r>
            <w:r>
              <w:rPr>
                <w:rFonts w:ascii="Calibri" w:hAnsi="Calibri"/>
                <w:color w:val="111111"/>
              </w:rPr>
              <w:t>Every number in this section comes from synthetic populations. Strong synthetic evidence supports PoC behavior, not accuracy on real target population.</w:t>
            </w:r>
          </w:p>
        </w:tc>
      </w:tr>
    </w:tbl>
    <w:p>
      <w:pPr>
        <w:spacing w:after="40"/>
      </w:pPr>
    </w:p>
    <w:p>
      <w:pPr>
        <w:keepNext/>
        <w:jc w:val="center"/>
      </w:pPr>
      <w:r>
        <w:drawing>
          <wp:inline xmlns:a="http://schemas.openxmlformats.org/drawingml/2006/main" xmlns:pic="http://schemas.openxmlformats.org/drawingml/2006/picture">
            <wp:extent cx="5806440" cy="3548380"/>
            <wp:docPr id="2" name="Picture 2" descr="Bar chart comparing sustainable-income WAPE and interval coverage on synthetic validation data."/>
            <wp:cNvGraphicFramePr>
              <a:graphicFrameLocks noChangeAspect="1"/>
            </wp:cNvGraphicFramePr>
            <a:graphic>
              <a:graphicData uri="http://schemas.openxmlformats.org/drawingml/2006/picture">
                <pic:pic>
                  <pic:nvPicPr>
                    <pic:cNvPr id="0" name="results.png"/>
                    <pic:cNvPicPr/>
                  </pic:nvPicPr>
                  <pic:blipFill>
                    <a:blip r:embed="rId12"/>
                    <a:stretch>
                      <a:fillRect/>
                    </a:stretch>
                  </pic:blipFill>
                  <pic:spPr>
                    <a:xfrm>
                      <a:off x="0" y="0"/>
                      <a:ext cx="5806440" cy="3548380"/>
                    </a:xfrm>
                    <a:prstGeom prst="rect"/>
                  </pic:spPr>
                </pic:pic>
              </a:graphicData>
            </a:graphic>
          </wp:inline>
        </w:drawing>
      </w:r>
    </w:p>
    <w:p>
      <w:pPr>
        <w:spacing w:before="40" w:after="160"/>
        <w:jc w:val="center"/>
      </w:pPr>
      <w:r>
        <w:rPr>
          <w:rFonts w:ascii="Calibri" w:hAnsi="Calibri"/>
          <w:i/>
          <w:color w:val="65717E"/>
          <w:sz w:val="18"/>
        </w:rPr>
        <w:t>Figure 2. Core point and interval results. Lower WAPE is better; interval target is 80% coverage.</w:t>
      </w:r>
    </w:p>
    <w:p>
      <w:pPr>
        <w:pStyle w:val="Heading2"/>
        <w:keepNext/>
        <w:pageBreakBefore w:val="0"/>
      </w:pPr>
      <w:r>
        <w:t>4.1 Verification health</w:t>
      </w:r>
    </w:p>
    <w:p>
      <w:pPr>
        <w:numPr>
          <w:ilvl w:val="0"/>
          <w:numId w:val="10"/>
        </w:numPr>
        <w:spacing w:after="80" w:line="300" w:lineRule="auto"/>
        <w:ind w:left="540" w:hanging="271"/>
      </w:pPr>
      <w:r>
        <w:rPr>
          <w:rFonts w:ascii="Calibri" w:hAnsi="Calibri"/>
          <w:color w:val="111111"/>
        </w:rPr>
        <w:t>Estimator test suite: 159 passed.</w:t>
      </w:r>
    </w:p>
    <w:p>
      <w:pPr>
        <w:numPr>
          <w:ilvl w:val="0"/>
          <w:numId w:val="10"/>
        </w:numPr>
        <w:spacing w:after="80" w:line="300" w:lineRule="auto"/>
        <w:ind w:left="540" w:hanging="271"/>
      </w:pPr>
      <w:r>
        <w:rPr>
          <w:rFonts w:ascii="Calibri" w:hAnsi="Calibri"/>
          <w:color w:val="111111"/>
        </w:rPr>
        <w:t>Simulator test suite: 321 passed.</w:t>
      </w:r>
    </w:p>
    <w:p>
      <w:pPr>
        <w:numPr>
          <w:ilvl w:val="0"/>
          <w:numId w:val="10"/>
        </w:numPr>
        <w:spacing w:after="80" w:line="300" w:lineRule="auto"/>
        <w:ind w:left="540" w:hanging="271"/>
      </w:pPr>
      <w:r>
        <w:rPr>
          <w:rFonts w:ascii="Calibri" w:hAnsi="Calibri"/>
          <w:color w:val="111111"/>
        </w:rPr>
        <w:t>Estimator lint: clean.</w:t>
      </w:r>
    </w:p>
    <w:p>
      <w:pPr>
        <w:numPr>
          <w:ilvl w:val="0"/>
          <w:numId w:val="10"/>
        </w:numPr>
        <w:spacing w:after="80" w:line="300" w:lineRule="auto"/>
        <w:ind w:left="540" w:hanging="271"/>
      </w:pPr>
      <w:r>
        <w:rPr>
          <w:rFonts w:ascii="Calibri" w:hAnsi="Calibri"/>
          <w:color w:val="111111"/>
        </w:rPr>
        <w:t>Simulator lint: 9 UP047 generic-syntax modernization findings; no test failure.</w:t>
      </w:r>
    </w:p>
    <w:p>
      <w:pPr>
        <w:numPr>
          <w:ilvl w:val="0"/>
          <w:numId w:val="10"/>
        </w:numPr>
        <w:spacing w:after="80" w:line="300" w:lineRule="auto"/>
        <w:ind w:left="540" w:hanging="271"/>
      </w:pPr>
      <w:r>
        <w:rPr>
          <w:rFonts w:ascii="Calibri" w:hAnsi="Calibri"/>
          <w:color w:val="111111"/>
        </w:rPr>
        <w:t>Worktree clean; local main 17 commits ahead of origin/main; no release tags or CI workflow.</w:t>
      </w:r>
    </w:p>
    <w:p>
      <w:pPr>
        <w:pStyle w:val="Heading2"/>
        <w:keepNext/>
        <w:pageBreakBefore w:val="0"/>
      </w:pPr>
      <w:r>
        <w:t>4.2 Realized-income reconstruction</w:t>
      </w:r>
    </w:p>
    <w:p>
      <w:pPr>
        <w:keepLines w:val="0"/>
        <w:spacing w:after="120" w:line="300" w:lineRule="auto"/>
      </w:pPr>
      <w:r>
        <w:rPr>
          <w:rFonts w:ascii="Calibri" w:hAnsi="Calibri"/>
          <w:i w:val="0"/>
          <w:color w:val="111111"/>
        </w:rPr>
        <w:t>On 1,200 incomplete-observation customer-months, recurring estimator reduced MAE from 151,532.4 to 4,000 minor units, a 97.36% improvement, without increasing false-income classifications. Complete income-diverse and life-event suites did not regress.</w:t>
      </w:r>
    </w:p>
    <w:p>
      <w:pPr>
        <w:pStyle w:val="Heading2"/>
        <w:keepNext/>
        <w:pageBreakBefore w:val="0"/>
      </w:pPr>
      <w:r>
        <w:t>4.3 Capacity model 0.6</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1900"/>
        <w:gridCol w:w="900"/>
        <w:gridCol w:w="1300"/>
        <w:gridCol w:w="1300"/>
        <w:gridCol w:w="396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b/>
                <w:color w:val="16324F"/>
                <w:sz w:val="16"/>
              </w:rPr>
              <w:t>Evaluation slice</w:t>
            </w:r>
          </w:p>
        </w:tc>
        <w:tc>
          <w:tcPr>
            <w:tcW w:type="dxa" w:w="900"/>
            <w:shd w:fill="E8EEF5"/>
            <w:tcMar>
              <w:top w:w="80" w:type="dxa"/>
              <w:start w:w="120" w:type="dxa"/>
              <w:bottom w:w="80" w:type="dxa"/>
              <w:end w:w="120" w:type="dxa"/>
            </w:tcMar>
            <w:vAlign w:val="center"/>
          </w:tcPr>
          <w:p>
            <w:pPr>
              <w:spacing w:after="0"/>
              <w:jc w:val="center"/>
            </w:pPr>
            <w:r>
              <w:rPr>
                <w:rFonts w:ascii="Calibri" w:hAnsi="Calibri"/>
                <w:b/>
                <w:color w:val="16324F"/>
                <w:sz w:val="16"/>
              </w:rPr>
              <w:t>Rows</w:t>
            </w:r>
          </w:p>
        </w:tc>
        <w:tc>
          <w:tcPr>
            <w:tcW w:type="dxa" w:w="1300"/>
            <w:shd w:fill="E8EEF5"/>
            <w:tcMar>
              <w:top w:w="80" w:type="dxa"/>
              <w:start w:w="120" w:type="dxa"/>
              <w:bottom w:w="80" w:type="dxa"/>
              <w:end w:w="120" w:type="dxa"/>
            </w:tcMar>
            <w:vAlign w:val="center"/>
          </w:tcPr>
          <w:p>
            <w:pPr>
              <w:spacing w:after="0"/>
              <w:jc w:val="center"/>
            </w:pPr>
            <w:r>
              <w:rPr>
                <w:rFonts w:ascii="Calibri" w:hAnsi="Calibri"/>
                <w:b/>
                <w:color w:val="16324F"/>
                <w:sz w:val="16"/>
              </w:rPr>
              <w:t>Candidate WAPE</w:t>
            </w:r>
          </w:p>
        </w:tc>
        <w:tc>
          <w:tcPr>
            <w:tcW w:type="dxa" w:w="1300"/>
            <w:shd w:fill="E8EEF5"/>
            <w:tcMar>
              <w:top w:w="80" w:type="dxa"/>
              <w:start w:w="120" w:type="dxa"/>
              <w:bottom w:w="80" w:type="dxa"/>
              <w:end w:w="120" w:type="dxa"/>
            </w:tcMar>
            <w:vAlign w:val="center"/>
          </w:tcPr>
          <w:p>
            <w:pPr>
              <w:spacing w:after="0"/>
              <w:jc w:val="center"/>
            </w:pPr>
            <w:r>
              <w:rPr>
                <w:rFonts w:ascii="Calibri" w:hAnsi="Calibri"/>
                <w:b/>
                <w:color w:val="16324F"/>
                <w:sz w:val="16"/>
              </w:rPr>
              <w:t>Candidate MAE</w:t>
            </w:r>
          </w:p>
        </w:tc>
        <w:tc>
          <w:tcPr>
            <w:tcW w:type="dxa" w:w="3960"/>
            <w:shd w:fill="E8EEF5"/>
            <w:tcMar>
              <w:top w:w="80" w:type="dxa"/>
              <w:start w:w="120" w:type="dxa"/>
              <w:bottom w:w="80" w:type="dxa"/>
              <w:end w:w="120" w:type="dxa"/>
            </w:tcMar>
            <w:vAlign w:val="center"/>
          </w:tcPr>
          <w:p>
            <w:pPr>
              <w:spacing w:after="0"/>
              <w:jc w:val="center"/>
            </w:pPr>
            <w:r>
              <w:rPr>
                <w:rFonts w:ascii="Calibri" w:hAnsi="Calibri"/>
                <w:b/>
                <w:color w:val="16324F"/>
                <w:sz w:val="16"/>
              </w:rPr>
              <w:t>Interpretation</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6"/>
              </w:rPr>
              <w:t>Overall held-out</w:t>
            </w:r>
          </w:p>
        </w:tc>
        <w:tc>
          <w:tcPr>
            <w:tcW w:type="dxa" w:w="900"/>
            <w:tcMar>
              <w:top w:w="80" w:type="dxa"/>
              <w:start w:w="120" w:type="dxa"/>
              <w:bottom w:w="80" w:type="dxa"/>
              <w:end w:w="120" w:type="dxa"/>
            </w:tcMar>
            <w:vAlign w:val="center"/>
          </w:tcPr>
          <w:p>
            <w:pPr>
              <w:spacing w:after="0" w:line="259" w:lineRule="auto"/>
              <w:jc w:val="center"/>
            </w:pPr>
            <w:r>
              <w:rPr>
                <w:rFonts w:ascii="Calibri" w:hAnsi="Calibri"/>
                <w:color w:val="111111"/>
                <w:sz w:val="16"/>
              </w:rPr>
              <w:t>1,308</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4.99%</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25,217</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111111"/>
                <w:sz w:val="16"/>
              </w:rPr>
              <w:t>Promoted; baseline WAPE 14.73%</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6"/>
              </w:rPr>
              <w:t>Complete coverage</w:t>
            </w:r>
          </w:p>
        </w:tc>
        <w:tc>
          <w:tcPr>
            <w:tcW w:type="dxa" w:w="900"/>
            <w:tcMar>
              <w:top w:w="80" w:type="dxa"/>
              <w:start w:w="120" w:type="dxa"/>
              <w:bottom w:w="80" w:type="dxa"/>
              <w:end w:w="120" w:type="dxa"/>
            </w:tcMar>
            <w:vAlign w:val="center"/>
          </w:tcPr>
          <w:p>
            <w:pPr>
              <w:spacing w:after="0" w:line="259" w:lineRule="auto"/>
              <w:jc w:val="center"/>
            </w:pPr>
            <w:r>
              <w:rPr>
                <w:rFonts w:ascii="Calibri" w:hAnsi="Calibri"/>
                <w:color w:val="111111"/>
                <w:sz w:val="16"/>
              </w:rPr>
              <w:t>804</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7.30%</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32,582</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111111"/>
                <w:sz w:val="16"/>
              </w:rPr>
              <w:t>Harder than partial salary suite</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6"/>
              </w:rPr>
              <w:t>Partial-high coverage</w:t>
            </w:r>
          </w:p>
        </w:tc>
        <w:tc>
          <w:tcPr>
            <w:tcW w:type="dxa" w:w="900"/>
            <w:tcMar>
              <w:top w:w="80" w:type="dxa"/>
              <w:start w:w="120" w:type="dxa"/>
              <w:bottom w:w="80" w:type="dxa"/>
              <w:end w:w="120" w:type="dxa"/>
            </w:tcMar>
            <w:vAlign w:val="center"/>
          </w:tcPr>
          <w:p>
            <w:pPr>
              <w:spacing w:after="0" w:line="259" w:lineRule="auto"/>
              <w:jc w:val="center"/>
            </w:pPr>
            <w:r>
              <w:rPr>
                <w:rFonts w:ascii="Calibri" w:hAnsi="Calibri"/>
                <w:color w:val="111111"/>
                <w:sz w:val="16"/>
              </w:rPr>
              <w:t>504</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2.24%</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13,469</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111111"/>
                <w:sz w:val="16"/>
              </w:rPr>
              <w:t>Strong on stable partial-consent case</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6"/>
              </w:rPr>
              <w:t>Stable income</w:t>
            </w:r>
          </w:p>
        </w:tc>
        <w:tc>
          <w:tcPr>
            <w:tcW w:type="dxa" w:w="900"/>
            <w:tcMar>
              <w:top w:w="80" w:type="dxa"/>
              <w:start w:w="120" w:type="dxa"/>
              <w:bottom w:w="80" w:type="dxa"/>
              <w:end w:w="120" w:type="dxa"/>
            </w:tcMar>
            <w:vAlign w:val="center"/>
          </w:tcPr>
          <w:p>
            <w:pPr>
              <w:spacing w:after="0" w:line="259" w:lineRule="auto"/>
              <w:jc w:val="center"/>
            </w:pPr>
            <w:r>
              <w:rPr>
                <w:rFonts w:ascii="Calibri" w:hAnsi="Calibri"/>
                <w:color w:val="111111"/>
                <w:sz w:val="16"/>
              </w:rPr>
              <w:t>724</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1.94%</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11,413</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111111"/>
                <w:sz w:val="16"/>
              </w:rPr>
              <w:t>Cash-flow baseline narrowly better</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6"/>
              </w:rPr>
              <w:t>Volatile income</w:t>
            </w:r>
          </w:p>
        </w:tc>
        <w:tc>
          <w:tcPr>
            <w:tcW w:type="dxa" w:w="900"/>
            <w:tcMar>
              <w:top w:w="80" w:type="dxa"/>
              <w:start w:w="120" w:type="dxa"/>
              <w:bottom w:w="80" w:type="dxa"/>
              <w:end w:w="120" w:type="dxa"/>
            </w:tcMar>
            <w:vAlign w:val="center"/>
          </w:tcPr>
          <w:p>
            <w:pPr>
              <w:spacing w:after="0" w:line="259" w:lineRule="auto"/>
              <w:jc w:val="center"/>
            </w:pPr>
            <w:r>
              <w:rPr>
                <w:rFonts w:ascii="Calibri" w:hAnsi="Calibri"/>
                <w:color w:val="111111"/>
                <w:sz w:val="16"/>
              </w:rPr>
              <w:t>370</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10.34%</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43,889</w:t>
            </w:r>
          </w:p>
        </w:tc>
        <w:tc>
          <w:tcPr>
            <w:tcW w:type="dxa" w:w="3960"/>
            <w:tcMar>
              <w:top w:w="80" w:type="dxa"/>
              <w:start w:w="120" w:type="dxa"/>
              <w:bottom w:w="80" w:type="dxa"/>
              <w:end w:w="120" w:type="dxa"/>
            </w:tcMar>
            <w:vAlign w:val="center"/>
          </w:tcPr>
          <w:p>
            <w:pPr>
              <w:spacing w:after="0" w:line="259" w:lineRule="auto"/>
              <w:jc w:val="center"/>
            </w:pPr>
            <w:r>
              <w:rPr>
                <w:rFonts w:ascii="Calibri" w:hAnsi="Calibri"/>
                <w:color w:val="111111"/>
                <w:sz w:val="16"/>
              </w:rPr>
              <w:t>Material degradation</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6"/>
              </w:rPr>
              <w:t>Low income</w:t>
            </w:r>
          </w:p>
        </w:tc>
        <w:tc>
          <w:tcPr>
            <w:tcW w:type="dxa" w:w="900"/>
            <w:tcMar>
              <w:top w:w="80" w:type="dxa"/>
              <w:start w:w="120" w:type="dxa"/>
              <w:bottom w:w="80" w:type="dxa"/>
              <w:end w:w="120" w:type="dxa"/>
            </w:tcMar>
            <w:vAlign w:val="center"/>
          </w:tcPr>
          <w:p>
            <w:pPr>
              <w:spacing w:after="0" w:line="259" w:lineRule="auto"/>
              <w:jc w:val="center"/>
            </w:pPr>
            <w:r>
              <w:rPr>
                <w:rFonts w:ascii="Calibri" w:hAnsi="Calibri"/>
                <w:color w:val="111111"/>
                <w:sz w:val="16"/>
              </w:rPr>
              <w:t>180</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23.75%</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54,613</w:t>
            </w:r>
          </w:p>
        </w:tc>
        <w:tc>
          <w:tcPr>
            <w:tcW w:type="dxa" w:w="3960"/>
            <w:tcMar>
              <w:top w:w="80" w:type="dxa"/>
              <w:start w:w="120" w:type="dxa"/>
              <w:bottom w:w="80" w:type="dxa"/>
              <w:end w:w="120" w:type="dxa"/>
            </w:tcMar>
            <w:vAlign w:val="center"/>
          </w:tcPr>
          <w:p>
            <w:pPr>
              <w:spacing w:after="0" w:line="259" w:lineRule="auto"/>
              <w:jc w:val="left"/>
            </w:pPr>
            <w:r>
              <w:rPr>
                <w:rFonts w:ascii="Calibri" w:hAnsi="Calibri"/>
                <w:color w:val="111111"/>
                <w:sz w:val="16"/>
              </w:rPr>
              <w:t>Weakest income-range segment</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6"/>
              </w:rPr>
              <w:t>Zero income</w:t>
            </w:r>
          </w:p>
        </w:tc>
        <w:tc>
          <w:tcPr>
            <w:tcW w:type="dxa" w:w="900"/>
            <w:tcMar>
              <w:top w:w="80" w:type="dxa"/>
              <w:start w:w="120" w:type="dxa"/>
              <w:bottom w:w="80" w:type="dxa"/>
              <w:end w:w="120" w:type="dxa"/>
            </w:tcMar>
            <w:vAlign w:val="center"/>
          </w:tcPr>
          <w:p>
            <w:pPr>
              <w:spacing w:after="0" w:line="259" w:lineRule="auto"/>
              <w:jc w:val="center"/>
            </w:pPr>
            <w:r>
              <w:rPr>
                <w:rFonts w:ascii="Calibri" w:hAnsi="Calibri"/>
                <w:color w:val="111111"/>
                <w:sz w:val="16"/>
              </w:rPr>
              <w:t>64</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n/a</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6"/>
              </w:rPr>
              <w:t>0</w:t>
            </w:r>
          </w:p>
        </w:tc>
        <w:tc>
          <w:tcPr>
            <w:tcW w:type="dxa" w:w="3960"/>
            <w:tcMar>
              <w:top w:w="80" w:type="dxa"/>
              <w:start w:w="120" w:type="dxa"/>
              <w:bottom w:w="80" w:type="dxa"/>
              <w:end w:w="120" w:type="dxa"/>
            </w:tcMar>
            <w:vAlign w:val="center"/>
          </w:tcPr>
          <w:p>
            <w:pPr>
              <w:spacing w:after="0" w:line="259" w:lineRule="auto"/>
              <w:jc w:val="center"/>
            </w:pPr>
            <w:r>
              <w:rPr>
                <w:rFonts w:ascii="Calibri" w:hAnsi="Calibri"/>
                <w:color w:val="111111"/>
                <w:sz w:val="16"/>
              </w:rPr>
              <w:t>Predicted exactly</w:t>
            </w:r>
          </w:p>
        </w:tc>
      </w:tr>
    </w:tbl>
    <w:p>
      <w:pPr>
        <w:spacing w:after="40"/>
      </w:pPr>
    </w:p>
    <w:p>
      <w:pPr>
        <w:keepLines w:val="0"/>
        <w:spacing w:after="120" w:line="300" w:lineRule="auto"/>
      </w:pPr>
      <w:r>
        <w:rPr>
          <w:rFonts w:ascii="Calibri" w:hAnsi="Calibri"/>
          <w:i/>
          <w:color w:val="65717E"/>
        </w:rPr>
        <w:t>Amounts use minor currency units. For BRL, MAE 25,217 means approximately R$252.17 average absolute monthly error on this synthetic held-out set.</w:t>
      </w:r>
    </w:p>
    <w:p>
      <w:pPr>
        <w:pStyle w:val="Heading2"/>
        <w:keepNext/>
        <w:pageBreakBefore w:val="0"/>
      </w:pPr>
      <w:r>
        <w:t>4.4 Promoted interval model 0.11</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2300"/>
        <w:gridCol w:w="1800"/>
        <w:gridCol w:w="1300"/>
        <w:gridCol w:w="1300"/>
        <w:gridCol w:w="2660"/>
      </w:tblGrid>
      <w:tr>
        <w:trPr>
          <w:tblHeader w:val="true"/>
        </w:trPr>
        <w:tc>
          <w:tcPr>
            <w:tcW w:type="dxa" w:w="2300"/>
            <w:shd w:fill="E8EEF5"/>
            <w:tcMar>
              <w:top w:w="80" w:type="dxa"/>
              <w:start w:w="120" w:type="dxa"/>
              <w:bottom w:w="80" w:type="dxa"/>
              <w:end w:w="120" w:type="dxa"/>
            </w:tcMar>
            <w:vAlign w:val="center"/>
          </w:tcPr>
          <w:p>
            <w:pPr>
              <w:spacing w:after="0"/>
              <w:jc w:val="center"/>
            </w:pPr>
            <w:r>
              <w:rPr>
                <w:rFonts w:ascii="Calibri" w:hAnsi="Calibri"/>
                <w:b/>
                <w:color w:val="16324F"/>
                <w:sz w:val="17"/>
              </w:rPr>
              <w:t>Slice</w:t>
            </w:r>
          </w:p>
        </w:tc>
        <w:tc>
          <w:tcPr>
            <w:tcW w:type="dxa" w:w="1800"/>
            <w:shd w:fill="E8EEF5"/>
            <w:tcMar>
              <w:top w:w="80" w:type="dxa"/>
              <w:start w:w="120" w:type="dxa"/>
              <w:bottom w:w="80" w:type="dxa"/>
              <w:end w:w="120" w:type="dxa"/>
            </w:tcMar>
            <w:vAlign w:val="center"/>
          </w:tcPr>
          <w:p>
            <w:pPr>
              <w:spacing w:after="0"/>
              <w:jc w:val="center"/>
            </w:pPr>
            <w:r>
              <w:rPr>
                <w:rFonts w:ascii="Calibri" w:hAnsi="Calibri"/>
                <w:b/>
                <w:color w:val="16324F"/>
                <w:sz w:val="17"/>
              </w:rPr>
              <w:t>Rows</w:t>
            </w:r>
          </w:p>
        </w:tc>
        <w:tc>
          <w:tcPr>
            <w:tcW w:type="dxa" w:w="1300"/>
            <w:shd w:fill="E8EEF5"/>
            <w:tcMar>
              <w:top w:w="80" w:type="dxa"/>
              <w:start w:w="120" w:type="dxa"/>
              <w:bottom w:w="80" w:type="dxa"/>
              <w:end w:w="120" w:type="dxa"/>
            </w:tcMar>
            <w:vAlign w:val="center"/>
          </w:tcPr>
          <w:p>
            <w:pPr>
              <w:spacing w:after="0"/>
              <w:jc w:val="center"/>
            </w:pPr>
            <w:r>
              <w:rPr>
                <w:rFonts w:ascii="Calibri" w:hAnsi="Calibri"/>
                <w:b/>
                <w:color w:val="16324F"/>
                <w:sz w:val="17"/>
              </w:rPr>
              <w:t>Point WAPE</w:t>
            </w:r>
          </w:p>
        </w:tc>
        <w:tc>
          <w:tcPr>
            <w:tcW w:type="dxa" w:w="1300"/>
            <w:shd w:fill="E8EEF5"/>
            <w:tcMar>
              <w:top w:w="80" w:type="dxa"/>
              <w:start w:w="120" w:type="dxa"/>
              <w:bottom w:w="80" w:type="dxa"/>
              <w:end w:w="120" w:type="dxa"/>
            </w:tcMar>
            <w:vAlign w:val="center"/>
          </w:tcPr>
          <w:p>
            <w:pPr>
              <w:spacing w:after="0"/>
              <w:jc w:val="center"/>
            </w:pPr>
            <w:r>
              <w:rPr>
                <w:rFonts w:ascii="Calibri" w:hAnsi="Calibri"/>
                <w:b/>
                <w:color w:val="16324F"/>
                <w:sz w:val="17"/>
              </w:rPr>
              <w:t>Coverage</w:t>
            </w:r>
          </w:p>
        </w:tc>
        <w:tc>
          <w:tcPr>
            <w:tcW w:type="dxa" w:w="2660"/>
            <w:shd w:fill="E8EEF5"/>
            <w:tcMar>
              <w:top w:w="80" w:type="dxa"/>
              <w:start w:w="120" w:type="dxa"/>
              <w:bottom w:w="80" w:type="dxa"/>
              <w:end w:w="120" w:type="dxa"/>
            </w:tcMar>
            <w:vAlign w:val="center"/>
          </w:tcPr>
          <w:p>
            <w:pPr>
              <w:spacing w:after="0"/>
              <w:jc w:val="center"/>
            </w:pPr>
            <w:r>
              <w:rPr>
                <w:rFonts w:ascii="Calibri" w:hAnsi="Calibri"/>
                <w:b/>
                <w:color w:val="16324F"/>
                <w:sz w:val="17"/>
              </w:rPr>
              <w:t>Mean interval width</w:t>
            </w:r>
          </w:p>
        </w:tc>
      </w:tr>
      <w:tr>
        <w:tc>
          <w:tcPr>
            <w:tcW w:type="dxa" w:w="2300"/>
            <w:tcMar>
              <w:top w:w="80" w:type="dxa"/>
              <w:start w:w="120" w:type="dxa"/>
              <w:bottom w:w="80" w:type="dxa"/>
              <w:end w:w="120" w:type="dxa"/>
            </w:tcMar>
            <w:vAlign w:val="center"/>
          </w:tcPr>
          <w:p>
            <w:pPr>
              <w:spacing w:after="0" w:line="259" w:lineRule="auto"/>
              <w:jc w:val="left"/>
            </w:pPr>
            <w:r>
              <w:rPr>
                <w:rFonts w:ascii="Calibri" w:hAnsi="Calibri"/>
                <w:color w:val="111111"/>
                <w:sz w:val="17"/>
              </w:rPr>
              <w:t>Overall validation</w:t>
            </w:r>
          </w:p>
        </w:tc>
        <w:tc>
          <w:tcPr>
            <w:tcW w:type="dxa" w:w="1800"/>
            <w:tcMar>
              <w:top w:w="80" w:type="dxa"/>
              <w:start w:w="120" w:type="dxa"/>
              <w:bottom w:w="80" w:type="dxa"/>
              <w:end w:w="120" w:type="dxa"/>
            </w:tcMar>
            <w:vAlign w:val="center"/>
          </w:tcPr>
          <w:p>
            <w:pPr>
              <w:spacing w:after="0" w:line="259" w:lineRule="auto"/>
              <w:jc w:val="left"/>
            </w:pPr>
            <w:r>
              <w:rPr>
                <w:rFonts w:ascii="Calibri" w:hAnsi="Calibri"/>
                <w:color w:val="111111"/>
                <w:sz w:val="17"/>
              </w:rPr>
              <w:t>8,635 published / 8,640</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7"/>
              </w:rPr>
              <w:t>4.53%</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7"/>
              </w:rPr>
              <w:t>90.50%</w:t>
            </w:r>
          </w:p>
        </w:tc>
        <w:tc>
          <w:tcPr>
            <w:tcW w:type="dxa" w:w="2660"/>
            <w:tcMar>
              <w:top w:w="80" w:type="dxa"/>
              <w:start w:w="120" w:type="dxa"/>
              <w:bottom w:w="80" w:type="dxa"/>
              <w:end w:w="120" w:type="dxa"/>
            </w:tcMar>
            <w:vAlign w:val="center"/>
          </w:tcPr>
          <w:p>
            <w:pPr>
              <w:spacing w:after="0" w:line="259" w:lineRule="auto"/>
              <w:jc w:val="center"/>
            </w:pPr>
            <w:r>
              <w:rPr>
                <w:rFonts w:ascii="Calibri" w:hAnsi="Calibri"/>
                <w:color w:val="111111"/>
                <w:sz w:val="17"/>
              </w:rPr>
              <w:t>88,640</w:t>
            </w:r>
          </w:p>
        </w:tc>
      </w:tr>
      <w:tr>
        <w:tc>
          <w:tcPr>
            <w:tcW w:type="dxa" w:w="2300"/>
            <w:tcMar>
              <w:top w:w="80" w:type="dxa"/>
              <w:start w:w="120" w:type="dxa"/>
              <w:bottom w:w="80" w:type="dxa"/>
              <w:end w:w="120" w:type="dxa"/>
            </w:tcMar>
            <w:vAlign w:val="center"/>
          </w:tcPr>
          <w:p>
            <w:pPr>
              <w:spacing w:after="0" w:line="259" w:lineRule="auto"/>
              <w:jc w:val="left"/>
            </w:pPr>
            <w:r>
              <w:rPr>
                <w:rFonts w:ascii="Calibri" w:hAnsi="Calibri"/>
                <w:color w:val="111111"/>
                <w:sz w:val="17"/>
              </w:rPr>
              <w:t>Income-diverse</w:t>
            </w:r>
          </w:p>
        </w:tc>
        <w:tc>
          <w:tcPr>
            <w:tcW w:type="dxa" w:w="1800"/>
            <w:tcMar>
              <w:top w:w="80" w:type="dxa"/>
              <w:start w:w="120" w:type="dxa"/>
              <w:bottom w:w="80" w:type="dxa"/>
              <w:end w:w="120" w:type="dxa"/>
            </w:tcMar>
            <w:vAlign w:val="center"/>
          </w:tcPr>
          <w:p>
            <w:pPr>
              <w:spacing w:after="0" w:line="259" w:lineRule="auto"/>
              <w:jc w:val="center"/>
            </w:pPr>
            <w:r>
              <w:rPr>
                <w:rFonts w:ascii="Calibri" w:hAnsi="Calibri"/>
                <w:color w:val="111111"/>
                <w:sz w:val="17"/>
              </w:rPr>
              <w:t>2,876</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7"/>
              </w:rPr>
              <w:t>12.73%</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7"/>
              </w:rPr>
              <w:t>80.25%</w:t>
            </w:r>
          </w:p>
        </w:tc>
        <w:tc>
          <w:tcPr>
            <w:tcW w:type="dxa" w:w="2660"/>
            <w:tcMar>
              <w:top w:w="80" w:type="dxa"/>
              <w:start w:w="120" w:type="dxa"/>
              <w:bottom w:w="80" w:type="dxa"/>
              <w:end w:w="120" w:type="dxa"/>
            </w:tcMar>
            <w:vAlign w:val="center"/>
          </w:tcPr>
          <w:p>
            <w:pPr>
              <w:spacing w:after="0" w:line="259" w:lineRule="auto"/>
              <w:jc w:val="center"/>
            </w:pPr>
            <w:r>
              <w:rPr>
                <w:rFonts w:ascii="Calibri" w:hAnsi="Calibri"/>
                <w:color w:val="111111"/>
                <w:sz w:val="17"/>
              </w:rPr>
              <w:t>168,704</w:t>
            </w:r>
          </w:p>
        </w:tc>
      </w:tr>
      <w:tr>
        <w:tc>
          <w:tcPr>
            <w:tcW w:type="dxa" w:w="2300"/>
            <w:tcMar>
              <w:top w:w="80" w:type="dxa"/>
              <w:start w:w="120" w:type="dxa"/>
              <w:bottom w:w="80" w:type="dxa"/>
              <w:end w:w="120" w:type="dxa"/>
            </w:tcMar>
            <w:vAlign w:val="center"/>
          </w:tcPr>
          <w:p>
            <w:pPr>
              <w:spacing w:after="0" w:line="259" w:lineRule="auto"/>
              <w:jc w:val="left"/>
            </w:pPr>
            <w:r>
              <w:rPr>
                <w:rFonts w:ascii="Calibri" w:hAnsi="Calibri"/>
                <w:color w:val="111111"/>
                <w:sz w:val="17"/>
              </w:rPr>
              <w:t>Incomplete observation</w:t>
            </w:r>
          </w:p>
        </w:tc>
        <w:tc>
          <w:tcPr>
            <w:tcW w:type="dxa" w:w="1800"/>
            <w:tcMar>
              <w:top w:w="80" w:type="dxa"/>
              <w:start w:w="120" w:type="dxa"/>
              <w:bottom w:w="80" w:type="dxa"/>
              <w:end w:w="120" w:type="dxa"/>
            </w:tcMar>
            <w:vAlign w:val="center"/>
          </w:tcPr>
          <w:p>
            <w:pPr>
              <w:spacing w:after="0" w:line="259" w:lineRule="auto"/>
              <w:jc w:val="center"/>
            </w:pPr>
            <w:r>
              <w:rPr>
                <w:rFonts w:ascii="Calibri" w:hAnsi="Calibri"/>
                <w:color w:val="111111"/>
                <w:sz w:val="17"/>
              </w:rPr>
              <w:t>2,879</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7"/>
              </w:rPr>
              <w:t>1.05%</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7"/>
              </w:rPr>
              <w:t>92.95%</w:t>
            </w:r>
          </w:p>
        </w:tc>
        <w:tc>
          <w:tcPr>
            <w:tcW w:type="dxa" w:w="2660"/>
            <w:tcMar>
              <w:top w:w="80" w:type="dxa"/>
              <w:start w:w="120" w:type="dxa"/>
              <w:bottom w:w="80" w:type="dxa"/>
              <w:end w:w="120" w:type="dxa"/>
            </w:tcMar>
            <w:vAlign w:val="center"/>
          </w:tcPr>
          <w:p>
            <w:pPr>
              <w:spacing w:after="0" w:line="259" w:lineRule="auto"/>
              <w:jc w:val="center"/>
            </w:pPr>
            <w:r>
              <w:rPr>
                <w:rFonts w:ascii="Calibri" w:hAnsi="Calibri"/>
                <w:color w:val="111111"/>
                <w:sz w:val="17"/>
              </w:rPr>
              <w:t>45,698</w:t>
            </w:r>
          </w:p>
        </w:tc>
      </w:tr>
      <w:tr>
        <w:tc>
          <w:tcPr>
            <w:tcW w:type="dxa" w:w="2300"/>
            <w:tcMar>
              <w:top w:w="80" w:type="dxa"/>
              <w:start w:w="120" w:type="dxa"/>
              <w:bottom w:w="80" w:type="dxa"/>
              <w:end w:w="120" w:type="dxa"/>
            </w:tcMar>
            <w:vAlign w:val="center"/>
          </w:tcPr>
          <w:p>
            <w:pPr>
              <w:spacing w:after="0" w:line="259" w:lineRule="auto"/>
              <w:jc w:val="left"/>
            </w:pPr>
            <w:r>
              <w:rPr>
                <w:rFonts w:ascii="Calibri" w:hAnsi="Calibri"/>
                <w:color w:val="111111"/>
                <w:sz w:val="17"/>
              </w:rPr>
              <w:t>Life events</w:t>
            </w:r>
          </w:p>
        </w:tc>
        <w:tc>
          <w:tcPr>
            <w:tcW w:type="dxa" w:w="1800"/>
            <w:tcMar>
              <w:top w:w="80" w:type="dxa"/>
              <w:start w:w="120" w:type="dxa"/>
              <w:bottom w:w="80" w:type="dxa"/>
              <w:end w:w="120" w:type="dxa"/>
            </w:tcMar>
            <w:vAlign w:val="center"/>
          </w:tcPr>
          <w:p>
            <w:pPr>
              <w:spacing w:after="0" w:line="259" w:lineRule="auto"/>
              <w:jc w:val="center"/>
            </w:pPr>
            <w:r>
              <w:rPr>
                <w:rFonts w:ascii="Calibri" w:hAnsi="Calibri"/>
                <w:color w:val="111111"/>
                <w:sz w:val="17"/>
              </w:rPr>
              <w:t>2,880</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7"/>
              </w:rPr>
              <w:t>2.15%</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7"/>
              </w:rPr>
              <w:t>98.30%</w:t>
            </w:r>
          </w:p>
        </w:tc>
        <w:tc>
          <w:tcPr>
            <w:tcW w:type="dxa" w:w="2660"/>
            <w:tcMar>
              <w:top w:w="80" w:type="dxa"/>
              <w:start w:w="120" w:type="dxa"/>
              <w:bottom w:w="80" w:type="dxa"/>
              <w:end w:w="120" w:type="dxa"/>
            </w:tcMar>
            <w:vAlign w:val="center"/>
          </w:tcPr>
          <w:p>
            <w:pPr>
              <w:spacing w:after="0" w:line="259" w:lineRule="auto"/>
              <w:jc w:val="center"/>
            </w:pPr>
            <w:r>
              <w:rPr>
                <w:rFonts w:ascii="Calibri" w:hAnsi="Calibri"/>
                <w:color w:val="111111"/>
                <w:sz w:val="17"/>
              </w:rPr>
              <w:t>51,616</w:t>
            </w:r>
          </w:p>
        </w:tc>
      </w:tr>
      <w:tr>
        <w:tc>
          <w:tcPr>
            <w:tcW w:type="dxa" w:w="2300"/>
            <w:tcMar>
              <w:top w:w="80" w:type="dxa"/>
              <w:start w:w="120" w:type="dxa"/>
              <w:bottom w:w="80" w:type="dxa"/>
              <w:end w:w="120" w:type="dxa"/>
            </w:tcMar>
            <w:vAlign w:val="center"/>
          </w:tcPr>
          <w:p>
            <w:pPr>
              <w:spacing w:after="0" w:line="259" w:lineRule="auto"/>
              <w:jc w:val="left"/>
            </w:pPr>
            <w:r>
              <w:rPr>
                <w:rFonts w:ascii="Calibri" w:hAnsi="Calibri"/>
                <w:color w:val="111111"/>
                <w:sz w:val="17"/>
              </w:rPr>
              <w:t>Low confidence</w:t>
            </w:r>
          </w:p>
        </w:tc>
        <w:tc>
          <w:tcPr>
            <w:tcW w:type="dxa" w:w="1800"/>
            <w:tcMar>
              <w:top w:w="80" w:type="dxa"/>
              <w:start w:w="120" w:type="dxa"/>
              <w:bottom w:w="80" w:type="dxa"/>
              <w:end w:w="120" w:type="dxa"/>
            </w:tcMar>
            <w:vAlign w:val="center"/>
          </w:tcPr>
          <w:p>
            <w:pPr>
              <w:spacing w:after="0" w:line="259" w:lineRule="auto"/>
              <w:jc w:val="center"/>
            </w:pPr>
            <w:r>
              <w:rPr>
                <w:rFonts w:ascii="Calibri" w:hAnsi="Calibri"/>
                <w:color w:val="111111"/>
                <w:sz w:val="17"/>
              </w:rPr>
              <w:t>770</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7"/>
              </w:rPr>
              <w:t>16.17%</w:t>
            </w:r>
          </w:p>
        </w:tc>
        <w:tc>
          <w:tcPr>
            <w:tcW w:type="dxa" w:w="1300"/>
            <w:tcMar>
              <w:top w:w="80" w:type="dxa"/>
              <w:start w:w="120" w:type="dxa"/>
              <w:bottom w:w="80" w:type="dxa"/>
              <w:end w:w="120" w:type="dxa"/>
            </w:tcMar>
            <w:vAlign w:val="center"/>
          </w:tcPr>
          <w:p>
            <w:pPr>
              <w:spacing w:after="0" w:line="259" w:lineRule="auto"/>
              <w:jc w:val="center"/>
            </w:pPr>
            <w:r>
              <w:rPr>
                <w:rFonts w:ascii="Calibri" w:hAnsi="Calibri"/>
                <w:color w:val="111111"/>
                <w:sz w:val="17"/>
              </w:rPr>
              <w:t>79.87%</w:t>
            </w:r>
          </w:p>
        </w:tc>
        <w:tc>
          <w:tcPr>
            <w:tcW w:type="dxa" w:w="2660"/>
            <w:tcMar>
              <w:top w:w="80" w:type="dxa"/>
              <w:start w:w="120" w:type="dxa"/>
              <w:bottom w:w="80" w:type="dxa"/>
              <w:end w:w="120" w:type="dxa"/>
            </w:tcMar>
            <w:vAlign w:val="center"/>
          </w:tcPr>
          <w:p>
            <w:pPr>
              <w:spacing w:after="0" w:line="259" w:lineRule="auto"/>
              <w:jc w:val="center"/>
            </w:pPr>
            <w:r>
              <w:rPr>
                <w:rFonts w:ascii="Calibri" w:hAnsi="Calibri"/>
                <w:color w:val="111111"/>
                <w:sz w:val="17"/>
              </w:rPr>
              <w:t>303,097</w:t>
            </w:r>
          </w:p>
        </w:tc>
      </w:tr>
    </w:tbl>
    <w:p>
      <w:pPr>
        <w:spacing w:after="40"/>
      </w:pPr>
    </w:p>
    <w:p>
      <w:pPr>
        <w:keepLines w:val="0"/>
        <w:spacing w:after="120" w:line="300" w:lineRule="auto"/>
      </w:pPr>
      <w:r>
        <w:rPr>
          <w:rFonts w:ascii="Calibri" w:hAnsi="Calibri"/>
          <w:i w:val="0"/>
          <w:color w:val="111111"/>
        </w:rPr>
        <w:t>Nominal interval is 80%. Overall 90.50% is conservative overcoverage, not additional point accuracy. Income-diverse suite sits close to intended coverage and carries widest intervals; easy stable suites drive overall coverage upward.</w:t>
      </w:r>
    </w:p>
    <w:p>
      <w:pPr>
        <w:keepLines w:val="0"/>
        <w:spacing w:after="120" w:line="300" w:lineRule="auto"/>
      </w:pPr>
      <w:r>
        <w:rPr>
          <w:rFonts w:ascii="Calibri" w:hAnsi="Calibri"/>
          <w:i w:val="0"/>
          <w:color w:val="111111"/>
        </w:rPr>
        <w:t>Release lockbox used 720 untouched customers and 8,640 rows. It recorded RELEASE_CONFIRMED, 91.16% overall coverage, and empty failure list. Caveat: lockbox read occurred before support envelope was added to artifact; exact final bytes were not lockbox-tested, although in-support interval logic was checked unchanged.</w:t>
      </w:r>
    </w:p>
    <w:p>
      <w:pPr>
        <w:pStyle w:val="Heading1"/>
        <w:keepNext/>
        <w:pageBreakBefore/>
      </w:pPr>
      <w:r>
        <w:t>5. Stress behavior and technical interpretation</w:t>
      </w:r>
    </w:p>
    <w:p>
      <w:pPr>
        <w:keepNext/>
        <w:jc w:val="center"/>
      </w:pPr>
      <w:r>
        <w:drawing>
          <wp:inline xmlns:a="http://schemas.openxmlformats.org/drawingml/2006/main" xmlns:pic="http://schemas.openxmlformats.org/drawingml/2006/picture">
            <wp:extent cx="5806440" cy="3548380"/>
            <wp:docPr id="3" name="Picture 3" descr="Stress chart showing sustainable WAPE and interval coverage for five scenario suites."/>
            <wp:cNvGraphicFramePr>
              <a:graphicFrameLocks noChangeAspect="1"/>
            </wp:cNvGraphicFramePr>
            <a:graphic>
              <a:graphicData uri="http://schemas.openxmlformats.org/drawingml/2006/picture">
                <pic:pic>
                  <pic:nvPicPr>
                    <pic:cNvPr id="0" name="stress.png"/>
                    <pic:cNvPicPr/>
                  </pic:nvPicPr>
                  <pic:blipFill>
                    <a:blip r:embed="rId13"/>
                    <a:stretch>
                      <a:fillRect/>
                    </a:stretch>
                  </pic:blipFill>
                  <pic:spPr>
                    <a:xfrm>
                      <a:off x="0" y="0"/>
                      <a:ext cx="5806440" cy="3548380"/>
                    </a:xfrm>
                    <a:prstGeom prst="rect"/>
                  </pic:spPr>
                </pic:pic>
              </a:graphicData>
            </a:graphic>
          </wp:inline>
        </w:drawing>
      </w:r>
    </w:p>
    <w:p>
      <w:pPr>
        <w:spacing w:before="40" w:after="160"/>
        <w:jc w:val="center"/>
      </w:pPr>
      <w:r>
        <w:rPr>
          <w:rFonts w:ascii="Calibri" w:hAnsi="Calibri"/>
          <w:i/>
          <w:color w:val="65717E"/>
          <w:sz w:val="18"/>
        </w:rPr>
        <w:t>Figure 3. Current 0.11 stress run. Noisy and high-volatility regimes remain outside reliable interval behavior.</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1900"/>
        <w:gridCol w:w="1600"/>
        <w:gridCol w:w="1600"/>
        <w:gridCol w:w="1900"/>
        <w:gridCol w:w="236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b/>
                <w:color w:val="16324F"/>
                <w:sz w:val="17"/>
              </w:rPr>
              <w:t>Suite</w:t>
            </w:r>
          </w:p>
        </w:tc>
        <w:tc>
          <w:tcPr>
            <w:tcW w:type="dxa" w:w="1600"/>
            <w:shd w:fill="E8EEF5"/>
            <w:tcMar>
              <w:top w:w="80" w:type="dxa"/>
              <w:start w:w="120" w:type="dxa"/>
              <w:bottom w:w="80" w:type="dxa"/>
              <w:end w:w="120" w:type="dxa"/>
            </w:tcMar>
            <w:vAlign w:val="center"/>
          </w:tcPr>
          <w:p>
            <w:pPr>
              <w:spacing w:after="0"/>
              <w:jc w:val="center"/>
            </w:pPr>
            <w:r>
              <w:rPr>
                <w:rFonts w:ascii="Calibri" w:hAnsi="Calibri"/>
                <w:b/>
                <w:color w:val="16324F"/>
                <w:sz w:val="17"/>
              </w:rPr>
              <w:t>Sustainable WAPE</w:t>
            </w:r>
          </w:p>
        </w:tc>
        <w:tc>
          <w:tcPr>
            <w:tcW w:type="dxa" w:w="1600"/>
            <w:shd w:fill="E8EEF5"/>
            <w:tcMar>
              <w:top w:w="80" w:type="dxa"/>
              <w:start w:w="120" w:type="dxa"/>
              <w:bottom w:w="80" w:type="dxa"/>
              <w:end w:w="120" w:type="dxa"/>
            </w:tcMar>
            <w:vAlign w:val="center"/>
          </w:tcPr>
          <w:p>
            <w:pPr>
              <w:spacing w:after="0"/>
              <w:jc w:val="center"/>
            </w:pPr>
            <w:r>
              <w:rPr>
                <w:rFonts w:ascii="Calibri" w:hAnsi="Calibri"/>
                <w:b/>
                <w:color w:val="16324F"/>
                <w:sz w:val="17"/>
              </w:rPr>
              <w:t>Interval coverage</w:t>
            </w:r>
          </w:p>
        </w:tc>
        <w:tc>
          <w:tcPr>
            <w:tcW w:type="dxa" w:w="1900"/>
            <w:shd w:fill="E8EEF5"/>
            <w:tcMar>
              <w:top w:w="80" w:type="dxa"/>
              <w:start w:w="120" w:type="dxa"/>
              <w:bottom w:w="80" w:type="dxa"/>
              <w:end w:w="120" w:type="dxa"/>
            </w:tcMar>
            <w:vAlign w:val="center"/>
          </w:tcPr>
          <w:p>
            <w:pPr>
              <w:spacing w:after="0"/>
              <w:jc w:val="center"/>
            </w:pPr>
            <w:r>
              <w:rPr>
                <w:rFonts w:ascii="Calibri" w:hAnsi="Calibri"/>
                <w:b/>
                <w:color w:val="16324F"/>
                <w:sz w:val="17"/>
              </w:rPr>
              <w:t>Intervals published</w:t>
            </w:r>
          </w:p>
        </w:tc>
        <w:tc>
          <w:tcPr>
            <w:tcW w:type="dxa" w:w="2360"/>
            <w:shd w:fill="E8EEF5"/>
            <w:tcMar>
              <w:top w:w="80" w:type="dxa"/>
              <w:start w:w="120" w:type="dxa"/>
              <w:bottom w:w="80" w:type="dxa"/>
              <w:end w:w="120" w:type="dxa"/>
            </w:tcMar>
            <w:vAlign w:val="center"/>
          </w:tcPr>
          <w:p>
            <w:pPr>
              <w:spacing w:after="0"/>
              <w:jc w:val="center"/>
            </w:pPr>
            <w:r>
              <w:rPr>
                <w:rFonts w:ascii="Calibri" w:hAnsi="Calibri"/>
                <w:b/>
                <w:color w:val="16324F"/>
                <w:sz w:val="17"/>
              </w:rPr>
              <w:t>Mean confidence</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7"/>
              </w:rPr>
              <w:t>Normal</w:t>
            </w:r>
          </w:p>
        </w:tc>
        <w:tc>
          <w:tcPr>
            <w:tcW w:type="dxa" w:w="1600"/>
            <w:tcMar>
              <w:top w:w="80" w:type="dxa"/>
              <w:start w:w="120" w:type="dxa"/>
              <w:bottom w:w="80" w:type="dxa"/>
              <w:end w:w="120" w:type="dxa"/>
            </w:tcMar>
            <w:vAlign w:val="center"/>
          </w:tcPr>
          <w:p>
            <w:pPr>
              <w:spacing w:after="0" w:line="259" w:lineRule="auto"/>
              <w:jc w:val="center"/>
            </w:pPr>
            <w:r>
              <w:rPr>
                <w:rFonts w:ascii="Calibri" w:hAnsi="Calibri"/>
                <w:color w:val="111111"/>
                <w:sz w:val="17"/>
              </w:rPr>
              <w:t>12.66%</w:t>
            </w:r>
          </w:p>
        </w:tc>
        <w:tc>
          <w:tcPr>
            <w:tcW w:type="dxa" w:w="1600"/>
            <w:tcMar>
              <w:top w:w="80" w:type="dxa"/>
              <w:start w:w="120" w:type="dxa"/>
              <w:bottom w:w="80" w:type="dxa"/>
              <w:end w:w="120" w:type="dxa"/>
            </w:tcMar>
            <w:vAlign w:val="center"/>
          </w:tcPr>
          <w:p>
            <w:pPr>
              <w:spacing w:after="0" w:line="259" w:lineRule="auto"/>
              <w:jc w:val="center"/>
            </w:pPr>
            <w:r>
              <w:rPr>
                <w:rFonts w:ascii="Calibri" w:hAnsi="Calibri"/>
                <w:color w:val="111111"/>
                <w:sz w:val="17"/>
              </w:rPr>
              <w:t>75.83%</w:t>
            </w:r>
          </w:p>
        </w:tc>
        <w:tc>
          <w:tcPr>
            <w:tcW w:type="dxa" w:w="1900"/>
            <w:tcMar>
              <w:top w:w="80" w:type="dxa"/>
              <w:start w:w="120" w:type="dxa"/>
              <w:bottom w:w="80" w:type="dxa"/>
              <w:end w:w="120" w:type="dxa"/>
            </w:tcMar>
            <w:vAlign w:val="center"/>
          </w:tcPr>
          <w:p>
            <w:pPr>
              <w:spacing w:after="0" w:line="259" w:lineRule="auto"/>
              <w:jc w:val="center"/>
            </w:pPr>
            <w:r>
              <w:rPr>
                <w:rFonts w:ascii="Calibri" w:hAnsi="Calibri"/>
                <w:color w:val="111111"/>
                <w:sz w:val="17"/>
              </w:rPr>
              <w:t>240 / 240</w:t>
            </w:r>
          </w:p>
        </w:tc>
        <w:tc>
          <w:tcPr>
            <w:tcW w:type="dxa" w:w="2360"/>
            <w:tcMar>
              <w:top w:w="80" w:type="dxa"/>
              <w:start w:w="120" w:type="dxa"/>
              <w:bottom w:w="80" w:type="dxa"/>
              <w:end w:w="120" w:type="dxa"/>
            </w:tcMar>
            <w:vAlign w:val="center"/>
          </w:tcPr>
          <w:p>
            <w:pPr>
              <w:spacing w:after="0" w:line="259" w:lineRule="auto"/>
              <w:jc w:val="center"/>
            </w:pPr>
            <w:r>
              <w:rPr>
                <w:rFonts w:ascii="Calibri" w:hAnsi="Calibri"/>
                <w:color w:val="111111"/>
                <w:sz w:val="17"/>
              </w:rPr>
              <w:t>69.42%</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7"/>
              </w:rPr>
              <w:t>Partial consent</w:t>
            </w:r>
          </w:p>
        </w:tc>
        <w:tc>
          <w:tcPr>
            <w:tcW w:type="dxa" w:w="1600"/>
            <w:tcMar>
              <w:top w:w="80" w:type="dxa"/>
              <w:start w:w="120" w:type="dxa"/>
              <w:bottom w:w="80" w:type="dxa"/>
              <w:end w:w="120" w:type="dxa"/>
            </w:tcMar>
            <w:vAlign w:val="center"/>
          </w:tcPr>
          <w:p>
            <w:pPr>
              <w:spacing w:after="0" w:line="259" w:lineRule="auto"/>
              <w:jc w:val="center"/>
            </w:pPr>
            <w:r>
              <w:rPr>
                <w:rFonts w:ascii="Calibri" w:hAnsi="Calibri"/>
                <w:color w:val="111111"/>
                <w:sz w:val="17"/>
              </w:rPr>
              <w:t>0.66%</w:t>
            </w:r>
          </w:p>
        </w:tc>
        <w:tc>
          <w:tcPr>
            <w:tcW w:type="dxa" w:w="1600"/>
            <w:tcMar>
              <w:top w:w="80" w:type="dxa"/>
              <w:start w:w="120" w:type="dxa"/>
              <w:bottom w:w="80" w:type="dxa"/>
              <w:end w:w="120" w:type="dxa"/>
            </w:tcMar>
            <w:vAlign w:val="center"/>
          </w:tcPr>
          <w:p>
            <w:pPr>
              <w:spacing w:after="0" w:line="259" w:lineRule="auto"/>
              <w:jc w:val="center"/>
            </w:pPr>
            <w:r>
              <w:rPr>
                <w:rFonts w:ascii="Calibri" w:hAnsi="Calibri"/>
                <w:color w:val="111111"/>
                <w:sz w:val="17"/>
              </w:rPr>
              <w:t>95.83%</w:t>
            </w:r>
          </w:p>
        </w:tc>
        <w:tc>
          <w:tcPr>
            <w:tcW w:type="dxa" w:w="1900"/>
            <w:tcMar>
              <w:top w:w="80" w:type="dxa"/>
              <w:start w:w="120" w:type="dxa"/>
              <w:bottom w:w="80" w:type="dxa"/>
              <w:end w:w="120" w:type="dxa"/>
            </w:tcMar>
            <w:vAlign w:val="center"/>
          </w:tcPr>
          <w:p>
            <w:pPr>
              <w:spacing w:after="0" w:line="259" w:lineRule="auto"/>
              <w:jc w:val="center"/>
            </w:pPr>
            <w:r>
              <w:rPr>
                <w:rFonts w:ascii="Calibri" w:hAnsi="Calibri"/>
                <w:color w:val="111111"/>
                <w:sz w:val="17"/>
              </w:rPr>
              <w:t>240 / 240</w:t>
            </w:r>
          </w:p>
        </w:tc>
        <w:tc>
          <w:tcPr>
            <w:tcW w:type="dxa" w:w="2360"/>
            <w:tcMar>
              <w:top w:w="80" w:type="dxa"/>
              <w:start w:w="120" w:type="dxa"/>
              <w:bottom w:w="80" w:type="dxa"/>
              <w:end w:w="120" w:type="dxa"/>
            </w:tcMar>
            <w:vAlign w:val="center"/>
          </w:tcPr>
          <w:p>
            <w:pPr>
              <w:spacing w:after="0" w:line="259" w:lineRule="auto"/>
              <w:jc w:val="center"/>
            </w:pPr>
            <w:r>
              <w:rPr>
                <w:rFonts w:ascii="Calibri" w:hAnsi="Calibri"/>
                <w:color w:val="111111"/>
                <w:sz w:val="17"/>
              </w:rPr>
              <w:t>66.06%</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7"/>
              </w:rPr>
              <w:t>Life events</w:t>
            </w:r>
          </w:p>
        </w:tc>
        <w:tc>
          <w:tcPr>
            <w:tcW w:type="dxa" w:w="1600"/>
            <w:tcMar>
              <w:top w:w="80" w:type="dxa"/>
              <w:start w:w="120" w:type="dxa"/>
              <w:bottom w:w="80" w:type="dxa"/>
              <w:end w:w="120" w:type="dxa"/>
            </w:tcMar>
            <w:vAlign w:val="center"/>
          </w:tcPr>
          <w:p>
            <w:pPr>
              <w:spacing w:after="0" w:line="259" w:lineRule="auto"/>
              <w:jc w:val="center"/>
            </w:pPr>
            <w:r>
              <w:rPr>
                <w:rFonts w:ascii="Calibri" w:hAnsi="Calibri"/>
                <w:color w:val="111111"/>
                <w:sz w:val="17"/>
              </w:rPr>
              <w:t>2.15%</w:t>
            </w:r>
          </w:p>
        </w:tc>
        <w:tc>
          <w:tcPr>
            <w:tcW w:type="dxa" w:w="1600"/>
            <w:tcMar>
              <w:top w:w="80" w:type="dxa"/>
              <w:start w:w="120" w:type="dxa"/>
              <w:bottom w:w="80" w:type="dxa"/>
              <w:end w:w="120" w:type="dxa"/>
            </w:tcMar>
            <w:vAlign w:val="center"/>
          </w:tcPr>
          <w:p>
            <w:pPr>
              <w:spacing w:after="0" w:line="259" w:lineRule="auto"/>
              <w:jc w:val="center"/>
            </w:pPr>
            <w:r>
              <w:rPr>
                <w:rFonts w:ascii="Calibri" w:hAnsi="Calibri"/>
                <w:color w:val="111111"/>
                <w:sz w:val="17"/>
              </w:rPr>
              <w:t>97.50%</w:t>
            </w:r>
          </w:p>
        </w:tc>
        <w:tc>
          <w:tcPr>
            <w:tcW w:type="dxa" w:w="1900"/>
            <w:tcMar>
              <w:top w:w="80" w:type="dxa"/>
              <w:start w:w="120" w:type="dxa"/>
              <w:bottom w:w="80" w:type="dxa"/>
              <w:end w:w="120" w:type="dxa"/>
            </w:tcMar>
            <w:vAlign w:val="center"/>
          </w:tcPr>
          <w:p>
            <w:pPr>
              <w:spacing w:after="0" w:line="259" w:lineRule="auto"/>
              <w:jc w:val="center"/>
            </w:pPr>
            <w:r>
              <w:rPr>
                <w:rFonts w:ascii="Calibri" w:hAnsi="Calibri"/>
                <w:color w:val="111111"/>
                <w:sz w:val="17"/>
              </w:rPr>
              <w:t>240 / 240</w:t>
            </w:r>
          </w:p>
        </w:tc>
        <w:tc>
          <w:tcPr>
            <w:tcW w:type="dxa" w:w="2360"/>
            <w:tcMar>
              <w:top w:w="80" w:type="dxa"/>
              <w:start w:w="120" w:type="dxa"/>
              <w:bottom w:w="80" w:type="dxa"/>
              <w:end w:w="120" w:type="dxa"/>
            </w:tcMar>
            <w:vAlign w:val="center"/>
          </w:tcPr>
          <w:p>
            <w:pPr>
              <w:spacing w:after="0" w:line="259" w:lineRule="auto"/>
              <w:jc w:val="center"/>
            </w:pPr>
            <w:r>
              <w:rPr>
                <w:rFonts w:ascii="Calibri" w:hAnsi="Calibri"/>
                <w:color w:val="111111"/>
                <w:sz w:val="17"/>
              </w:rPr>
              <w:t>70.60%</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7"/>
              </w:rPr>
              <w:t>Noisy feed</w:t>
            </w:r>
          </w:p>
        </w:tc>
        <w:tc>
          <w:tcPr>
            <w:tcW w:type="dxa" w:w="1600"/>
            <w:tcMar>
              <w:top w:w="80" w:type="dxa"/>
              <w:start w:w="120" w:type="dxa"/>
              <w:bottom w:w="80" w:type="dxa"/>
              <w:end w:w="120" w:type="dxa"/>
            </w:tcMar>
            <w:vAlign w:val="center"/>
          </w:tcPr>
          <w:p>
            <w:pPr>
              <w:spacing w:after="0" w:line="259" w:lineRule="auto"/>
              <w:jc w:val="center"/>
            </w:pPr>
            <w:r>
              <w:rPr>
                <w:rFonts w:ascii="Calibri" w:hAnsi="Calibri"/>
                <w:color w:val="111111"/>
                <w:sz w:val="17"/>
              </w:rPr>
              <w:t>3.03%</w:t>
            </w:r>
          </w:p>
        </w:tc>
        <w:tc>
          <w:tcPr>
            <w:tcW w:type="dxa" w:w="1600"/>
            <w:tcMar>
              <w:top w:w="80" w:type="dxa"/>
              <w:start w:w="120" w:type="dxa"/>
              <w:bottom w:w="80" w:type="dxa"/>
              <w:end w:w="120" w:type="dxa"/>
            </w:tcMar>
            <w:vAlign w:val="center"/>
          </w:tcPr>
          <w:p>
            <w:pPr>
              <w:spacing w:after="0" w:line="259" w:lineRule="auto"/>
              <w:jc w:val="center"/>
            </w:pPr>
            <w:r>
              <w:rPr>
                <w:rFonts w:ascii="Calibri" w:hAnsi="Calibri"/>
                <w:color w:val="111111"/>
                <w:sz w:val="17"/>
              </w:rPr>
              <w:t>34.82%</w:t>
            </w:r>
          </w:p>
        </w:tc>
        <w:tc>
          <w:tcPr>
            <w:tcW w:type="dxa" w:w="1900"/>
            <w:tcMar>
              <w:top w:w="80" w:type="dxa"/>
              <w:start w:w="120" w:type="dxa"/>
              <w:bottom w:w="80" w:type="dxa"/>
              <w:end w:w="120" w:type="dxa"/>
            </w:tcMar>
            <w:vAlign w:val="center"/>
          </w:tcPr>
          <w:p>
            <w:pPr>
              <w:spacing w:after="0" w:line="259" w:lineRule="auto"/>
              <w:jc w:val="center"/>
            </w:pPr>
            <w:r>
              <w:rPr>
                <w:rFonts w:ascii="Calibri" w:hAnsi="Calibri"/>
                <w:color w:val="111111"/>
                <w:sz w:val="17"/>
              </w:rPr>
              <w:t>224 / 240</w:t>
            </w:r>
          </w:p>
        </w:tc>
        <w:tc>
          <w:tcPr>
            <w:tcW w:type="dxa" w:w="2360"/>
            <w:tcMar>
              <w:top w:w="80" w:type="dxa"/>
              <w:start w:w="120" w:type="dxa"/>
              <w:bottom w:w="80" w:type="dxa"/>
              <w:end w:w="120" w:type="dxa"/>
            </w:tcMar>
            <w:vAlign w:val="center"/>
          </w:tcPr>
          <w:p>
            <w:pPr>
              <w:spacing w:after="0" w:line="259" w:lineRule="auto"/>
              <w:jc w:val="center"/>
            </w:pPr>
            <w:r>
              <w:rPr>
                <w:rFonts w:ascii="Calibri" w:hAnsi="Calibri"/>
                <w:color w:val="111111"/>
                <w:sz w:val="17"/>
              </w:rPr>
              <w:t>74.42%</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7"/>
              </w:rPr>
              <w:t>High volatility</w:t>
            </w:r>
          </w:p>
        </w:tc>
        <w:tc>
          <w:tcPr>
            <w:tcW w:type="dxa" w:w="1600"/>
            <w:tcMar>
              <w:top w:w="80" w:type="dxa"/>
              <w:start w:w="120" w:type="dxa"/>
              <w:bottom w:w="80" w:type="dxa"/>
              <w:end w:w="120" w:type="dxa"/>
            </w:tcMar>
            <w:vAlign w:val="center"/>
          </w:tcPr>
          <w:p>
            <w:pPr>
              <w:spacing w:after="0" w:line="259" w:lineRule="auto"/>
              <w:jc w:val="center"/>
            </w:pPr>
            <w:r>
              <w:rPr>
                <w:rFonts w:ascii="Calibri" w:hAnsi="Calibri"/>
                <w:color w:val="111111"/>
                <w:sz w:val="17"/>
              </w:rPr>
              <w:t>41.04%</w:t>
            </w:r>
          </w:p>
        </w:tc>
        <w:tc>
          <w:tcPr>
            <w:tcW w:type="dxa" w:w="1600"/>
            <w:tcMar>
              <w:top w:w="80" w:type="dxa"/>
              <w:start w:w="120" w:type="dxa"/>
              <w:bottom w:w="80" w:type="dxa"/>
              <w:end w:w="120" w:type="dxa"/>
            </w:tcMar>
            <w:vAlign w:val="center"/>
          </w:tcPr>
          <w:p>
            <w:pPr>
              <w:spacing w:after="0" w:line="259" w:lineRule="auto"/>
              <w:jc w:val="center"/>
            </w:pPr>
            <w:r>
              <w:rPr>
                <w:rFonts w:ascii="Calibri" w:hAnsi="Calibri"/>
                <w:color w:val="111111"/>
                <w:sz w:val="17"/>
              </w:rPr>
              <w:t>15.81%</w:t>
            </w:r>
          </w:p>
        </w:tc>
        <w:tc>
          <w:tcPr>
            <w:tcW w:type="dxa" w:w="1900"/>
            <w:tcMar>
              <w:top w:w="80" w:type="dxa"/>
              <w:start w:w="120" w:type="dxa"/>
              <w:bottom w:w="80" w:type="dxa"/>
              <w:end w:w="120" w:type="dxa"/>
            </w:tcMar>
            <w:vAlign w:val="center"/>
          </w:tcPr>
          <w:p>
            <w:pPr>
              <w:spacing w:after="0" w:line="259" w:lineRule="auto"/>
              <w:jc w:val="center"/>
            </w:pPr>
            <w:r>
              <w:rPr>
                <w:rFonts w:ascii="Calibri" w:hAnsi="Calibri"/>
                <w:color w:val="111111"/>
                <w:sz w:val="17"/>
              </w:rPr>
              <w:t>234 / 240</w:t>
            </w:r>
          </w:p>
        </w:tc>
        <w:tc>
          <w:tcPr>
            <w:tcW w:type="dxa" w:w="2360"/>
            <w:tcMar>
              <w:top w:w="80" w:type="dxa"/>
              <w:start w:w="120" w:type="dxa"/>
              <w:bottom w:w="80" w:type="dxa"/>
              <w:end w:w="120" w:type="dxa"/>
            </w:tcMar>
            <w:vAlign w:val="center"/>
          </w:tcPr>
          <w:p>
            <w:pPr>
              <w:spacing w:after="0" w:line="259" w:lineRule="auto"/>
              <w:jc w:val="center"/>
            </w:pPr>
            <w:r>
              <w:rPr>
                <w:rFonts w:ascii="Calibri" w:hAnsi="Calibri"/>
                <w:color w:val="111111"/>
                <w:sz w:val="17"/>
              </w:rPr>
              <w:t>54.56%</w:t>
            </w:r>
          </w:p>
        </w:tc>
      </w:tr>
    </w:tbl>
    <w:p>
      <w:pPr>
        <w:spacing w:after="40"/>
      </w:pPr>
    </w:p>
    <w:p>
      <w:pPr>
        <w:pStyle w:val="Heading2"/>
        <w:keepNext/>
        <w:pageBreakBefore w:val="0"/>
      </w:pPr>
      <w:r>
        <w:t>5.1 What stress result means</w:t>
      </w:r>
    </w:p>
    <w:p>
      <w:pPr>
        <w:keepLines w:val="0"/>
        <w:spacing w:after="120" w:line="300" w:lineRule="auto"/>
      </w:pPr>
      <w:r>
        <w:rPr>
          <w:rFonts w:ascii="Calibri" w:hAnsi="Calibri"/>
          <w:i w:val="0"/>
          <w:color w:val="111111"/>
        </w:rPr>
        <w:t>Support envelope uses per-feature calibration minimum and maximum over nine interval-driving features. It rejects obvious range extrapolation. It does not detect joint distribution shifts where individual feature values remain inside familiar ranges but relationships between them change.</w:t>
      </w:r>
    </w:p>
    <w:p>
      <w:pPr>
        <w:keepLines w:val="0"/>
        <w:spacing w:after="120" w:line="300" w:lineRule="auto"/>
      </w:pPr>
      <w:r>
        <w:rPr>
          <w:rFonts w:ascii="Calibri" w:hAnsi="Calibri"/>
          <w:i w:val="0"/>
          <w:color w:val="111111"/>
        </w:rPr>
        <w:t>Noisy suite demonstrates this failure: 224 of 240 intervals were published, average confidence remained 74.42%, but only 34.82% contained truth. High-volatility suite is worse: point WAPE reached 41.04%, 234 intervals were still published, and coverage fell to 15.81%.</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9360"/>
      </w:tblGrid>
      <w:tr>
        <w:trPr>
          <w:tblHeader w:val="true"/>
        </w:trPr>
        <w:tc>
          <w:tcPr>
            <w:tcW w:type="dxa" w:w="9360"/>
            <w:tcMar>
              <w:top w:w="80" w:type="dxa"/>
              <w:start w:w="120" w:type="dxa"/>
              <w:bottom w:w="80" w:type="dxa"/>
              <w:end w:w="120" w:type="dxa"/>
            </w:tcMar>
            <w:vAlign w:val="center"/>
            <w:shd w:fill="FBE9E7"/>
          </w:tcPr>
          <w:p>
            <w:pPr>
              <w:spacing w:after="40" w:line="276" w:lineRule="auto"/>
            </w:pPr>
            <w:r>
              <w:rPr>
                <w:rFonts w:ascii="Calibri" w:hAnsi="Calibri"/>
                <w:b/>
                <w:color w:val="9B1C1C"/>
              </w:rPr>
              <w:t xml:space="preserve">Technical conclusion: </w:t>
            </w:r>
            <w:r>
              <w:rPr>
                <w:rFonts w:ascii="Calibri" w:hAnsi="Calibri"/>
                <w:color w:val="111111"/>
              </w:rPr>
              <w:t>Current abstention mechanism is necessary but insufficient. Range checks do not establish distribution support. Confidence is not a calibrated probability of correctness and should not be presented as one.</w:t>
            </w:r>
          </w:p>
        </w:tc>
      </w:tr>
    </w:tbl>
    <w:p>
      <w:pPr>
        <w:spacing w:after="40"/>
      </w:pPr>
    </w:p>
    <w:p>
      <w:pPr>
        <w:pStyle w:val="Heading2"/>
        <w:keepNext/>
        <w:pageBreakBefore w:val="0"/>
      </w:pPr>
      <w:r>
        <w:t>5.2 Positive stress findings</w:t>
      </w:r>
    </w:p>
    <w:p>
      <w:pPr>
        <w:numPr>
          <w:ilvl w:val="0"/>
          <w:numId w:val="10"/>
        </w:numPr>
        <w:spacing w:after="80" w:line="300" w:lineRule="auto"/>
        <w:ind w:left="540" w:hanging="271"/>
      </w:pPr>
      <w:r>
        <w:rPr>
          <w:rFonts w:ascii="Calibri" w:hAnsi="Calibri"/>
          <w:color w:val="111111"/>
        </w:rPr>
        <w:t>No suite created a false-income month in this rerun.</w:t>
      </w:r>
    </w:p>
    <w:p>
      <w:pPr>
        <w:numPr>
          <w:ilvl w:val="0"/>
          <w:numId w:val="10"/>
        </w:numPr>
        <w:spacing w:after="80" w:line="300" w:lineRule="auto"/>
        <w:ind w:left="540" w:hanging="271"/>
      </w:pPr>
      <w:r>
        <w:rPr>
          <w:rFonts w:ascii="Calibri" w:hAnsi="Calibri"/>
          <w:color w:val="111111"/>
        </w:rPr>
        <w:t>Realized-income WAPE was zero except noisy feed, where it was 1.67%.</w:t>
      </w:r>
    </w:p>
    <w:p>
      <w:pPr>
        <w:numPr>
          <w:ilvl w:val="0"/>
          <w:numId w:val="10"/>
        </w:numPr>
        <w:spacing w:after="80" w:line="300" w:lineRule="auto"/>
        <w:ind w:left="540" w:hanging="271"/>
      </w:pPr>
      <w:r>
        <w:rPr>
          <w:rFonts w:ascii="Calibri" w:hAnsi="Calibri"/>
          <w:color w:val="111111"/>
        </w:rPr>
        <w:t>Partial-consent reconstruction remained strong because stable recurring salary supplied evidence for missing periods.</w:t>
      </w:r>
    </w:p>
    <w:p>
      <w:pPr>
        <w:numPr>
          <w:ilvl w:val="0"/>
          <w:numId w:val="10"/>
        </w:numPr>
        <w:spacing w:after="80" w:line="300" w:lineRule="auto"/>
        <w:ind w:left="540" w:hanging="271"/>
      </w:pPr>
      <w:r>
        <w:rPr>
          <w:rFonts w:ascii="Calibri" w:hAnsi="Calibri"/>
          <w:color w:val="111111"/>
        </w:rPr>
        <w:t>Life-event point estimates remained strong under modeled transition rules.</w:t>
      </w:r>
    </w:p>
    <w:p>
      <w:pPr>
        <w:keepLines w:val="0"/>
        <w:spacing w:after="120" w:line="300" w:lineRule="auto"/>
      </w:pPr>
      <w:r>
        <w:rPr>
          <w:rFonts w:ascii="Calibri" w:hAnsi="Calibri"/>
          <w:i/>
          <w:color w:val="65717E"/>
        </w:rPr>
        <w:t>Stress rerun used existing fixed seeds, 20 customers per suite, and 12 months. It is diagnostic evidence, not a fresh independent release test.</w:t>
      </w:r>
    </w:p>
    <w:p>
      <w:pPr>
        <w:pStyle w:val="Heading1"/>
        <w:keepNext/>
        <w:pageBreakBefore/>
      </w:pPr>
      <w:r>
        <w:t>6. Limitations</w:t>
      </w:r>
    </w:p>
    <w:p>
      <w:pPr>
        <w:pStyle w:val="Heading2"/>
        <w:keepNext/>
        <w:pageBreakBefore w:val="0"/>
      </w:pPr>
      <w:r>
        <w:t>6.1 External validity</w:t>
      </w:r>
    </w:p>
    <w:p>
      <w:pPr>
        <w:keepLines w:val="0"/>
        <w:spacing w:after="120" w:line="300" w:lineRule="auto"/>
      </w:pPr>
      <w:r>
        <w:rPr>
          <w:rFonts w:ascii="Calibri" w:hAnsi="Calibri"/>
          <w:i w:val="0"/>
          <w:color w:val="111111"/>
        </w:rPr>
        <w:t>All training, calibration, and evaluation data are synthetic. Simulator encodes assumptions chosen by project. Model can learn simulator regularities that do not hold in real Open Finance data: provider descriptions, payroll patterns, informal income, tax effects, consent behavior, data delays, currency handling, and population composition.</w:t>
      </w:r>
    </w:p>
    <w:p>
      <w:pPr>
        <w:keepLines w:val="0"/>
        <w:spacing w:after="120" w:line="300" w:lineRule="auto"/>
      </w:pPr>
      <w:r>
        <w:rPr>
          <w:rFonts w:ascii="Calibri" w:hAnsi="Calibri"/>
          <w:i w:val="0"/>
          <w:color w:val="111111"/>
        </w:rPr>
        <w:t>Production claim therefore remains untested. Required next evidence is governed, representative, de-identified shadow data with segment-level error analysis and no impact on customers.</w:t>
      </w:r>
    </w:p>
    <w:p>
      <w:pPr>
        <w:pStyle w:val="Heading2"/>
        <w:keepNext/>
        <w:pageBreakBefore w:val="0"/>
      </w:pPr>
      <w:r>
        <w:t>6.2 Open Finance integration</w:t>
      </w:r>
    </w:p>
    <w:p>
      <w:pPr>
        <w:keepLines w:val="0"/>
        <w:spacing w:after="120" w:line="300" w:lineRule="auto"/>
      </w:pPr>
      <w:r>
        <w:rPr>
          <w:rFonts w:ascii="Calibri" w:hAnsi="Calibri"/>
          <w:i w:val="0"/>
          <w:color w:val="111111"/>
        </w:rPr>
        <w:t>No official/provider adapter exists. Current CLI expects normalized internal contract. Authentication, consent lifecycle, tokens, transport, pagination, provider-specific schema drift, and operational retries are absent. This is correct separation from estimator logic but missing project capability.</w:t>
      </w:r>
    </w:p>
    <w:p>
      <w:pPr>
        <w:pStyle w:val="Heading2"/>
        <w:keepNext/>
        <w:pageBreakBefore w:val="0"/>
      </w:pPr>
      <w:r>
        <w:t>6.3 Transaction identity and counterparty context</w:t>
      </w:r>
    </w:p>
    <w:p>
      <w:pPr>
        <w:keepLines w:val="0"/>
        <w:spacing w:after="120" w:line="300" w:lineRule="auto"/>
      </w:pPr>
      <w:r>
        <w:rPr>
          <w:rFonts w:ascii="Calibri" w:hAnsi="Calibri"/>
          <w:i w:val="0"/>
          <w:color w:val="111111"/>
        </w:rPr>
        <w:t>Input 1.1 can accept counterparty document hash, counterparty name, and provider transaction type. Simulator adapter does not populate these fields. Stream clustering falls back to exact normalized description, which is likely less robust on heterogeneous real provider text.</w:t>
      </w:r>
    </w:p>
    <w:p>
      <w:pPr>
        <w:pStyle w:val="Heading2"/>
        <w:keepNext/>
        <w:pageBreakBefore w:val="0"/>
      </w:pPr>
      <w:r>
        <w:t>6.4 Uncertainty and confidence</w:t>
      </w:r>
    </w:p>
    <w:p>
      <w:pPr>
        <w:numPr>
          <w:ilvl w:val="0"/>
          <w:numId w:val="10"/>
        </w:numPr>
        <w:spacing w:after="80" w:line="300" w:lineRule="auto"/>
        <w:ind w:left="540" w:hanging="271"/>
      </w:pPr>
      <w:r>
        <w:rPr>
          <w:rFonts w:ascii="Calibri" w:hAnsi="Calibri"/>
          <w:color w:val="111111"/>
        </w:rPr>
        <w:t>Sustainable intervals fail badly on noisy and high-volatility conditions.</w:t>
      </w:r>
    </w:p>
    <w:p>
      <w:pPr>
        <w:numPr>
          <w:ilvl w:val="0"/>
          <w:numId w:val="10"/>
        </w:numPr>
        <w:spacing w:after="80" w:line="300" w:lineRule="auto"/>
        <w:ind w:left="540" w:hanging="271"/>
      </w:pPr>
      <w:r>
        <w:rPr>
          <w:rFonts w:ascii="Calibri" w:hAnsi="Calibri"/>
          <w:color w:val="111111"/>
        </w:rPr>
        <w:t>Support envelope checks marginal ranges, not multivariate distribution support.</w:t>
      </w:r>
    </w:p>
    <w:p>
      <w:pPr>
        <w:numPr>
          <w:ilvl w:val="0"/>
          <w:numId w:val="10"/>
        </w:numPr>
        <w:spacing w:after="80" w:line="300" w:lineRule="auto"/>
        <w:ind w:left="540" w:hanging="271"/>
      </w:pPr>
      <w:r>
        <w:rPr>
          <w:rFonts w:ascii="Calibri" w:hAnsi="Calibri"/>
          <w:color w:val="111111"/>
        </w:rPr>
        <w:t>Confidence lacks validated out-of-distribution and interval-width components.</w:t>
      </w:r>
    </w:p>
    <w:p>
      <w:pPr>
        <w:numPr>
          <w:ilvl w:val="0"/>
          <w:numId w:val="10"/>
        </w:numPr>
        <w:spacing w:after="80" w:line="300" w:lineRule="auto"/>
        <w:ind w:left="540" w:hanging="271"/>
      </w:pPr>
      <w:r>
        <w:rPr>
          <w:rFonts w:ascii="Calibri" w:hAnsi="Calibri"/>
          <w:color w:val="111111"/>
        </w:rPr>
        <w:t>Conformal unit is customer-month, not customer; results are empirical customer-disjoint calibration with clustered error bars, not finite-sample customer-level guarantee.</w:t>
      </w:r>
    </w:p>
    <w:p>
      <w:pPr>
        <w:numPr>
          <w:ilvl w:val="0"/>
          <w:numId w:val="10"/>
        </w:numPr>
        <w:spacing w:after="80" w:line="300" w:lineRule="auto"/>
        <w:ind w:left="540" w:hanging="271"/>
      </w:pPr>
      <w:r>
        <w:rPr>
          <w:rFonts w:ascii="Calibri" w:hAnsi="Calibri"/>
          <w:color w:val="111111"/>
        </w:rPr>
        <w:t>Realized-income confidence bounds remain heuristic, generally at least +/-5%, rather than calibrated quantiles.</w:t>
      </w:r>
    </w:p>
    <w:p>
      <w:pPr>
        <w:pStyle w:val="Heading2"/>
        <w:keepNext/>
        <w:pageBreakBefore w:val="0"/>
      </w:pPr>
      <w:r>
        <w:t>6.5 Incomplete outputs</w:t>
      </w:r>
    </w:p>
    <w:p>
      <w:pPr>
        <w:keepLines w:val="0"/>
        <w:spacing w:after="120" w:line="300" w:lineRule="auto"/>
      </w:pPr>
      <w:r>
        <w:rPr>
          <w:rFonts w:ascii="Calibri" w:hAnsi="Calibri"/>
          <w:i w:val="0"/>
          <w:color w:val="111111"/>
        </w:rPr>
        <w:t>Annual P10/P50/P90 fields exist but pipeline never populates them. Dependence across monthly outcomes has not been measured. Expected monthly, realized trailing annual, and expected forward annual targets exist as simulator truth but are not production runtime outputs.</w:t>
      </w:r>
    </w:p>
    <w:p>
      <w:pPr>
        <w:pStyle w:val="Heading2"/>
        <w:keepNext/>
        <w:pageBreakBefore w:val="0"/>
      </w:pPr>
      <w:r>
        <w:t>6.6 Simulator realism</w:t>
      </w:r>
    </w:p>
    <w:p>
      <w:pPr>
        <w:keepLines w:val="0"/>
        <w:spacing w:after="120" w:line="300" w:lineRule="auto"/>
      </w:pPr>
      <w:r>
        <w:rPr>
          <w:rFonts w:ascii="Calibri" w:hAnsi="Calibri"/>
          <w:i w:val="0"/>
          <w:color w:val="111111"/>
        </w:rPr>
        <w:t>Simulator omits revolving-card behavior, failed or partial payments, loan default and prepayment, fees, taxes, negative investment returns, market prices, inflation, overdraft policy, holidays, consent lifecycle timestamps, and broad degradation of non-deposit domains. Property and vehicles are counts, not valued assets.</w:t>
      </w:r>
    </w:p>
    <w:p>
      <w:pPr>
        <w:pStyle w:val="Heading2"/>
        <w:keepNext/>
        <w:pageBreakBefore w:val="0"/>
      </w:pPr>
      <w:r>
        <w:t>6.7 Release and documentation maturity</w:t>
      </w:r>
    </w:p>
    <w:p>
      <w:pPr>
        <w:numPr>
          <w:ilvl w:val="0"/>
          <w:numId w:val="10"/>
        </w:numPr>
        <w:spacing w:after="80" w:line="300" w:lineRule="auto"/>
        <w:ind w:left="540" w:hanging="271"/>
      </w:pPr>
      <w:r>
        <w:rPr>
          <w:rFonts w:ascii="Calibri" w:hAnsi="Calibri"/>
          <w:color w:val="111111"/>
        </w:rPr>
        <w:t>Default CLI still runs recurring estimator 0.2; promoted capacity and calibration artifacts require explicit paths.</w:t>
      </w:r>
    </w:p>
    <w:p>
      <w:pPr>
        <w:numPr>
          <w:ilvl w:val="0"/>
          <w:numId w:val="10"/>
        </w:numPr>
        <w:spacing w:after="80" w:line="300" w:lineRule="auto"/>
        <w:ind w:left="540" w:hanging="271"/>
      </w:pPr>
      <w:r>
        <w:rPr>
          <w:rFonts w:ascii="Calibri" w:hAnsi="Calibri"/>
          <w:color w:val="111111"/>
        </w:rPr>
        <w:t>Artifacts live outside installable source package and are not bundled by current wheel configuration.</w:t>
      </w:r>
    </w:p>
    <w:p>
      <w:pPr>
        <w:numPr>
          <w:ilvl w:val="0"/>
          <w:numId w:val="10"/>
        </w:numPr>
        <w:spacing w:after="80" w:line="300" w:lineRule="auto"/>
        <w:ind w:left="540" w:hanging="271"/>
      </w:pPr>
      <w:r>
        <w:rPr>
          <w:rFonts w:ascii="Calibri" w:hAnsi="Calibri"/>
          <w:color w:val="111111"/>
        </w:rPr>
        <w:t>Several README commands still reference an unloadable 0.8 calibration pair.</w:t>
      </w:r>
    </w:p>
    <w:p>
      <w:pPr>
        <w:numPr>
          <w:ilvl w:val="0"/>
          <w:numId w:val="10"/>
        </w:numPr>
        <w:spacing w:after="80" w:line="300" w:lineRule="auto"/>
        <w:ind w:left="540" w:hanging="271"/>
      </w:pPr>
      <w:r>
        <w:rPr>
          <w:rFonts w:ascii="Calibri" w:hAnsi="Calibri"/>
          <w:color w:val="111111"/>
        </w:rPr>
        <w:t>Package, ensemble, feature, simulator, and calibration versions evolve independently and are not presented through one release manifest.</w:t>
      </w:r>
    </w:p>
    <w:p>
      <w:pPr>
        <w:numPr>
          <w:ilvl w:val="0"/>
          <w:numId w:val="10"/>
        </w:numPr>
        <w:spacing w:after="80" w:line="300" w:lineRule="auto"/>
        <w:ind w:left="540" w:hanging="271"/>
      </w:pPr>
      <w:r>
        <w:rPr>
          <w:rFonts w:ascii="Calibri" w:hAnsi="Calibri"/>
          <w:color w:val="111111"/>
        </w:rPr>
        <w:t>Latest 17 commits are local-only; no tags and no CI workflow exist.</w:t>
      </w:r>
    </w:p>
    <w:p>
      <w:pPr>
        <w:pStyle w:val="Heading1"/>
        <w:keepNext/>
        <w:pageBreakBefore/>
      </w:pPr>
      <w:r>
        <w:t>7. What proof of concept proves</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4680"/>
        <w:gridCol w:w="4680"/>
      </w:tblGrid>
      <w:tr>
        <w:trPr>
          <w:tblHeader w:val="true"/>
        </w:trPr>
        <w:tc>
          <w:tcPr>
            <w:tcW w:type="dxa" w:w="4680"/>
            <w:shd w:fill="E8EEF5"/>
            <w:tcMar>
              <w:top w:w="80" w:type="dxa"/>
              <w:start w:w="120" w:type="dxa"/>
              <w:bottom w:w="80" w:type="dxa"/>
              <w:end w:w="120" w:type="dxa"/>
            </w:tcMar>
            <w:vAlign w:val="center"/>
          </w:tcPr>
          <w:p>
            <w:pPr>
              <w:spacing w:after="0"/>
              <w:jc w:val="center"/>
            </w:pPr>
            <w:r>
              <w:rPr>
                <w:rFonts w:ascii="Calibri" w:hAnsi="Calibri"/>
                <w:b/>
                <w:color w:val="16324F"/>
                <w:sz w:val="17"/>
              </w:rPr>
              <w:t>Supported conclusion</w:t>
            </w:r>
          </w:p>
        </w:tc>
        <w:tc>
          <w:tcPr>
            <w:tcW w:type="dxa" w:w="4680"/>
            <w:shd w:fill="E8EEF5"/>
            <w:tcMar>
              <w:top w:w="80" w:type="dxa"/>
              <w:start w:w="120" w:type="dxa"/>
              <w:bottom w:w="80" w:type="dxa"/>
              <w:end w:w="120" w:type="dxa"/>
            </w:tcMar>
            <w:vAlign w:val="center"/>
          </w:tcPr>
          <w:p>
            <w:pPr>
              <w:spacing w:after="0"/>
              <w:jc w:val="center"/>
            </w:pPr>
            <w:r>
              <w:rPr>
                <w:rFonts w:ascii="Calibri" w:hAnsi="Calibri"/>
                <w:b/>
                <w:color w:val="16324F"/>
                <w:sz w:val="17"/>
              </w:rPr>
              <w:t>Unsupported conclusion</w:t>
            </w:r>
          </w:p>
        </w:tc>
      </w:tr>
      <w:tr>
        <w:tc>
          <w:tcPr>
            <w:tcW w:type="dxa" w:w="4680"/>
            <w:tcMar>
              <w:top w:w="80" w:type="dxa"/>
              <w:start w:w="120" w:type="dxa"/>
              <w:bottom w:w="80" w:type="dxa"/>
              <w:end w:w="120" w:type="dxa"/>
            </w:tcMar>
            <w:vAlign w:val="center"/>
          </w:tcPr>
          <w:p>
            <w:pPr>
              <w:spacing w:after="0" w:line="259" w:lineRule="auto"/>
              <w:jc w:val="left"/>
            </w:pPr>
            <w:r>
              <w:rPr>
                <w:rFonts w:ascii="Calibri" w:hAnsi="Calibri"/>
                <w:color w:val="111111"/>
                <w:sz w:val="17"/>
              </w:rPr>
              <w:t>A deterministic synthetic financial history can be generated end to end.</w:t>
            </w:r>
          </w:p>
        </w:tc>
        <w:tc>
          <w:tcPr>
            <w:tcW w:type="dxa" w:w="4680"/>
            <w:tcMar>
              <w:top w:w="80" w:type="dxa"/>
              <w:start w:w="120" w:type="dxa"/>
              <w:bottom w:w="80" w:type="dxa"/>
              <w:end w:w="120" w:type="dxa"/>
            </w:tcMar>
            <w:vAlign w:val="center"/>
          </w:tcPr>
          <w:p>
            <w:pPr>
              <w:spacing w:after="0" w:line="259" w:lineRule="auto"/>
              <w:jc w:val="left"/>
            </w:pPr>
            <w:r>
              <w:rPr>
                <w:rFonts w:ascii="Calibri" w:hAnsi="Calibri"/>
                <w:color w:val="111111"/>
                <w:sz w:val="17"/>
              </w:rPr>
              <w:t>Simulator represents real Brazilian population accurately.</w:t>
            </w:r>
          </w:p>
        </w:tc>
      </w:tr>
      <w:tr>
        <w:tc>
          <w:tcPr>
            <w:tcW w:type="dxa" w:w="4680"/>
            <w:tcMar>
              <w:top w:w="80" w:type="dxa"/>
              <w:start w:w="120" w:type="dxa"/>
              <w:bottom w:w="80" w:type="dxa"/>
              <w:end w:w="120" w:type="dxa"/>
            </w:tcMar>
            <w:vAlign w:val="center"/>
          </w:tcPr>
          <w:p>
            <w:pPr>
              <w:spacing w:after="0" w:line="259" w:lineRule="auto"/>
              <w:jc w:val="left"/>
            </w:pPr>
            <w:r>
              <w:rPr>
                <w:rFonts w:ascii="Calibri" w:hAnsi="Calibri"/>
                <w:color w:val="111111"/>
                <w:sz w:val="17"/>
              </w:rPr>
              <w:t>Estimator consumes observation-only data and can exclude modeled non-income credits.</w:t>
            </w:r>
          </w:p>
        </w:tc>
        <w:tc>
          <w:tcPr>
            <w:tcW w:type="dxa" w:w="4680"/>
            <w:tcMar>
              <w:top w:w="80" w:type="dxa"/>
              <w:start w:w="120" w:type="dxa"/>
              <w:bottom w:w="80" w:type="dxa"/>
              <w:end w:w="120" w:type="dxa"/>
            </w:tcMar>
            <w:vAlign w:val="center"/>
          </w:tcPr>
          <w:p>
            <w:pPr>
              <w:spacing w:after="0" w:line="259" w:lineRule="auto"/>
              <w:jc w:val="left"/>
            </w:pPr>
            <w:r>
              <w:rPr>
                <w:rFonts w:ascii="Calibri" w:hAnsi="Calibri"/>
                <w:color w:val="111111"/>
                <w:sz w:val="17"/>
              </w:rPr>
              <w:t>Estimator is accurate on every provider or informal-income pattern.</w:t>
            </w:r>
          </w:p>
        </w:tc>
      </w:tr>
      <w:tr>
        <w:tc>
          <w:tcPr>
            <w:tcW w:type="dxa" w:w="4680"/>
            <w:tcMar>
              <w:top w:w="80" w:type="dxa"/>
              <w:start w:w="120" w:type="dxa"/>
              <w:bottom w:w="80" w:type="dxa"/>
              <w:end w:w="120" w:type="dxa"/>
            </w:tcMar>
            <w:vAlign w:val="center"/>
          </w:tcPr>
          <w:p>
            <w:pPr>
              <w:spacing w:after="0" w:line="259" w:lineRule="auto"/>
              <w:jc w:val="left"/>
            </w:pPr>
            <w:r>
              <w:rPr>
                <w:rFonts w:ascii="Calibri" w:hAnsi="Calibri"/>
                <w:color w:val="111111"/>
                <w:sz w:val="17"/>
              </w:rPr>
              <w:t>Sustainable-income point model improves synthetic deterministic baselines.</w:t>
            </w:r>
          </w:p>
        </w:tc>
        <w:tc>
          <w:tcPr>
            <w:tcW w:type="dxa" w:w="4680"/>
            <w:tcMar>
              <w:top w:w="80" w:type="dxa"/>
              <w:start w:w="120" w:type="dxa"/>
              <w:bottom w:w="80" w:type="dxa"/>
              <w:end w:w="120" w:type="dxa"/>
            </w:tcMar>
            <w:vAlign w:val="center"/>
          </w:tcPr>
          <w:p>
            <w:pPr>
              <w:spacing w:after="0" w:line="259" w:lineRule="auto"/>
              <w:jc w:val="left"/>
            </w:pPr>
            <w:r>
              <w:rPr>
                <w:rFonts w:ascii="Calibri" w:hAnsi="Calibri"/>
                <w:color w:val="111111"/>
                <w:sz w:val="17"/>
              </w:rPr>
              <w:t>Synthetic WAPE predicts production WAPE.</w:t>
            </w:r>
          </w:p>
        </w:tc>
      </w:tr>
      <w:tr>
        <w:tc>
          <w:tcPr>
            <w:tcW w:type="dxa" w:w="4680"/>
            <w:tcMar>
              <w:top w:w="80" w:type="dxa"/>
              <w:start w:w="120" w:type="dxa"/>
              <w:bottom w:w="80" w:type="dxa"/>
              <w:end w:w="120" w:type="dxa"/>
            </w:tcMar>
            <w:vAlign w:val="center"/>
          </w:tcPr>
          <w:p>
            <w:pPr>
              <w:spacing w:after="0" w:line="259" w:lineRule="auto"/>
              <w:jc w:val="left"/>
            </w:pPr>
            <w:r>
              <w:rPr>
                <w:rFonts w:ascii="Calibri" w:hAnsi="Calibri"/>
                <w:color w:val="111111"/>
                <w:sz w:val="17"/>
              </w:rPr>
              <w:t>Explanations expose evidence, routing, confidence components, and feature contributions.</w:t>
            </w:r>
          </w:p>
        </w:tc>
        <w:tc>
          <w:tcPr>
            <w:tcW w:type="dxa" w:w="4680"/>
            <w:tcMar>
              <w:top w:w="80" w:type="dxa"/>
              <w:start w:w="120" w:type="dxa"/>
              <w:bottom w:w="80" w:type="dxa"/>
              <w:end w:w="120" w:type="dxa"/>
            </w:tcMar>
            <w:vAlign w:val="center"/>
          </w:tcPr>
          <w:p>
            <w:pPr>
              <w:spacing w:after="0" w:line="259" w:lineRule="auto"/>
              <w:jc w:val="left"/>
            </w:pPr>
            <w:r>
              <w:rPr>
                <w:rFonts w:ascii="Calibri" w:hAnsi="Calibri"/>
                <w:color w:val="111111"/>
                <w:sz w:val="17"/>
              </w:rPr>
              <w:t>Explanation guarantees decision is fair or legally sufficient.</w:t>
            </w:r>
          </w:p>
        </w:tc>
      </w:tr>
      <w:tr>
        <w:tc>
          <w:tcPr>
            <w:tcW w:type="dxa" w:w="4680"/>
            <w:tcMar>
              <w:top w:w="80" w:type="dxa"/>
              <w:start w:w="120" w:type="dxa"/>
              <w:bottom w:w="80" w:type="dxa"/>
              <w:end w:w="120" w:type="dxa"/>
            </w:tcMar>
            <w:vAlign w:val="center"/>
          </w:tcPr>
          <w:p>
            <w:pPr>
              <w:spacing w:after="0" w:line="259" w:lineRule="auto"/>
              <w:jc w:val="left"/>
            </w:pPr>
            <w:r>
              <w:rPr>
                <w:rFonts w:ascii="Calibri" w:hAnsi="Calibri"/>
                <w:color w:val="111111"/>
                <w:sz w:val="17"/>
              </w:rPr>
              <w:t>Promoted interval holds stated gates on calibration families.</w:t>
            </w:r>
          </w:p>
        </w:tc>
        <w:tc>
          <w:tcPr>
            <w:tcW w:type="dxa" w:w="4680"/>
            <w:tcMar>
              <w:top w:w="80" w:type="dxa"/>
              <w:start w:w="120" w:type="dxa"/>
              <w:bottom w:w="80" w:type="dxa"/>
              <w:end w:w="120" w:type="dxa"/>
            </w:tcMar>
            <w:vAlign w:val="center"/>
          </w:tcPr>
          <w:p>
            <w:pPr>
              <w:spacing w:after="0" w:line="259" w:lineRule="auto"/>
              <w:jc w:val="left"/>
            </w:pPr>
            <w:r>
              <w:rPr>
                <w:rFonts w:ascii="Calibri" w:hAnsi="Calibri"/>
                <w:color w:val="111111"/>
                <w:sz w:val="17"/>
              </w:rPr>
              <w:t>80% coverage holds under arbitrary noisy or volatile conditions.</w:t>
            </w:r>
          </w:p>
        </w:tc>
      </w:tr>
      <w:tr>
        <w:tc>
          <w:tcPr>
            <w:tcW w:type="dxa" w:w="4680"/>
            <w:tcMar>
              <w:top w:w="80" w:type="dxa"/>
              <w:start w:w="120" w:type="dxa"/>
              <w:bottom w:w="80" w:type="dxa"/>
              <w:end w:w="120" w:type="dxa"/>
            </w:tcMar>
            <w:vAlign w:val="center"/>
          </w:tcPr>
          <w:p>
            <w:pPr>
              <w:spacing w:after="0" w:line="259" w:lineRule="auto"/>
              <w:jc w:val="left"/>
            </w:pPr>
            <w:r>
              <w:rPr>
                <w:rFonts w:ascii="Calibri" w:hAnsi="Calibri"/>
                <w:color w:val="111111"/>
                <w:sz w:val="17"/>
              </w:rPr>
              <w:t>System is ready for visual demonstration and governed shadow pilot design.</w:t>
            </w:r>
          </w:p>
        </w:tc>
        <w:tc>
          <w:tcPr>
            <w:tcW w:type="dxa" w:w="4680"/>
            <w:tcMar>
              <w:top w:w="80" w:type="dxa"/>
              <w:start w:w="120" w:type="dxa"/>
              <w:bottom w:w="80" w:type="dxa"/>
              <w:end w:w="120" w:type="dxa"/>
            </w:tcMar>
            <w:vAlign w:val="center"/>
          </w:tcPr>
          <w:p>
            <w:pPr>
              <w:spacing w:after="0" w:line="259" w:lineRule="auto"/>
              <w:jc w:val="left"/>
            </w:pPr>
            <w:r>
              <w:rPr>
                <w:rFonts w:ascii="Calibri" w:hAnsi="Calibri"/>
                <w:color w:val="111111"/>
                <w:sz w:val="17"/>
              </w:rPr>
              <w:t>System is ready for consequential financial decisions.</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9360"/>
      </w:tblGrid>
      <w:tr>
        <w:trPr>
          <w:tblHeader w:val="true"/>
        </w:trPr>
        <w:tc>
          <w:tcPr>
            <w:tcW w:type="dxa" w:w="9360"/>
            <w:tcMar>
              <w:top w:w="80" w:type="dxa"/>
              <w:start w:w="120" w:type="dxa"/>
              <w:bottom w:w="80" w:type="dxa"/>
              <w:end w:w="120" w:type="dxa"/>
            </w:tcMar>
            <w:vAlign w:val="center"/>
            <w:shd w:fill="E7F2EA"/>
          </w:tcPr>
          <w:p>
            <w:pPr>
              <w:spacing w:after="40" w:line="276" w:lineRule="auto"/>
            </w:pPr>
            <w:r>
              <w:rPr>
                <w:rFonts w:ascii="Calibri" w:hAnsi="Calibri"/>
                <w:b/>
                <w:color w:val="2E7D5B"/>
              </w:rPr>
              <w:t xml:space="preserve">Best approval framing: </w:t>
            </w:r>
            <w:r>
              <w:rPr>
                <w:rFonts w:ascii="Calibri" w:hAnsi="Calibri"/>
                <w:color w:val="111111"/>
              </w:rPr>
              <w:t>PoC demonstrates technical feasibility, auditability, and measurable model behavior. Requested approval is for real-project discovery and validation, not for production rollout.</w:t>
            </w:r>
          </w:p>
        </w:tc>
      </w:tr>
    </w:tbl>
    <w:p>
      <w:pPr>
        <w:spacing w:after="40"/>
      </w:pPr>
    </w:p>
    <w:p>
      <w:pPr>
        <w:pStyle w:val="Heading1"/>
        <w:keepNext/>
        <w:pageBreakBefore w:val="0"/>
      </w:pPr>
      <w:r>
        <w:t>8. Planned visual demonstration</w:t>
      </w:r>
    </w:p>
    <w:p>
      <w:pPr>
        <w:keepLines w:val="0"/>
        <w:spacing w:after="120" w:line="300" w:lineRule="auto"/>
      </w:pPr>
      <w:r>
        <w:rPr>
          <w:rFonts w:ascii="Calibri" w:hAnsi="Calibri"/>
          <w:i w:val="0"/>
          <w:color w:val="111111"/>
        </w:rPr>
        <w:t>Recommended demo is one-process Streamlit application that calls simulator and estimator directly. No database, REST service, authentication, or frontend build is required for PoC.</w:t>
      </w:r>
    </w:p>
    <w:p>
      <w:pPr>
        <w:pStyle w:val="Heading2"/>
        <w:keepNext/>
        <w:pageBreakBefore w:val="0"/>
      </w:pPr>
      <w:r>
        <w:t>8.1 Demo sequence</w:t>
      </w:r>
    </w:p>
    <w:p>
      <w:pPr>
        <w:numPr>
          <w:ilvl w:val="0"/>
          <w:numId w:val="12"/>
        </w:numPr>
        <w:spacing w:after="80" w:line="300" w:lineRule="auto"/>
        <w:ind w:left="540" w:hanging="271"/>
      </w:pPr>
      <w:r>
        <w:rPr>
          <w:rFonts w:ascii="Calibri" w:hAnsi="Calibri"/>
          <w:color w:val="111111"/>
        </w:rPr>
        <w:t>Select profile: mixed income, life events, partial consent, high volatility, or noisy feed.</w:t>
      </w:r>
    </w:p>
    <w:p>
      <w:pPr>
        <w:numPr>
          <w:ilvl w:val="0"/>
          <w:numId w:val="12"/>
        </w:numPr>
        <w:spacing w:after="80" w:line="300" w:lineRule="auto"/>
        <w:ind w:left="540" w:hanging="271"/>
      </w:pPr>
      <w:r>
        <w:rPr>
          <w:rFonts w:ascii="Calibri" w:hAnsi="Calibri"/>
          <w:color w:val="111111"/>
        </w:rPr>
        <w:t>Select deterministic seed and 12- or 24-month history.</w:t>
      </w:r>
    </w:p>
    <w:p>
      <w:pPr>
        <w:numPr>
          <w:ilvl w:val="0"/>
          <w:numId w:val="12"/>
        </w:numPr>
        <w:spacing w:after="80" w:line="300" w:lineRule="auto"/>
        <w:ind w:left="540" w:hanging="271"/>
      </w:pPr>
      <w:r>
        <w:rPr>
          <w:rFonts w:ascii="Calibri" w:hAnsi="Calibri"/>
          <w:color w:val="111111"/>
        </w:rPr>
        <w:t>Generate hidden financial world and observed history.</w:t>
      </w:r>
    </w:p>
    <w:p>
      <w:pPr>
        <w:numPr>
          <w:ilvl w:val="0"/>
          <w:numId w:val="12"/>
        </w:numPr>
        <w:spacing w:after="80" w:line="300" w:lineRule="auto"/>
        <w:ind w:left="540" w:hanging="271"/>
      </w:pPr>
      <w:r>
        <w:rPr>
          <w:rFonts w:ascii="Calibri" w:hAnsi="Calibri"/>
          <w:color w:val="111111"/>
        </w:rPr>
        <w:t>Build estimator input 1.2 from observed allow list only.</w:t>
      </w:r>
    </w:p>
    <w:p>
      <w:pPr>
        <w:numPr>
          <w:ilvl w:val="0"/>
          <w:numId w:val="12"/>
        </w:numPr>
        <w:spacing w:after="80" w:line="300" w:lineRule="auto"/>
        <w:ind w:left="540" w:hanging="271"/>
      </w:pPr>
      <w:r>
        <w:rPr>
          <w:rFonts w:ascii="Calibri" w:hAnsi="Calibri"/>
          <w:color w:val="111111"/>
        </w:rPr>
        <w:t>Run capacity 0.6 plus interval 0.11 and generate explanation.</w:t>
      </w:r>
    </w:p>
    <w:p>
      <w:pPr>
        <w:numPr>
          <w:ilvl w:val="0"/>
          <w:numId w:val="12"/>
        </w:numPr>
        <w:spacing w:after="80" w:line="300" w:lineRule="auto"/>
        <w:ind w:left="540" w:hanging="271"/>
      </w:pPr>
      <w:r>
        <w:rPr>
          <w:rFonts w:ascii="Calibri" w:hAnsi="Calibri"/>
          <w:color w:val="111111"/>
        </w:rPr>
        <w:t>Display financial timeline, estimate, interval, confidence, evidence, and post-inference truth comparison.</w:t>
      </w:r>
    </w:p>
    <w:p>
      <w:pPr>
        <w:pStyle w:val="Heading2"/>
        <w:keepNext/>
        <w:pageBreakBefore/>
      </w:pPr>
      <w:r>
        <w:t>8.2 Essential screen elements</w:t>
      </w:r>
    </w:p>
    <w:p>
      <w:pPr>
        <w:numPr>
          <w:ilvl w:val="0"/>
          <w:numId w:val="10"/>
        </w:numPr>
        <w:spacing w:after="80" w:line="300" w:lineRule="auto"/>
        <w:ind w:left="540" w:hanging="271"/>
      </w:pPr>
      <w:r>
        <w:rPr>
          <w:rFonts w:ascii="Calibri" w:hAnsi="Calibri"/>
          <w:color w:val="111111"/>
        </w:rPr>
        <w:t>Executive cards: realized income, sustainable estimate, interval, confidence, truth, absolute error.</w:t>
      </w:r>
    </w:p>
    <w:p>
      <w:pPr>
        <w:numPr>
          <w:ilvl w:val="0"/>
          <w:numId w:val="10"/>
        </w:numPr>
        <w:spacing w:after="80" w:line="300" w:lineRule="auto"/>
        <w:ind w:left="540" w:hanging="271"/>
      </w:pPr>
      <w:r>
        <w:rPr>
          <w:rFonts w:ascii="Calibri" w:hAnsi="Calibri"/>
          <w:color w:val="111111"/>
        </w:rPr>
        <w:t>Timeline: truth, realized estimate, sustainable estimate, uncertainty band, life-event markers.</w:t>
      </w:r>
    </w:p>
    <w:p>
      <w:pPr>
        <w:numPr>
          <w:ilvl w:val="0"/>
          <w:numId w:val="10"/>
        </w:numPr>
        <w:spacing w:after="80" w:line="300" w:lineRule="auto"/>
        <w:ind w:left="540" w:hanging="271"/>
      </w:pPr>
      <w:r>
        <w:rPr>
          <w:rFonts w:ascii="Calibri" w:hAnsi="Calibri"/>
          <w:color w:val="111111"/>
        </w:rPr>
        <w:t>Financial state: balances, investments, debt, and net worth.</w:t>
      </w:r>
    </w:p>
    <w:p>
      <w:pPr>
        <w:numPr>
          <w:ilvl w:val="0"/>
          <w:numId w:val="10"/>
        </w:numPr>
        <w:spacing w:after="80" w:line="300" w:lineRule="auto"/>
        <w:ind w:left="540" w:hanging="271"/>
      </w:pPr>
      <w:r>
        <w:rPr>
          <w:rFonts w:ascii="Calibri" w:hAnsi="Calibri"/>
          <w:color w:val="111111"/>
        </w:rPr>
        <w:t>Evidence: included/excluded credits, streams, components, routing, and feature contributions.</w:t>
      </w:r>
    </w:p>
    <w:p>
      <w:pPr>
        <w:numPr>
          <w:ilvl w:val="0"/>
          <w:numId w:val="10"/>
        </w:numPr>
        <w:spacing w:after="80" w:line="300" w:lineRule="auto"/>
        <w:ind w:left="540" w:hanging="271"/>
      </w:pPr>
      <w:r>
        <w:rPr>
          <w:rFonts w:ascii="Calibri" w:hAnsi="Calibri"/>
          <w:color w:val="111111"/>
        </w:rPr>
        <w:t>Data quality: coverage, missing/late/duplicate/reversal counts, and abstention reason.</w:t>
      </w:r>
    </w:p>
    <w:p>
      <w:pPr>
        <w:numPr>
          <w:ilvl w:val="0"/>
          <w:numId w:val="10"/>
        </w:numPr>
        <w:spacing w:after="80" w:line="300" w:lineRule="auto"/>
        <w:ind w:left="540" w:hanging="271"/>
      </w:pPr>
      <w:r>
        <w:rPr>
          <w:rFonts w:ascii="Calibri" w:hAnsi="Calibri"/>
          <w:color w:val="111111"/>
        </w:rPr>
        <w:t>Visible label on truth: evaluation only; never provided to estimator.</w:t>
      </w:r>
    </w:p>
    <w:p>
      <w:pPr>
        <w:pStyle w:val="Heading2"/>
        <w:keepNext/>
        <w:pageBreakBefore w:val="0"/>
      </w:pPr>
      <w:r>
        <w:t>8.3 PoC stop condition</w:t>
      </w:r>
    </w:p>
    <w:p>
      <w:pPr>
        <w:keepLines w:val="0"/>
        <w:spacing w:after="120" w:line="300" w:lineRule="auto"/>
      </w:pPr>
      <w:r>
        <w:rPr>
          <w:rFonts w:ascii="Calibri" w:hAnsi="Calibri"/>
          <w:i w:val="0"/>
          <w:color w:val="111111"/>
        </w:rPr>
        <w:t>Stop when any preset runs from one button, produces deterministic results in under five seconds on demo laptop, shows trust boundary and limitations clearly, and survives focused integration tests. Do not expand into real-provider integration, user accounts, persistence, or cloud production architecture during PoC build.</w:t>
      </w:r>
    </w:p>
    <w:p>
      <w:pPr>
        <w:pStyle w:val="Heading1"/>
        <w:keepNext/>
        <w:pageBreakBefore/>
      </w:pPr>
      <w:r>
        <w:t>9. Presentation study notes</w:t>
      </w:r>
    </w:p>
    <w:p>
      <w:pPr>
        <w:pStyle w:val="Heading2"/>
        <w:keepNext/>
        <w:pageBreakBefore w:val="0"/>
      </w:pPr>
      <w:r>
        <w:t>9.1 Five-minute narrative</w:t>
      </w:r>
    </w:p>
    <w:p>
      <w:pPr>
        <w:numPr>
          <w:ilvl w:val="0"/>
          <w:numId w:val="13"/>
        </w:numPr>
        <w:spacing w:after="80" w:line="300" w:lineRule="auto"/>
        <w:ind w:left="540" w:hanging="271"/>
      </w:pPr>
      <w:r>
        <w:rPr>
          <w:rFonts w:ascii="Calibri" w:hAnsi="Calibri"/>
          <w:color w:val="111111"/>
        </w:rPr>
        <w:t>Problem: income is not equal to every incoming transaction; incomplete consent makes visible cash flow unreliable.</w:t>
      </w:r>
    </w:p>
    <w:p>
      <w:pPr>
        <w:numPr>
          <w:ilvl w:val="0"/>
          <w:numId w:val="13"/>
        </w:numPr>
        <w:spacing w:after="80" w:line="300" w:lineRule="auto"/>
        <w:ind w:left="540" w:hanging="271"/>
      </w:pPr>
      <w:r>
        <w:rPr>
          <w:rFonts w:ascii="Calibri" w:hAnsi="Calibri"/>
          <w:color w:val="111111"/>
        </w:rPr>
        <w:t>Approach: build deterministic synthetic customers with known truth, expose only realistic observations, then estimate without truth leakage.</w:t>
      </w:r>
    </w:p>
    <w:p>
      <w:pPr>
        <w:numPr>
          <w:ilvl w:val="0"/>
          <w:numId w:val="13"/>
        </w:numPr>
        <w:spacing w:after="80" w:line="300" w:lineRule="auto"/>
        <w:ind w:left="540" w:hanging="271"/>
      </w:pPr>
      <w:r>
        <w:rPr>
          <w:rFonts w:ascii="Calibri" w:hAnsi="Calibri"/>
          <w:color w:val="111111"/>
        </w:rPr>
        <w:t>Evidence: estimator improves synthetic baselines, preserves audit trail, and quantifies uncertainty inside measured conditions.</w:t>
      </w:r>
    </w:p>
    <w:p>
      <w:pPr>
        <w:numPr>
          <w:ilvl w:val="0"/>
          <w:numId w:val="13"/>
        </w:numPr>
        <w:spacing w:after="80" w:line="300" w:lineRule="auto"/>
        <w:ind w:left="540" w:hanging="271"/>
      </w:pPr>
      <w:r>
        <w:rPr>
          <w:rFonts w:ascii="Calibri" w:hAnsi="Calibri"/>
          <w:color w:val="111111"/>
        </w:rPr>
        <w:t>Honesty: stress tests show current failure on high-volatility income and out-of-distribution interval coverage.</w:t>
      </w:r>
    </w:p>
    <w:p>
      <w:pPr>
        <w:numPr>
          <w:ilvl w:val="0"/>
          <w:numId w:val="13"/>
        </w:numPr>
        <w:spacing w:after="80" w:line="300" w:lineRule="auto"/>
        <w:ind w:left="540" w:hanging="271"/>
      </w:pPr>
      <w:r>
        <w:rPr>
          <w:rFonts w:ascii="Calibri" w:hAnsi="Calibri"/>
          <w:color w:val="111111"/>
        </w:rPr>
        <w:t>Ask: approve next phase for visual PoC completion, one-provider data adapter, and governed shadow validation.</w:t>
      </w:r>
    </w:p>
    <w:p>
      <w:pPr>
        <w:pStyle w:val="Heading2"/>
        <w:keepNext/>
        <w:pageBreakBefore w:val="0"/>
      </w:pPr>
      <w:r>
        <w:t>9.2 Questions boss may ask</w:t>
      </w:r>
    </w:p>
    <w:p>
      <w:pPr>
        <w:keepLines/>
        <w:spacing w:after="100"/>
      </w:pPr>
      <w:r>
        <w:rPr>
          <w:rFonts w:ascii="Calibri" w:hAnsi="Calibri"/>
          <w:b/>
          <w:color w:val="1F4D78"/>
        </w:rPr>
        <w:t xml:space="preserve">Why not use account credits directly? </w:t>
      </w:r>
      <w:r>
        <w:rPr>
          <w:rFonts w:ascii="Calibri" w:hAnsi="Calibri"/>
          <w:color w:val="111111"/>
        </w:rPr>
        <w:t>Transfers, loans, refunds, redemptions, duplicates, and reversals resemble income. Estimator classifies and explains exclusions before reconstruction.</w:t>
      </w:r>
    </w:p>
    <w:p>
      <w:pPr>
        <w:keepLines/>
        <w:spacing w:after="100"/>
      </w:pPr>
      <w:r>
        <w:rPr>
          <w:rFonts w:ascii="Calibri" w:hAnsi="Calibri"/>
          <w:b/>
          <w:color w:val="1F4D78"/>
        </w:rPr>
        <w:t xml:space="preserve">How do we know model did not see answer? </w:t>
      </w:r>
      <w:r>
        <w:rPr>
          <w:rFonts w:ascii="Calibri" w:hAnsi="Calibri"/>
          <w:color w:val="111111"/>
        </w:rPr>
        <w:t>Runtime imports no simulator truth. Point-in-time features are built before private labels join. Customers are split across training, validation, and test partitions.</w:t>
      </w:r>
    </w:p>
    <w:p>
      <w:pPr>
        <w:keepLines/>
        <w:spacing w:after="100"/>
      </w:pPr>
      <w:r>
        <w:rPr>
          <w:rFonts w:ascii="Calibri" w:hAnsi="Calibri"/>
          <w:b/>
          <w:color w:val="1F4D78"/>
        </w:rPr>
        <w:t xml:space="preserve">What does confidence mean? </w:t>
      </w:r>
      <w:r>
        <w:rPr>
          <w:rFonts w:ascii="Calibri" w:hAnsi="Calibri"/>
          <w:color w:val="111111"/>
        </w:rPr>
        <w:t>Deterministic score from completeness, history, stability, classification certainty, and component agreement. It is not probability estimate and not reliable OOD detector.</w:t>
      </w:r>
    </w:p>
    <w:p>
      <w:pPr>
        <w:keepLines/>
        <w:spacing w:after="100"/>
      </w:pPr>
      <w:r>
        <w:rPr>
          <w:rFonts w:ascii="Calibri" w:hAnsi="Calibri"/>
          <w:b/>
          <w:color w:val="1F4D78"/>
        </w:rPr>
        <w:t xml:space="preserve">Why does interval exceed 80% coverage? </w:t>
      </w:r>
      <w:r>
        <w:rPr>
          <w:rFonts w:ascii="Calibri" w:hAnsi="Calibri"/>
          <w:color w:val="111111"/>
        </w:rPr>
        <w:t>80% is nominal minimum target. Some synthetic suites are easy or exact, causing conservative overcoverage; sharpness is evaluated separately.</w:t>
      </w:r>
    </w:p>
    <w:p>
      <w:pPr>
        <w:keepLines/>
        <w:spacing w:after="100"/>
      </w:pPr>
      <w:r>
        <w:rPr>
          <w:rFonts w:ascii="Calibri" w:hAnsi="Calibri"/>
          <w:b/>
          <w:color w:val="1F4D78"/>
        </w:rPr>
        <w:t xml:space="preserve">Can it work with real Open Finance now? </w:t>
      </w:r>
      <w:r>
        <w:rPr>
          <w:rFonts w:ascii="Calibri" w:hAnsi="Calibri"/>
          <w:color w:val="111111"/>
        </w:rPr>
        <w:t>Not end to end. Provider payload must be translated into internal contract; adapter and real-data validation remain next-phase work.</w:t>
      </w:r>
    </w:p>
    <w:p>
      <w:pPr>
        <w:keepLines/>
        <w:spacing w:after="100"/>
      </w:pPr>
      <w:r>
        <w:rPr>
          <w:rFonts w:ascii="Calibri" w:hAnsi="Calibri"/>
          <w:b/>
          <w:color w:val="1F4D78"/>
        </w:rPr>
        <w:t xml:space="preserve">What is biggest technical risk? </w:t>
      </w:r>
      <w:r>
        <w:rPr>
          <w:rFonts w:ascii="Calibri" w:hAnsi="Calibri"/>
          <w:color w:val="111111"/>
        </w:rPr>
        <w:t>Distribution shift. High-volatility point error and noisy-feed interval coverage show synthetic calibration does not generalize automatically.</w:t>
      </w:r>
    </w:p>
    <w:p>
      <w:pPr>
        <w:keepLines/>
        <w:spacing w:after="100"/>
      </w:pPr>
      <w:r>
        <w:rPr>
          <w:rFonts w:ascii="Calibri" w:hAnsi="Calibri"/>
          <w:b/>
          <w:color w:val="1F4D78"/>
        </w:rPr>
        <w:t xml:space="preserve">What approval is requested? </w:t>
      </w:r>
      <w:r>
        <w:rPr>
          <w:rFonts w:ascii="Calibri" w:hAnsi="Calibri"/>
          <w:color w:val="111111"/>
        </w:rPr>
        <w:t>Fund discovery and shadow validation, not production decision use.</w:t>
      </w:r>
    </w:p>
    <w:p>
      <w:pPr>
        <w:pStyle w:val="Heading2"/>
        <w:keepNext/>
        <w:pageBreakBefore/>
      </w:pPr>
      <w:r>
        <w:t>9.3 Terms to use precisely</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1900"/>
        <w:gridCol w:w="746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b/>
                <w:color w:val="16324F"/>
                <w:sz w:val="18"/>
              </w:rPr>
              <w:t>Term</w:t>
            </w:r>
          </w:p>
        </w:tc>
        <w:tc>
          <w:tcPr>
            <w:tcW w:type="dxa" w:w="7460"/>
            <w:shd w:fill="E8EEF5"/>
            <w:tcMar>
              <w:top w:w="80" w:type="dxa"/>
              <w:start w:w="120" w:type="dxa"/>
              <w:bottom w:w="80" w:type="dxa"/>
              <w:end w:w="120" w:type="dxa"/>
            </w:tcMar>
            <w:vAlign w:val="center"/>
          </w:tcPr>
          <w:p>
            <w:pPr>
              <w:spacing w:after="0"/>
              <w:jc w:val="center"/>
            </w:pPr>
            <w:r>
              <w:rPr>
                <w:rFonts w:ascii="Calibri" w:hAnsi="Calibri"/>
                <w:b/>
                <w:color w:val="16324F"/>
                <w:sz w:val="18"/>
              </w:rPr>
              <w:t>Correct meaning</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8"/>
              </w:rPr>
              <w:t>Realized income</w:t>
            </w:r>
          </w:p>
        </w:tc>
        <w:tc>
          <w:tcPr>
            <w:tcW w:type="dxa" w:w="7460"/>
            <w:tcMar>
              <w:top w:w="80" w:type="dxa"/>
              <w:start w:w="120" w:type="dxa"/>
              <w:bottom w:w="80" w:type="dxa"/>
              <w:end w:w="120" w:type="dxa"/>
            </w:tcMar>
            <w:vAlign w:val="center"/>
          </w:tcPr>
          <w:p>
            <w:pPr>
              <w:spacing w:after="0" w:line="259" w:lineRule="auto"/>
              <w:jc w:val="left"/>
            </w:pPr>
            <w:r>
              <w:rPr>
                <w:rFonts w:ascii="Calibri" w:hAnsi="Calibri"/>
                <w:color w:val="111111"/>
                <w:sz w:val="18"/>
              </w:rPr>
              <w:t>Economic income observed or reconstructed for one calendar month</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8"/>
              </w:rPr>
              <w:t>Sustainable income</w:t>
            </w:r>
          </w:p>
        </w:tc>
        <w:tc>
          <w:tcPr>
            <w:tcW w:type="dxa" w:w="7460"/>
            <w:tcMar>
              <w:top w:w="80" w:type="dxa"/>
              <w:start w:w="120" w:type="dxa"/>
              <w:bottom w:w="80" w:type="dxa"/>
              <w:end w:w="120" w:type="dxa"/>
            </w:tcMar>
            <w:vAlign w:val="center"/>
          </w:tcPr>
          <w:p>
            <w:pPr>
              <w:spacing w:after="0" w:line="259" w:lineRule="auto"/>
              <w:jc w:val="left"/>
            </w:pPr>
            <w:r>
              <w:rPr>
                <w:rFonts w:ascii="Calibri" w:hAnsi="Calibri"/>
                <w:color w:val="111111"/>
                <w:sz w:val="18"/>
              </w:rPr>
              <w:t>Robust monthly capacity estimate from active non-one-off sources</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8"/>
              </w:rPr>
              <w:t>P10/P90</w:t>
            </w:r>
          </w:p>
        </w:tc>
        <w:tc>
          <w:tcPr>
            <w:tcW w:type="dxa" w:w="7460"/>
            <w:tcMar>
              <w:top w:w="80" w:type="dxa"/>
              <w:start w:w="120" w:type="dxa"/>
              <w:bottom w:w="80" w:type="dxa"/>
              <w:end w:w="120" w:type="dxa"/>
            </w:tcMar>
            <w:vAlign w:val="center"/>
          </w:tcPr>
          <w:p>
            <w:pPr>
              <w:spacing w:after="0" w:line="259" w:lineRule="auto"/>
              <w:jc w:val="left"/>
            </w:pPr>
            <w:r>
              <w:rPr>
                <w:rFonts w:ascii="Calibri" w:hAnsi="Calibri"/>
                <w:color w:val="111111"/>
                <w:sz w:val="18"/>
              </w:rPr>
              <w:t>Calibrated lower and upper sustainable-income bounds under measured conditions</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8"/>
              </w:rPr>
              <w:t>Confidence</w:t>
            </w:r>
          </w:p>
        </w:tc>
        <w:tc>
          <w:tcPr>
            <w:tcW w:type="dxa" w:w="7460"/>
            <w:tcMar>
              <w:top w:w="80" w:type="dxa"/>
              <w:start w:w="120" w:type="dxa"/>
              <w:bottom w:w="80" w:type="dxa"/>
              <w:end w:w="120" w:type="dxa"/>
            </w:tcMar>
            <w:vAlign w:val="center"/>
          </w:tcPr>
          <w:p>
            <w:pPr>
              <w:spacing w:after="0" w:line="259" w:lineRule="auto"/>
              <w:jc w:val="left"/>
            </w:pPr>
            <w:r>
              <w:rPr>
                <w:rFonts w:ascii="Calibri" w:hAnsi="Calibri"/>
                <w:color w:val="111111"/>
                <w:sz w:val="18"/>
              </w:rPr>
              <w:t>Heuristic evidence-quality score, capped by data completeness</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8"/>
              </w:rPr>
              <w:t>Coverage</w:t>
            </w:r>
          </w:p>
        </w:tc>
        <w:tc>
          <w:tcPr>
            <w:tcW w:type="dxa" w:w="7460"/>
            <w:tcMar>
              <w:top w:w="80" w:type="dxa"/>
              <w:start w:w="120" w:type="dxa"/>
              <w:bottom w:w="80" w:type="dxa"/>
              <w:end w:w="120" w:type="dxa"/>
            </w:tcMar>
            <w:vAlign w:val="center"/>
          </w:tcPr>
          <w:p>
            <w:pPr>
              <w:spacing w:after="0" w:line="259" w:lineRule="auto"/>
              <w:jc w:val="left"/>
            </w:pPr>
            <w:r>
              <w:rPr>
                <w:rFonts w:ascii="Calibri" w:hAnsi="Calibri"/>
                <w:color w:val="111111"/>
                <w:sz w:val="18"/>
              </w:rPr>
              <w:t>Share of truths falling inside published interval</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8"/>
              </w:rPr>
              <w:t>WAPE</w:t>
            </w:r>
          </w:p>
        </w:tc>
        <w:tc>
          <w:tcPr>
            <w:tcW w:type="dxa" w:w="7460"/>
            <w:tcMar>
              <w:top w:w="80" w:type="dxa"/>
              <w:start w:w="120" w:type="dxa"/>
              <w:bottom w:w="80" w:type="dxa"/>
              <w:end w:w="120" w:type="dxa"/>
            </w:tcMar>
            <w:vAlign w:val="center"/>
          </w:tcPr>
          <w:p>
            <w:pPr>
              <w:spacing w:after="0" w:line="259" w:lineRule="auto"/>
              <w:jc w:val="left"/>
            </w:pPr>
            <w:r>
              <w:rPr>
                <w:rFonts w:ascii="Calibri" w:hAnsi="Calibri"/>
                <w:color w:val="111111"/>
                <w:sz w:val="18"/>
              </w:rPr>
              <w:t>Total absolute error divided by total truth; safe with zero-income rows</w:t>
            </w:r>
          </w:p>
        </w:tc>
      </w:tr>
      <w:tr>
        <w:tc>
          <w:tcPr>
            <w:tcW w:type="dxa" w:w="1900"/>
            <w:tcMar>
              <w:top w:w="80" w:type="dxa"/>
              <w:start w:w="120" w:type="dxa"/>
              <w:bottom w:w="80" w:type="dxa"/>
              <w:end w:w="120" w:type="dxa"/>
            </w:tcMar>
            <w:vAlign w:val="center"/>
          </w:tcPr>
          <w:p>
            <w:pPr>
              <w:spacing w:after="0" w:line="259" w:lineRule="auto"/>
              <w:jc w:val="left"/>
            </w:pPr>
            <w:r>
              <w:rPr>
                <w:rFonts w:ascii="Calibri" w:hAnsi="Calibri"/>
                <w:color w:val="111111"/>
                <w:sz w:val="18"/>
              </w:rPr>
              <w:t>Ground truth</w:t>
            </w:r>
          </w:p>
        </w:tc>
        <w:tc>
          <w:tcPr>
            <w:tcW w:type="dxa" w:w="7460"/>
            <w:tcMar>
              <w:top w:w="80" w:type="dxa"/>
              <w:start w:w="120" w:type="dxa"/>
              <w:bottom w:w="80" w:type="dxa"/>
              <w:end w:w="120" w:type="dxa"/>
            </w:tcMar>
            <w:vAlign w:val="center"/>
          </w:tcPr>
          <w:p>
            <w:pPr>
              <w:spacing w:after="0" w:line="259" w:lineRule="auto"/>
              <w:jc w:val="left"/>
            </w:pPr>
            <w:r>
              <w:rPr>
                <w:rFonts w:ascii="Calibri" w:hAnsi="Calibri"/>
                <w:color w:val="111111"/>
                <w:sz w:val="18"/>
              </w:rPr>
              <w:t>Private simulator labels used only after inference for evaluation</w:t>
            </w:r>
          </w:p>
        </w:tc>
      </w:tr>
    </w:tbl>
    <w:p>
      <w:pPr>
        <w:spacing w:after="40"/>
      </w:pPr>
    </w:p>
    <w:p>
      <w:pPr>
        <w:pStyle w:val="Heading1"/>
        <w:keepNext/>
        <w:pageBreakBefore/>
      </w:pPr>
      <w:r>
        <w:t>Appendix A. Metric definitions</w:t>
      </w:r>
    </w:p>
    <w:p>
      <w:pPr>
        <w:keepLines w:val="0"/>
        <w:spacing w:after="120" w:line="300" w:lineRule="auto"/>
      </w:pPr>
      <w:r>
        <w:rPr>
          <w:rFonts w:ascii="Calibri" w:hAnsi="Calibri"/>
          <w:b/>
          <w:color w:val="111111"/>
        </w:rPr>
        <w:t>MAE.</w:t>
      </w:r>
      <w:r>
        <w:rPr>
          <w:rFonts w:ascii="Calibri" w:hAnsi="Calibri"/>
          <w:i w:val="0"/>
          <w:color w:val="111111"/>
        </w:rPr>
        <w:t xml:space="preserve"> Mean absolute error. Average absolute difference between prediction and truth, in minor currency units.</w:t>
      </w:r>
    </w:p>
    <w:p>
      <w:pPr>
        <w:keepLines w:val="0"/>
        <w:spacing w:after="120" w:line="300" w:lineRule="auto"/>
      </w:pPr>
      <w:r>
        <w:rPr>
          <w:rFonts w:ascii="Calibri" w:hAnsi="Calibri"/>
          <w:b/>
          <w:color w:val="111111"/>
        </w:rPr>
        <w:t>WAPE.</w:t>
      </w:r>
      <w:r>
        <w:rPr>
          <w:rFonts w:ascii="Calibri" w:hAnsi="Calibri"/>
          <w:i w:val="0"/>
          <w:color w:val="111111"/>
        </w:rPr>
        <w:t xml:space="preserve"> Weighted absolute percentage error: sum of absolute errors divided by sum of truth. Preferred over MAPE because monthly truth may be zero.</w:t>
      </w:r>
    </w:p>
    <w:p>
      <w:pPr>
        <w:keepLines w:val="0"/>
        <w:spacing w:after="120" w:line="300" w:lineRule="auto"/>
      </w:pPr>
      <w:r>
        <w:rPr>
          <w:rFonts w:ascii="Calibri" w:hAnsi="Calibri"/>
          <w:b/>
          <w:color w:val="111111"/>
        </w:rPr>
        <w:t>F1.</w:t>
      </w:r>
      <w:r>
        <w:rPr>
          <w:rFonts w:ascii="Calibri" w:hAnsi="Calibri"/>
          <w:i w:val="0"/>
          <w:color w:val="111111"/>
        </w:rPr>
        <w:t xml:space="preserve"> Harmonic mean of precision and recall for transaction income classification.</w:t>
      </w:r>
    </w:p>
    <w:p>
      <w:pPr>
        <w:keepLines w:val="0"/>
        <w:spacing w:after="120" w:line="300" w:lineRule="auto"/>
      </w:pPr>
      <w:r>
        <w:rPr>
          <w:rFonts w:ascii="Calibri" w:hAnsi="Calibri"/>
          <w:b/>
          <w:color w:val="111111"/>
        </w:rPr>
        <w:t>Interval coverage.</w:t>
      </w:r>
      <w:r>
        <w:rPr>
          <w:rFonts w:ascii="Calibri" w:hAnsi="Calibri"/>
          <w:i w:val="0"/>
          <w:color w:val="111111"/>
        </w:rPr>
        <w:t xml:space="preserve"> Fraction of published intervals containing corresponding truth. Nominal 80% means target population coverage, not certainty for one client.</w:t>
      </w:r>
    </w:p>
    <w:p>
      <w:pPr>
        <w:keepLines w:val="0"/>
        <w:spacing w:after="120" w:line="300" w:lineRule="auto"/>
      </w:pPr>
      <w:r>
        <w:rPr>
          <w:rFonts w:ascii="Calibri" w:hAnsi="Calibri"/>
          <w:b/>
          <w:color w:val="111111"/>
        </w:rPr>
        <w:t>Tail miss rate.</w:t>
      </w:r>
      <w:r>
        <w:rPr>
          <w:rFonts w:ascii="Calibri" w:hAnsi="Calibri"/>
          <w:i w:val="0"/>
          <w:color w:val="111111"/>
        </w:rPr>
        <w:t xml:space="preserve"> Fraction of truths below lower bound or above upper bound. Each tail is gated separately.</w:t>
      </w:r>
    </w:p>
    <w:p>
      <w:pPr>
        <w:keepLines w:val="0"/>
        <w:spacing w:after="120" w:line="300" w:lineRule="auto"/>
      </w:pPr>
      <w:r>
        <w:rPr>
          <w:rFonts w:ascii="Calibri" w:hAnsi="Calibri"/>
          <w:b/>
          <w:color w:val="111111"/>
        </w:rPr>
        <w:t>Sharpness.</w:t>
      </w:r>
      <w:r>
        <w:rPr>
          <w:rFonts w:ascii="Calibri" w:hAnsi="Calibri"/>
          <w:i w:val="0"/>
          <w:color w:val="111111"/>
        </w:rPr>
        <w:t xml:space="preserve"> How narrow and useful intervals remain while maintaining coverage; evaluated using interval score and paired comparison.</w:t>
      </w:r>
    </w:p>
    <w:p>
      <w:pPr>
        <w:keepLines w:val="0"/>
        <w:spacing w:after="120" w:line="300" w:lineRule="auto"/>
      </w:pPr>
      <w:r>
        <w:rPr>
          <w:rFonts w:ascii="Calibri" w:hAnsi="Calibri"/>
          <w:b/>
          <w:color w:val="111111"/>
        </w:rPr>
        <w:t>Clustered standard error.</w:t>
      </w:r>
      <w:r>
        <w:rPr>
          <w:rFonts w:ascii="Calibri" w:hAnsi="Calibri"/>
          <w:i w:val="0"/>
          <w:color w:val="111111"/>
        </w:rPr>
        <w:t xml:space="preserve"> Uncertainty estimate that resamples customers so repeated customer-month rows are not treated as independent customers.</w:t>
      </w:r>
    </w:p>
    <w:p>
      <w:pPr>
        <w:keepLines w:val="0"/>
        <w:spacing w:after="120" w:line="300" w:lineRule="auto"/>
      </w:pPr>
      <w:r>
        <w:rPr>
          <w:rFonts w:ascii="Calibri" w:hAnsi="Calibri"/>
          <w:b/>
          <w:color w:val="111111"/>
        </w:rPr>
        <w:t>Out-of-support abstention.</w:t>
      </w:r>
      <w:r>
        <w:rPr>
          <w:rFonts w:ascii="Calibri" w:hAnsi="Calibri"/>
          <w:i w:val="0"/>
          <w:color w:val="111111"/>
        </w:rPr>
        <w:t xml:space="preserve"> No interval published because one fenced feature lies outside calibration range. Point estimate may still exist.</w:t>
      </w:r>
    </w:p>
    <w:p>
      <w:pPr>
        <w:pStyle w:val="Heading1"/>
        <w:keepNext/>
        <w:pageBreakBefore/>
      </w:pPr>
      <w:r>
        <w:t>Appendix B. Current version map</w:t>
      </w:r>
    </w:p>
    <w:tbl>
      <w:tblPr>
        <w:tblW w:type="dxa" w:w="9360"/>
        <w:jc w:val="left"/>
        <w:tblLayout w:type="fixed"/>
        <w:tblLook w:firstColumn="1" w:firstRow="1" w:lastColumn="0" w:lastRow="0" w:noHBand="0" w:noVBand="1" w:val="04A0"/>
        <w:tblInd w:w="120" w:type="dxa"/>
        <w:tblBorders>
          <w:top w:val="single" w:sz="6" w:space="0" w:color="D7DDE4"/>
          <w:left w:val="single" w:sz="6" w:space="0" w:color="D7DDE4"/>
          <w:bottom w:val="single" w:sz="6" w:space="0" w:color="D7DDE4"/>
          <w:right w:val="single" w:sz="6" w:space="0" w:color="D7DDE4"/>
          <w:insideH w:val="single" w:sz="6" w:space="0" w:color="D7DDE4"/>
          <w:insideV w:val="single" w:sz="6" w:space="0" w:color="D7DDE4"/>
        </w:tblBorders>
      </w:tblPr>
      <w:tblGrid>
        <w:gridCol w:w="2500"/>
        <w:gridCol w:w="3200"/>
        <w:gridCol w:w="3660"/>
      </w:tblGrid>
      <w:tr>
        <w:trPr>
          <w:tblHeader w:val="true"/>
        </w:trPr>
        <w:tc>
          <w:tcPr>
            <w:tcW w:type="dxa" w:w="2500"/>
            <w:shd w:fill="E8EEF5"/>
            <w:tcMar>
              <w:top w:w="80" w:type="dxa"/>
              <w:start w:w="120" w:type="dxa"/>
              <w:bottom w:w="80" w:type="dxa"/>
              <w:end w:w="120" w:type="dxa"/>
            </w:tcMar>
            <w:vAlign w:val="center"/>
          </w:tcPr>
          <w:p>
            <w:pPr>
              <w:spacing w:after="0"/>
              <w:jc w:val="center"/>
            </w:pPr>
            <w:r>
              <w:rPr>
                <w:rFonts w:ascii="Calibri" w:hAnsi="Calibri"/>
                <w:b/>
                <w:color w:val="16324F"/>
                <w:sz w:val="17"/>
              </w:rPr>
              <w:t>Component</w:t>
            </w:r>
          </w:p>
        </w:tc>
        <w:tc>
          <w:tcPr>
            <w:tcW w:type="dxa" w:w="3200"/>
            <w:shd w:fill="E8EEF5"/>
            <w:tcMar>
              <w:top w:w="80" w:type="dxa"/>
              <w:start w:w="120" w:type="dxa"/>
              <w:bottom w:w="80" w:type="dxa"/>
              <w:end w:w="120" w:type="dxa"/>
            </w:tcMar>
            <w:vAlign w:val="center"/>
          </w:tcPr>
          <w:p>
            <w:pPr>
              <w:spacing w:after="0"/>
              <w:jc w:val="center"/>
            </w:pPr>
            <w:r>
              <w:rPr>
                <w:rFonts w:ascii="Calibri" w:hAnsi="Calibri"/>
                <w:b/>
                <w:color w:val="16324F"/>
                <w:sz w:val="17"/>
              </w:rPr>
              <w:t>Current relevant version</w:t>
            </w:r>
          </w:p>
        </w:tc>
        <w:tc>
          <w:tcPr>
            <w:tcW w:type="dxa" w:w="3660"/>
            <w:shd w:fill="E8EEF5"/>
            <w:tcMar>
              <w:top w:w="80" w:type="dxa"/>
              <w:start w:w="120" w:type="dxa"/>
              <w:bottom w:w="80" w:type="dxa"/>
              <w:end w:w="120" w:type="dxa"/>
            </w:tcMar>
            <w:vAlign w:val="center"/>
          </w:tcPr>
          <w:p>
            <w:pPr>
              <w:spacing w:after="0"/>
              <w:jc w:val="center"/>
            </w:pPr>
            <w:r>
              <w:rPr>
                <w:rFonts w:ascii="Calibri" w:hAnsi="Calibri"/>
                <w:b/>
                <w:color w:val="16324F"/>
                <w:sz w:val="17"/>
              </w:rPr>
              <w:t>Role</w:t>
            </w:r>
          </w:p>
        </w:tc>
      </w:tr>
      <w:tr>
        <w:tc>
          <w:tcPr>
            <w:tcW w:type="dxa" w:w="2500"/>
            <w:tcMar>
              <w:top w:w="80" w:type="dxa"/>
              <w:start w:w="120" w:type="dxa"/>
              <w:bottom w:w="80" w:type="dxa"/>
              <w:end w:w="120" w:type="dxa"/>
            </w:tcMar>
            <w:vAlign w:val="center"/>
          </w:tcPr>
          <w:p>
            <w:pPr>
              <w:spacing w:after="0" w:line="259" w:lineRule="auto"/>
              <w:jc w:val="left"/>
            </w:pPr>
            <w:r>
              <w:rPr>
                <w:rFonts w:ascii="Calibri" w:hAnsi="Calibri"/>
                <w:color w:val="111111"/>
                <w:sz w:val="17"/>
              </w:rPr>
              <w:t>Simulator package</w:t>
            </w:r>
          </w:p>
        </w:tc>
        <w:tc>
          <w:tcPr>
            <w:tcW w:type="dxa" w:w="3200"/>
            <w:tcMar>
              <w:top w:w="80" w:type="dxa"/>
              <w:start w:w="120" w:type="dxa"/>
              <w:bottom w:w="80" w:type="dxa"/>
              <w:end w:w="120" w:type="dxa"/>
            </w:tcMar>
            <w:vAlign w:val="center"/>
          </w:tcPr>
          <w:p>
            <w:pPr>
              <w:spacing w:after="0" w:line="259" w:lineRule="auto"/>
              <w:jc w:val="center"/>
            </w:pPr>
            <w:r>
              <w:rPr>
                <w:rFonts w:ascii="Calibri" w:hAnsi="Calibri"/>
                <w:color w:val="111111"/>
                <w:sz w:val="17"/>
              </w:rPr>
              <w:t>0.8.0</w:t>
            </w:r>
          </w:p>
        </w:tc>
        <w:tc>
          <w:tcPr>
            <w:tcW w:type="dxa" w:w="3660"/>
            <w:tcMar>
              <w:top w:w="80" w:type="dxa"/>
              <w:start w:w="120" w:type="dxa"/>
              <w:bottom w:w="80" w:type="dxa"/>
              <w:end w:w="120" w:type="dxa"/>
            </w:tcMar>
            <w:vAlign w:val="center"/>
          </w:tcPr>
          <w:p>
            <w:pPr>
              <w:spacing w:after="0" w:line="259" w:lineRule="auto"/>
              <w:jc w:val="left"/>
            </w:pPr>
            <w:r>
              <w:rPr>
                <w:rFonts w:ascii="Calibri" w:hAnsi="Calibri"/>
                <w:color w:val="111111"/>
                <w:sz w:val="17"/>
              </w:rPr>
              <w:t>Single-run financial world and contract 1.6 behavior</w:t>
            </w:r>
          </w:p>
        </w:tc>
      </w:tr>
      <w:tr>
        <w:tc>
          <w:tcPr>
            <w:tcW w:type="dxa" w:w="2500"/>
            <w:tcMar>
              <w:top w:w="80" w:type="dxa"/>
              <w:start w:w="120" w:type="dxa"/>
              <w:bottom w:w="80" w:type="dxa"/>
              <w:end w:w="120" w:type="dxa"/>
            </w:tcMar>
            <w:vAlign w:val="center"/>
          </w:tcPr>
          <w:p>
            <w:pPr>
              <w:spacing w:after="0" w:line="259" w:lineRule="auto"/>
              <w:jc w:val="left"/>
            </w:pPr>
            <w:r>
              <w:rPr>
                <w:rFonts w:ascii="Calibri" w:hAnsi="Calibri"/>
                <w:color w:val="111111"/>
                <w:sz w:val="17"/>
              </w:rPr>
              <w:t>Batch orchestrator</w:t>
            </w:r>
          </w:p>
        </w:tc>
        <w:tc>
          <w:tcPr>
            <w:tcW w:type="dxa" w:w="3200"/>
            <w:tcMar>
              <w:top w:w="80" w:type="dxa"/>
              <w:start w:w="120" w:type="dxa"/>
              <w:bottom w:w="80" w:type="dxa"/>
              <w:end w:w="120" w:type="dxa"/>
            </w:tcMar>
            <w:vAlign w:val="center"/>
          </w:tcPr>
          <w:p>
            <w:pPr>
              <w:spacing w:after="0" w:line="259" w:lineRule="auto"/>
              <w:jc w:val="center"/>
            </w:pPr>
            <w:r>
              <w:rPr>
                <w:rFonts w:ascii="Calibri" w:hAnsi="Calibri"/>
                <w:color w:val="111111"/>
                <w:sz w:val="17"/>
              </w:rPr>
              <w:t>0.7.0</w:t>
            </w:r>
          </w:p>
        </w:tc>
        <w:tc>
          <w:tcPr>
            <w:tcW w:type="dxa" w:w="3660"/>
            <w:tcMar>
              <w:top w:w="80" w:type="dxa"/>
              <w:start w:w="120" w:type="dxa"/>
              <w:bottom w:w="80" w:type="dxa"/>
              <w:end w:w="120" w:type="dxa"/>
            </w:tcMar>
            <w:vAlign w:val="center"/>
          </w:tcPr>
          <w:p>
            <w:pPr>
              <w:spacing w:after="0" w:line="259" w:lineRule="auto"/>
              <w:jc w:val="left"/>
            </w:pPr>
            <w:r>
              <w:rPr>
                <w:rFonts w:ascii="Calibri" w:hAnsi="Calibri"/>
                <w:color w:val="111111"/>
                <w:sz w:val="17"/>
              </w:rPr>
              <w:t>Deterministic populations, Parquet, evaluation</w:t>
            </w:r>
          </w:p>
        </w:tc>
      </w:tr>
      <w:tr>
        <w:tc>
          <w:tcPr>
            <w:tcW w:type="dxa" w:w="2500"/>
            <w:tcMar>
              <w:top w:w="80" w:type="dxa"/>
              <w:start w:w="120" w:type="dxa"/>
              <w:bottom w:w="80" w:type="dxa"/>
              <w:end w:w="120" w:type="dxa"/>
            </w:tcMar>
            <w:vAlign w:val="center"/>
          </w:tcPr>
          <w:p>
            <w:pPr>
              <w:spacing w:after="0" w:line="259" w:lineRule="auto"/>
              <w:jc w:val="left"/>
            </w:pPr>
            <w:r>
              <w:rPr>
                <w:rFonts w:ascii="Calibri" w:hAnsi="Calibri"/>
                <w:color w:val="111111"/>
                <w:sz w:val="17"/>
              </w:rPr>
              <w:t>Estimator package</w:t>
            </w:r>
          </w:p>
        </w:tc>
        <w:tc>
          <w:tcPr>
            <w:tcW w:type="dxa" w:w="3200"/>
            <w:tcMar>
              <w:top w:w="80" w:type="dxa"/>
              <w:start w:w="120" w:type="dxa"/>
              <w:bottom w:w="80" w:type="dxa"/>
              <w:end w:w="120" w:type="dxa"/>
            </w:tcMar>
            <w:vAlign w:val="center"/>
          </w:tcPr>
          <w:p>
            <w:pPr>
              <w:spacing w:after="0" w:line="259" w:lineRule="auto"/>
              <w:jc w:val="center"/>
            </w:pPr>
            <w:r>
              <w:rPr>
                <w:rFonts w:ascii="Calibri" w:hAnsi="Calibri"/>
                <w:color w:val="111111"/>
                <w:sz w:val="17"/>
              </w:rPr>
              <w:t>0.8.0</w:t>
            </w:r>
          </w:p>
        </w:tc>
        <w:tc>
          <w:tcPr>
            <w:tcW w:type="dxa" w:w="3660"/>
            <w:tcMar>
              <w:top w:w="80" w:type="dxa"/>
              <w:start w:w="120" w:type="dxa"/>
              <w:bottom w:w="80" w:type="dxa"/>
              <w:end w:w="120" w:type="dxa"/>
            </w:tcMar>
            <w:vAlign w:val="center"/>
          </w:tcPr>
          <w:p>
            <w:pPr>
              <w:spacing w:after="0" w:line="259" w:lineRule="auto"/>
              <w:jc w:val="left"/>
            </w:pPr>
            <w:r>
              <w:rPr>
                <w:rFonts w:ascii="Calibri" w:hAnsi="Calibri"/>
                <w:color w:val="111111"/>
                <w:sz w:val="17"/>
              </w:rPr>
              <w:t>Runtime package metadata</w:t>
            </w:r>
          </w:p>
        </w:tc>
      </w:tr>
      <w:tr>
        <w:tc>
          <w:tcPr>
            <w:tcW w:type="dxa" w:w="2500"/>
            <w:tcMar>
              <w:top w:w="80" w:type="dxa"/>
              <w:start w:w="120" w:type="dxa"/>
              <w:bottom w:w="80" w:type="dxa"/>
              <w:end w:w="120" w:type="dxa"/>
            </w:tcMar>
            <w:vAlign w:val="center"/>
          </w:tcPr>
          <w:p>
            <w:pPr>
              <w:spacing w:after="0" w:line="259" w:lineRule="auto"/>
              <w:jc w:val="left"/>
            </w:pPr>
            <w:r>
              <w:rPr>
                <w:rFonts w:ascii="Calibri" w:hAnsi="Calibri"/>
                <w:color w:val="111111"/>
                <w:sz w:val="17"/>
              </w:rPr>
              <w:t>Realized estimator</w:t>
            </w:r>
          </w:p>
        </w:tc>
        <w:tc>
          <w:tcPr>
            <w:tcW w:type="dxa" w:w="3200"/>
            <w:tcMar>
              <w:top w:w="80" w:type="dxa"/>
              <w:start w:w="120" w:type="dxa"/>
              <w:bottom w:w="80" w:type="dxa"/>
              <w:end w:w="120" w:type="dxa"/>
            </w:tcMar>
            <w:vAlign w:val="center"/>
          </w:tcPr>
          <w:p>
            <w:pPr>
              <w:spacing w:after="0" w:line="259" w:lineRule="auto"/>
              <w:jc w:val="left"/>
            </w:pPr>
            <w:r>
              <w:rPr>
                <w:rFonts w:ascii="Calibri" w:hAnsi="Calibri"/>
                <w:color w:val="111111"/>
                <w:sz w:val="17"/>
              </w:rPr>
              <w:t>recurring-streams-0.2.0</w:t>
            </w:r>
          </w:p>
        </w:tc>
        <w:tc>
          <w:tcPr>
            <w:tcW w:type="dxa" w:w="3660"/>
            <w:tcMar>
              <w:top w:w="80" w:type="dxa"/>
              <w:start w:w="120" w:type="dxa"/>
              <w:bottom w:w="80" w:type="dxa"/>
              <w:end w:w="120" w:type="dxa"/>
            </w:tcMar>
            <w:vAlign w:val="center"/>
          </w:tcPr>
          <w:p>
            <w:pPr>
              <w:spacing w:after="0" w:line="259" w:lineRule="auto"/>
              <w:jc w:val="left"/>
            </w:pPr>
            <w:r>
              <w:rPr>
                <w:rFonts w:ascii="Calibri" w:hAnsi="Calibri"/>
                <w:color w:val="111111"/>
                <w:sz w:val="17"/>
              </w:rPr>
              <w:t>Default realized-income reconstruction</w:t>
            </w:r>
          </w:p>
        </w:tc>
      </w:tr>
      <w:tr>
        <w:tc>
          <w:tcPr>
            <w:tcW w:type="dxa" w:w="2500"/>
            <w:tcMar>
              <w:top w:w="80" w:type="dxa"/>
              <w:start w:w="120" w:type="dxa"/>
              <w:bottom w:w="80" w:type="dxa"/>
              <w:end w:w="120" w:type="dxa"/>
            </w:tcMar>
            <w:vAlign w:val="center"/>
          </w:tcPr>
          <w:p>
            <w:pPr>
              <w:spacing w:after="0" w:line="259" w:lineRule="auto"/>
              <w:jc w:val="left"/>
            </w:pPr>
            <w:r>
              <w:rPr>
                <w:rFonts w:ascii="Calibri" w:hAnsi="Calibri"/>
                <w:color w:val="111111"/>
                <w:sz w:val="17"/>
              </w:rPr>
              <w:t>Feature set</w:t>
            </w:r>
          </w:p>
        </w:tc>
        <w:tc>
          <w:tcPr>
            <w:tcW w:type="dxa" w:w="3200"/>
            <w:tcMar>
              <w:top w:w="80" w:type="dxa"/>
              <w:start w:w="120" w:type="dxa"/>
              <w:bottom w:w="80" w:type="dxa"/>
              <w:end w:w="120" w:type="dxa"/>
            </w:tcMar>
            <w:vAlign w:val="center"/>
          </w:tcPr>
          <w:p>
            <w:pPr>
              <w:spacing w:after="0" w:line="259" w:lineRule="auto"/>
              <w:jc w:val="left"/>
            </w:pPr>
            <w:r>
              <w:rPr>
                <w:rFonts w:ascii="Calibri" w:hAnsi="Calibri"/>
                <w:color w:val="111111"/>
                <w:sz w:val="17"/>
              </w:rPr>
              <w:t>customer-month-features-1.2.0</w:t>
            </w:r>
          </w:p>
        </w:tc>
        <w:tc>
          <w:tcPr>
            <w:tcW w:type="dxa" w:w="3660"/>
            <w:tcMar>
              <w:top w:w="80" w:type="dxa"/>
              <w:start w:w="120" w:type="dxa"/>
              <w:bottom w:w="80" w:type="dxa"/>
              <w:end w:w="120" w:type="dxa"/>
            </w:tcMar>
            <w:vAlign w:val="center"/>
          </w:tcPr>
          <w:p>
            <w:pPr>
              <w:spacing w:after="0" w:line="259" w:lineRule="auto"/>
              <w:jc w:val="left"/>
            </w:pPr>
            <w:r>
              <w:rPr>
                <w:rFonts w:ascii="Calibri" w:hAnsi="Calibri"/>
                <w:color w:val="111111"/>
                <w:sz w:val="17"/>
              </w:rPr>
              <w:t>104 point-in-time features</w:t>
            </w:r>
          </w:p>
        </w:tc>
      </w:tr>
      <w:tr>
        <w:tc>
          <w:tcPr>
            <w:tcW w:type="dxa" w:w="2500"/>
            <w:tcMar>
              <w:top w:w="80" w:type="dxa"/>
              <w:start w:w="120" w:type="dxa"/>
              <w:bottom w:w="80" w:type="dxa"/>
              <w:end w:w="120" w:type="dxa"/>
            </w:tcMar>
            <w:vAlign w:val="center"/>
          </w:tcPr>
          <w:p>
            <w:pPr>
              <w:spacing w:after="0" w:line="259" w:lineRule="auto"/>
              <w:jc w:val="left"/>
            </w:pPr>
            <w:r>
              <w:rPr>
                <w:rFonts w:ascii="Calibri" w:hAnsi="Calibri"/>
                <w:color w:val="111111"/>
                <w:sz w:val="17"/>
              </w:rPr>
              <w:t>Capacity model</w:t>
            </w:r>
          </w:p>
        </w:tc>
        <w:tc>
          <w:tcPr>
            <w:tcW w:type="dxa" w:w="3200"/>
            <w:tcMar>
              <w:top w:w="80" w:type="dxa"/>
              <w:start w:w="120" w:type="dxa"/>
              <w:bottom w:w="80" w:type="dxa"/>
              <w:end w:w="120" w:type="dxa"/>
            </w:tcMar>
            <w:vAlign w:val="center"/>
          </w:tcPr>
          <w:p>
            <w:pPr>
              <w:spacing w:after="0" w:line="259" w:lineRule="auto"/>
              <w:jc w:val="left"/>
            </w:pPr>
            <w:r>
              <w:rPr>
                <w:rFonts w:ascii="Calibri" w:hAnsi="Calibri"/>
                <w:color w:val="111111"/>
                <w:sz w:val="17"/>
              </w:rPr>
              <w:t>capacity-gbdt-stumps-0.6.0</w:t>
            </w:r>
          </w:p>
        </w:tc>
        <w:tc>
          <w:tcPr>
            <w:tcW w:type="dxa" w:w="3660"/>
            <w:tcMar>
              <w:top w:w="80" w:type="dxa"/>
              <w:start w:w="120" w:type="dxa"/>
              <w:bottom w:w="80" w:type="dxa"/>
              <w:end w:w="120" w:type="dxa"/>
            </w:tcMar>
            <w:vAlign w:val="center"/>
          </w:tcPr>
          <w:p>
            <w:pPr>
              <w:spacing w:after="0" w:line="259" w:lineRule="auto"/>
              <w:jc w:val="left"/>
            </w:pPr>
            <w:r>
              <w:rPr>
                <w:rFonts w:ascii="Calibri" w:hAnsi="Calibri"/>
                <w:color w:val="111111"/>
                <w:sz w:val="17"/>
              </w:rPr>
              <w:t>Sustainable-income point prediction</w:t>
            </w:r>
          </w:p>
        </w:tc>
      </w:tr>
      <w:tr>
        <w:tc>
          <w:tcPr>
            <w:tcW w:type="dxa" w:w="2500"/>
            <w:tcMar>
              <w:top w:w="80" w:type="dxa"/>
              <w:start w:w="120" w:type="dxa"/>
              <w:bottom w:w="80" w:type="dxa"/>
              <w:end w:w="120" w:type="dxa"/>
            </w:tcMar>
            <w:vAlign w:val="center"/>
          </w:tcPr>
          <w:p>
            <w:pPr>
              <w:spacing w:after="0" w:line="259" w:lineRule="auto"/>
              <w:jc w:val="left"/>
            </w:pPr>
            <w:r>
              <w:rPr>
                <w:rFonts w:ascii="Calibri" w:hAnsi="Calibri"/>
                <w:color w:val="111111"/>
                <w:sz w:val="17"/>
              </w:rPr>
              <w:t>Ensemble</w:t>
            </w:r>
          </w:p>
        </w:tc>
        <w:tc>
          <w:tcPr>
            <w:tcW w:type="dxa" w:w="3200"/>
            <w:tcMar>
              <w:top w:w="80" w:type="dxa"/>
              <w:start w:w="120" w:type="dxa"/>
              <w:bottom w:w="80" w:type="dxa"/>
              <w:end w:w="120" w:type="dxa"/>
            </w:tcMar>
            <w:vAlign w:val="center"/>
          </w:tcPr>
          <w:p>
            <w:pPr>
              <w:spacing w:after="0" w:line="259" w:lineRule="auto"/>
              <w:jc w:val="left"/>
            </w:pPr>
            <w:r>
              <w:rPr>
                <w:rFonts w:ascii="Calibri" w:hAnsi="Calibri"/>
                <w:color w:val="111111"/>
                <w:sz w:val="17"/>
              </w:rPr>
              <w:t>deterministic-routing-0.6.0</w:t>
            </w:r>
          </w:p>
        </w:tc>
        <w:tc>
          <w:tcPr>
            <w:tcW w:type="dxa" w:w="3660"/>
            <w:tcMar>
              <w:top w:w="80" w:type="dxa"/>
              <w:start w:w="120" w:type="dxa"/>
              <w:bottom w:w="80" w:type="dxa"/>
              <w:end w:w="120" w:type="dxa"/>
            </w:tcMar>
            <w:vAlign w:val="center"/>
          </w:tcPr>
          <w:p>
            <w:pPr>
              <w:spacing w:after="0" w:line="259" w:lineRule="auto"/>
              <w:jc w:val="left"/>
            </w:pPr>
            <w:r>
              <w:rPr>
                <w:rFonts w:ascii="Calibri" w:hAnsi="Calibri"/>
                <w:color w:val="111111"/>
                <w:sz w:val="17"/>
              </w:rPr>
              <w:t>Target-aware routing and confidence</w:t>
            </w:r>
          </w:p>
        </w:tc>
      </w:tr>
      <w:tr>
        <w:tc>
          <w:tcPr>
            <w:tcW w:type="dxa" w:w="2500"/>
            <w:tcMar>
              <w:top w:w="80" w:type="dxa"/>
              <w:start w:w="120" w:type="dxa"/>
              <w:bottom w:w="80" w:type="dxa"/>
              <w:end w:w="120" w:type="dxa"/>
            </w:tcMar>
            <w:vAlign w:val="center"/>
          </w:tcPr>
          <w:p>
            <w:pPr>
              <w:spacing w:after="0" w:line="259" w:lineRule="auto"/>
              <w:jc w:val="left"/>
            </w:pPr>
            <w:r>
              <w:rPr>
                <w:rFonts w:ascii="Calibri" w:hAnsi="Calibri"/>
                <w:color w:val="111111"/>
                <w:sz w:val="17"/>
              </w:rPr>
              <w:t>Interval model</w:t>
            </w:r>
          </w:p>
        </w:tc>
        <w:tc>
          <w:tcPr>
            <w:tcW w:type="dxa" w:w="3200"/>
            <w:tcMar>
              <w:top w:w="80" w:type="dxa"/>
              <w:start w:w="120" w:type="dxa"/>
              <w:bottom w:w="80" w:type="dxa"/>
              <w:end w:w="120" w:type="dxa"/>
            </w:tcMar>
            <w:vAlign w:val="center"/>
          </w:tcPr>
          <w:p>
            <w:pPr>
              <w:spacing w:after="0" w:line="259" w:lineRule="auto"/>
              <w:jc w:val="left"/>
            </w:pPr>
            <w:r>
              <w:rPr>
                <w:rFonts w:ascii="Calibri" w:hAnsi="Calibri"/>
                <w:color w:val="111111"/>
                <w:sz w:val="17"/>
              </w:rPr>
              <w:t>conditional-selector-intervals-0.11.0</w:t>
            </w:r>
          </w:p>
        </w:tc>
        <w:tc>
          <w:tcPr>
            <w:tcW w:type="dxa" w:w="3660"/>
            <w:tcMar>
              <w:top w:w="80" w:type="dxa"/>
              <w:start w:w="120" w:type="dxa"/>
              <w:bottom w:w="80" w:type="dxa"/>
              <w:end w:w="120" w:type="dxa"/>
            </w:tcMar>
            <w:vAlign w:val="center"/>
          </w:tcPr>
          <w:p>
            <w:pPr>
              <w:spacing w:after="0" w:line="259" w:lineRule="auto"/>
              <w:jc w:val="left"/>
            </w:pPr>
            <w:r>
              <w:rPr>
                <w:rFonts w:ascii="Calibri" w:hAnsi="Calibri"/>
                <w:color w:val="111111"/>
                <w:sz w:val="17"/>
              </w:rPr>
              <w:t>Promoted sustainable P10/P90 or abstention</w:t>
            </w:r>
          </w:p>
        </w:tc>
      </w:tr>
      <w:tr>
        <w:tc>
          <w:tcPr>
            <w:tcW w:type="dxa" w:w="2500"/>
            <w:tcMar>
              <w:top w:w="80" w:type="dxa"/>
              <w:start w:w="120" w:type="dxa"/>
              <w:bottom w:w="80" w:type="dxa"/>
              <w:end w:w="120" w:type="dxa"/>
            </w:tcMar>
            <w:vAlign w:val="center"/>
          </w:tcPr>
          <w:p>
            <w:pPr>
              <w:spacing w:after="0" w:line="259" w:lineRule="auto"/>
              <w:jc w:val="left"/>
            </w:pPr>
            <w:r>
              <w:rPr>
                <w:rFonts w:ascii="Calibri" w:hAnsi="Calibri"/>
                <w:color w:val="111111"/>
                <w:sz w:val="17"/>
              </w:rPr>
              <w:t>Explanation contract</w:t>
            </w:r>
          </w:p>
        </w:tc>
        <w:tc>
          <w:tcPr>
            <w:tcW w:type="dxa" w:w="3200"/>
            <w:tcMar>
              <w:top w:w="80" w:type="dxa"/>
              <w:start w:w="120" w:type="dxa"/>
              <w:bottom w:w="80" w:type="dxa"/>
              <w:end w:w="120" w:type="dxa"/>
            </w:tcMar>
            <w:vAlign w:val="center"/>
          </w:tcPr>
          <w:p>
            <w:pPr>
              <w:spacing w:after="0" w:line="259" w:lineRule="auto"/>
              <w:jc w:val="center"/>
            </w:pPr>
            <w:r>
              <w:rPr>
                <w:rFonts w:ascii="Calibri" w:hAnsi="Calibri"/>
                <w:color w:val="111111"/>
                <w:sz w:val="17"/>
              </w:rPr>
              <w:t>1.0</w:t>
            </w:r>
          </w:p>
        </w:tc>
        <w:tc>
          <w:tcPr>
            <w:tcW w:type="dxa" w:w="3660"/>
            <w:tcMar>
              <w:top w:w="80" w:type="dxa"/>
              <w:start w:w="120" w:type="dxa"/>
              <w:bottom w:w="80" w:type="dxa"/>
              <w:end w:w="120" w:type="dxa"/>
            </w:tcMar>
            <w:vAlign w:val="center"/>
          </w:tcPr>
          <w:p>
            <w:pPr>
              <w:spacing w:after="0" w:line="259" w:lineRule="auto"/>
              <w:jc w:val="left"/>
            </w:pPr>
            <w:r>
              <w:rPr>
                <w:rFonts w:ascii="Calibri" w:hAnsi="Calibri"/>
                <w:color w:val="111111"/>
                <w:sz w:val="17"/>
              </w:rPr>
              <w:t>Evidence and exact contribution report</w:t>
            </w:r>
          </w:p>
        </w:tc>
      </w:tr>
      <w:tr>
        <w:tc>
          <w:tcPr>
            <w:tcW w:type="dxa" w:w="2500"/>
            <w:tcMar>
              <w:top w:w="80" w:type="dxa"/>
              <w:start w:w="120" w:type="dxa"/>
              <w:bottom w:w="80" w:type="dxa"/>
              <w:end w:w="120" w:type="dxa"/>
            </w:tcMar>
            <w:vAlign w:val="center"/>
          </w:tcPr>
          <w:p>
            <w:pPr>
              <w:spacing w:after="0" w:line="259" w:lineRule="auto"/>
              <w:jc w:val="left"/>
            </w:pPr>
            <w:r>
              <w:rPr>
                <w:rFonts w:ascii="Calibri" w:hAnsi="Calibri"/>
                <w:color w:val="111111"/>
                <w:sz w:val="17"/>
              </w:rPr>
              <w:t>Estimator input/output</w:t>
            </w:r>
          </w:p>
        </w:tc>
        <w:tc>
          <w:tcPr>
            <w:tcW w:type="dxa" w:w="3200"/>
            <w:tcMar>
              <w:top w:w="80" w:type="dxa"/>
              <w:start w:w="120" w:type="dxa"/>
              <w:bottom w:w="80" w:type="dxa"/>
              <w:end w:w="120" w:type="dxa"/>
            </w:tcMar>
            <w:vAlign w:val="center"/>
          </w:tcPr>
          <w:p>
            <w:pPr>
              <w:spacing w:after="0" w:line="259" w:lineRule="auto"/>
              <w:jc w:val="center"/>
            </w:pPr>
            <w:r>
              <w:rPr>
                <w:rFonts w:ascii="Calibri" w:hAnsi="Calibri"/>
                <w:color w:val="111111"/>
                <w:sz w:val="17"/>
              </w:rPr>
              <w:t>1.2 / 1.1</w:t>
            </w:r>
          </w:p>
        </w:tc>
        <w:tc>
          <w:tcPr>
            <w:tcW w:type="dxa" w:w="3660"/>
            <w:tcMar>
              <w:top w:w="80" w:type="dxa"/>
              <w:start w:w="120" w:type="dxa"/>
              <w:bottom w:w="80" w:type="dxa"/>
              <w:end w:w="120" w:type="dxa"/>
            </w:tcMar>
            <w:vAlign w:val="center"/>
          </w:tcPr>
          <w:p>
            <w:pPr>
              <w:spacing w:after="0" w:line="259" w:lineRule="auto"/>
              <w:jc w:val="left"/>
            </w:pPr>
            <w:r>
              <w:rPr>
                <w:rFonts w:ascii="Calibri" w:hAnsi="Calibri"/>
                <w:color w:val="111111"/>
                <w:sz w:val="17"/>
              </w:rPr>
              <w:t>Observed product data / routed estimate envelope</w:t>
            </w:r>
          </w:p>
        </w:tc>
      </w:tr>
    </w:tbl>
    <w:p>
      <w:pPr>
        <w:spacing w:after="40"/>
      </w:pPr>
    </w:p>
    <w:p>
      <w:pPr>
        <w:pStyle w:val="Heading1"/>
        <w:keepNext/>
        <w:pageBreakBefore/>
      </w:pPr>
      <w:r>
        <w:t>Appendix C. Repository evidence</w:t>
      </w:r>
    </w:p>
    <w:p>
      <w:pPr>
        <w:keepLines w:val="0"/>
        <w:spacing w:after="120" w:line="300" w:lineRule="auto"/>
      </w:pPr>
      <w:r>
        <w:rPr>
          <w:rFonts w:ascii="Calibri" w:hAnsi="Calibri"/>
          <w:b/>
          <w:color w:val="111111"/>
        </w:rPr>
        <w:t>Project purpose:</w:t>
      </w:r>
      <w:r>
        <w:rPr>
          <w:rFonts w:ascii="Calibri" w:hAnsi="Calibri"/>
          <w:i w:val="0"/>
          <w:color w:val="111111"/>
        </w:rPr>
        <w:t xml:space="preserve"> README.md</w:t>
      </w:r>
    </w:p>
    <w:p>
      <w:pPr>
        <w:keepLines w:val="0"/>
        <w:spacing w:after="120" w:line="300" w:lineRule="auto"/>
      </w:pPr>
      <w:r>
        <w:rPr>
          <w:rFonts w:ascii="Calibri" w:hAnsi="Calibri"/>
          <w:b/>
          <w:color w:val="111111"/>
        </w:rPr>
        <w:t>Simulator architecture and phases:</w:t>
      </w:r>
      <w:r>
        <w:rPr>
          <w:rFonts w:ascii="Calibri" w:hAnsi="Calibri"/>
          <w:i w:val="0"/>
          <w:color w:val="111111"/>
        </w:rPr>
        <w:t xml:space="preserve"> docs/implementation-plan.md</w:t>
      </w:r>
    </w:p>
    <w:p>
      <w:pPr>
        <w:keepLines w:val="0"/>
        <w:spacing w:after="120" w:line="300" w:lineRule="auto"/>
      </w:pPr>
      <w:r>
        <w:rPr>
          <w:rFonts w:ascii="Calibri" w:hAnsi="Calibri"/>
          <w:b/>
          <w:color w:val="111111"/>
        </w:rPr>
        <w:t>Estimator targets, architecture, and milestones:</w:t>
      </w:r>
      <w:r>
        <w:rPr>
          <w:rFonts w:ascii="Calibri" w:hAnsi="Calibri"/>
          <w:i w:val="0"/>
          <w:color w:val="111111"/>
        </w:rPr>
        <w:t xml:space="preserve"> docs/estimator-implementation-plan.md</w:t>
      </w:r>
    </w:p>
    <w:p>
      <w:pPr>
        <w:keepLines w:val="0"/>
        <w:spacing w:after="120" w:line="300" w:lineRule="auto"/>
      </w:pPr>
      <w:r>
        <w:rPr>
          <w:rFonts w:ascii="Calibri" w:hAnsi="Calibri"/>
          <w:b/>
          <w:color w:val="111111"/>
        </w:rPr>
        <w:t>Promoted interval decision and known limits:</w:t>
      </w:r>
      <w:r>
        <w:rPr>
          <w:rFonts w:ascii="Calibri" w:hAnsi="Calibri"/>
          <w:i w:val="0"/>
          <w:color w:val="111111"/>
        </w:rPr>
        <w:t xml:space="preserve"> docs/adr/0008-conditional-selector-promotion-and-abstention.md</w:t>
      </w:r>
    </w:p>
    <w:p>
      <w:pPr>
        <w:keepLines w:val="0"/>
        <w:spacing w:after="120" w:line="300" w:lineRule="auto"/>
      </w:pPr>
      <w:r>
        <w:rPr>
          <w:rFonts w:ascii="Calibri" w:hAnsi="Calibri"/>
          <w:b/>
          <w:color w:val="111111"/>
        </w:rPr>
        <w:t>Model behavior and intended use:</w:t>
      </w:r>
      <w:r>
        <w:rPr>
          <w:rFonts w:ascii="Calibri" w:hAnsi="Calibri"/>
          <w:i w:val="0"/>
          <w:color w:val="111111"/>
        </w:rPr>
        <w:t xml:space="preserve"> estimator/docs/model-cards.md</w:t>
      </w:r>
    </w:p>
    <w:p>
      <w:pPr>
        <w:keepLines w:val="0"/>
        <w:spacing w:after="120" w:line="300" w:lineRule="auto"/>
      </w:pPr>
      <w:r>
        <w:rPr>
          <w:rFonts w:ascii="Calibri" w:hAnsi="Calibri"/>
          <w:b/>
          <w:color w:val="111111"/>
        </w:rPr>
        <w:t>Capacity metrics:</w:t>
      </w:r>
      <w:r>
        <w:rPr>
          <w:rFonts w:ascii="Calibri" w:hAnsi="Calibri"/>
          <w:i w:val="0"/>
          <w:color w:val="111111"/>
        </w:rPr>
        <w:t xml:space="preserve"> estimator/training/artifacts/capacity-estimator-0.6.0-report.json</w:t>
      </w:r>
    </w:p>
    <w:p>
      <w:pPr>
        <w:keepLines w:val="0"/>
        <w:spacing w:after="120" w:line="300" w:lineRule="auto"/>
      </w:pPr>
      <w:r>
        <w:rPr>
          <w:rFonts w:ascii="Calibri" w:hAnsi="Calibri"/>
          <w:b/>
          <w:color w:val="111111"/>
        </w:rPr>
        <w:t>0.11 validation metrics:</w:t>
      </w:r>
      <w:r>
        <w:rPr>
          <w:rFonts w:ascii="Calibri" w:hAnsi="Calibri"/>
          <w:i w:val="0"/>
          <w:color w:val="111111"/>
        </w:rPr>
        <w:t xml:space="preserve"> estimator/training/artifacts/quantile-calibration-0.11.0-report.json</w:t>
      </w:r>
    </w:p>
    <w:p>
      <w:pPr>
        <w:keepLines w:val="0"/>
        <w:spacing w:after="120" w:line="300" w:lineRule="auto"/>
      </w:pPr>
      <w:r>
        <w:rPr>
          <w:rFonts w:ascii="Calibri" w:hAnsi="Calibri"/>
          <w:b/>
          <w:color w:val="111111"/>
        </w:rPr>
        <w:t>Release lockbox metrics:</w:t>
      </w:r>
      <w:r>
        <w:rPr>
          <w:rFonts w:ascii="Calibri" w:hAnsi="Calibri"/>
          <w:i w:val="0"/>
          <w:color w:val="111111"/>
        </w:rPr>
        <w:t xml:space="preserve"> estimator/training/artifacts/lockbox-conditional-selector-intervals-0.11.0-report.json</w:t>
      </w:r>
    </w:p>
    <w:p>
      <w:pPr>
        <w:keepLines w:val="0"/>
        <w:spacing w:after="120" w:line="300" w:lineRule="auto"/>
      </w:pPr>
      <w:r>
        <w:rPr>
          <w:rFonts w:ascii="Calibri" w:hAnsi="Calibri"/>
          <w:b/>
          <w:color w:val="111111"/>
        </w:rPr>
        <w:t>Runtime routing and confidence:</w:t>
      </w:r>
      <w:r>
        <w:rPr>
          <w:rFonts w:ascii="Calibri" w:hAnsi="Calibri"/>
          <w:i w:val="0"/>
          <w:color w:val="111111"/>
        </w:rPr>
        <w:t xml:space="preserve"> estimator/src/income_estimator/models/ensemble.py</w:t>
      </w:r>
    </w:p>
    <w:p>
      <w:pPr>
        <w:keepLines w:val="0"/>
        <w:spacing w:after="120" w:line="300" w:lineRule="auto"/>
      </w:pPr>
      <w:r>
        <w:rPr>
          <w:rFonts w:ascii="Calibri" w:hAnsi="Calibri"/>
          <w:b/>
          <w:color w:val="111111"/>
        </w:rPr>
        <w:t>Output fields:</w:t>
      </w:r>
      <w:r>
        <w:rPr>
          <w:rFonts w:ascii="Calibri" w:hAnsi="Calibri"/>
          <w:i w:val="0"/>
          <w:color w:val="111111"/>
        </w:rPr>
        <w:t xml:space="preserve"> estimator/src/income_estimator/contracts/output_v1_1.py</w:t>
      </w:r>
    </w:p>
    <w:p>
      <w:pPr>
        <w:keepLines w:val="0"/>
        <w:spacing w:after="120" w:line="300" w:lineRule="auto"/>
      </w:pPr>
      <w:r>
        <w:rPr>
          <w:rFonts w:ascii="Calibri" w:hAnsi="Calibri"/>
          <w:i/>
          <w:color w:val="65717E"/>
        </w:rPr>
        <w:t>Additional diagnostic: current 0.11 stress report was regenerated on August 26, 2026 with 20 customers per suite and 12 months. It was used for this study guide but was not committed as a release artifact.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65717E"/>
        <w:sz w:val="18"/>
      </w:rPr>
      <w:t xml:space="preserve">Internal proof of concept  |  Page </w:t>
    </w:r>
    <w:r>
      <w:rPr>
        <w:rFonts w:ascii="Calibri" w:hAnsi="Calibri"/>
        <w:color w:val="65717E"/>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8" w:space="4" w:color="D7DDE4"/>
      </w:pBdr>
    </w:pPr>
    <w:r>
      <w:rPr>
        <w:rFonts w:ascii="Calibri" w:hAnsi="Calibri"/>
        <w:b/>
        <w:color w:val="65717E"/>
        <w:sz w:val="18"/>
      </w:rPr>
      <w:t>Open Finance Income Estimator  |  PoC Results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5717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Finance Income Estimator - PoC Results Study Guide</dc:title>
  <dc:subject>Technical results, methodology, limitations, and presentation preparation</dc:subject>
  <dc:creator>OPFIncomeEstimator project</dc:creator>
  <cp:keywords>Open Finance, income estimation, proof of concept, simulator, uncertainty</cp:keywords>
  <dc:description>Generated from repository evidence; contains synthetic-data results only.</dc:description>
  <cp:lastModifiedBy/>
  <cp:revision>1</cp:revision>
  <dcterms:created xsi:type="dcterms:W3CDTF">2013-12-23T23:15:00Z</dcterms:created>
  <dcterms:modified xsi:type="dcterms:W3CDTF">2013-12-23T23:15:00Z</dcterms:modified>
  <cp:category/>
</cp:coreProperties>
</file>