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378" w:right="0" w:firstLine="0"/>
        <w:jc w:val="left"/>
        <w:rPr>
          <w:rFonts w:ascii="宋体" w:eastAsia="宋体" w:hint="eastAsia"/>
          <w:sz w:val="25"/>
        </w:rPr>
      </w:pPr>
      <w:bookmarkStart w:name="vue 个人使用记录" w:id="1"/>
      <w:bookmarkEnd w:id="1"/>
      <w:r>
        <w:rPr/>
      </w:r>
      <w:r>
        <w:rPr>
          <w:rFonts w:ascii="Palatino Linotype" w:eastAsia="Palatino Linotype"/>
          <w:color w:val="1F0909"/>
          <w:sz w:val="25"/>
        </w:rPr>
        <w:t>vue </w:t>
      </w:r>
      <w:r>
        <w:rPr>
          <w:rFonts w:ascii="宋体" w:eastAsia="宋体" w:hint="eastAsia"/>
          <w:color w:val="1F0909"/>
          <w:sz w:val="25"/>
        </w:rPr>
        <w:t>个人使用记录</w:t>
      </w:r>
    </w:p>
    <w:p>
      <w:pPr>
        <w:pStyle w:val="BodyText"/>
        <w:ind w:left="0"/>
        <w:rPr>
          <w:rFonts w:ascii="宋体"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0.542534pt;margin-top:8.291478pt;width:372.95pt;height:730.1pt;mso-position-horizontal-relative:page;mso-position-vertical-relative:paragraph;z-index:-25165824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line="331" w:lineRule="auto" w:before="25"/>
                    <w:ind w:left="164" w:right="854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1.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使用命令</w:t>
                  </w:r>
                  <w:r>
                    <w:rPr>
                      <w:color w:val="1F0909"/>
                      <w:w w:val="105"/>
                    </w:rPr>
                    <w:t>vue</w:t>
                  </w:r>
                  <w:r>
                    <w:rPr>
                      <w:color w:val="1F0909"/>
                      <w:spacing w:val="-39"/>
                      <w:w w:val="105"/>
                    </w:rPr>
                    <w:t> </w:t>
                  </w:r>
                  <w:r>
                    <w:rPr>
                      <w:color w:val="1F0909"/>
                      <w:w w:val="105"/>
                    </w:rPr>
                    <w:t>create</w:t>
                  </w:r>
                  <w:r>
                    <w:rPr>
                      <w:color w:val="1F0909"/>
                      <w:spacing w:val="-39"/>
                      <w:w w:val="105"/>
                    </w:rPr>
                    <w:t>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项目名称</w:t>
                  </w:r>
                  <w:r>
                    <w:rPr>
                      <w:color w:val="1F0909"/>
                      <w:w w:val="105"/>
                    </w:rPr>
                    <w:t>(</w:t>
                  </w:r>
                  <w:r>
                    <w:rPr>
                      <w:rFonts w:ascii="新宋体" w:eastAsia="新宋体" w:hint="eastAsia"/>
                      <w:color w:val="1F0909"/>
                      <w:spacing w:val="-2"/>
                      <w:w w:val="105"/>
                    </w:rPr>
                    <w:t>不可以使用驼峰命名可以使用 </w:t>
                  </w:r>
                  <w:r>
                    <w:rPr>
                      <w:color w:val="1F0909"/>
                      <w:w w:val="105"/>
                    </w:rPr>
                    <w:t>my-project) 2.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个人使用</w:t>
                  </w:r>
                  <w:r>
                    <w:rPr>
                      <w:color w:val="1F0909"/>
                      <w:w w:val="105"/>
                    </w:rPr>
                    <w:t>vue-cli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搭建项目以及添加的一些自定义配置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77" w:val="left" w:leader="none"/>
                    </w:tabs>
                    <w:spacing w:line="217" w:lineRule="exact" w:before="0" w:after="0"/>
                    <w:ind w:left="376" w:right="0" w:hanging="213"/>
                    <w:jc w:val="left"/>
                  </w:pPr>
                  <w:r>
                    <w:rPr>
                      <w:rFonts w:ascii="新宋体" w:eastAsia="新宋体" w:hint="eastAsia"/>
                      <w:color w:val="1F0909"/>
                      <w:spacing w:val="-1"/>
                      <w:w w:val="105"/>
                    </w:rPr>
                    <w:t>项目一般需要使用到 </w:t>
                  </w:r>
                  <w:r>
                    <w:rPr>
                      <w:color w:val="1F0909"/>
                      <w:w w:val="105"/>
                    </w:rPr>
                    <w:t>vue-router</w:t>
                  </w:r>
                  <w:r>
                    <w:rPr>
                      <w:color w:val="1F0909"/>
                      <w:spacing w:val="-22"/>
                      <w:w w:val="105"/>
                    </w:rPr>
                    <w:t> </w:t>
                  </w:r>
                  <w:r>
                    <w:rPr>
                      <w:color w:val="1F0909"/>
                      <w:w w:val="105"/>
                    </w:rPr>
                    <w:t>vuex</w:t>
                  </w:r>
                  <w:r>
                    <w:rPr>
                      <w:color w:val="1F0909"/>
                      <w:spacing w:val="-22"/>
                      <w:w w:val="105"/>
                    </w:rPr>
                    <w:t> </w:t>
                  </w:r>
                  <w:r>
                    <w:rPr>
                      <w:color w:val="1F0909"/>
                      <w:w w:val="105"/>
                    </w:rPr>
                    <w:t>axios</w:t>
                  </w:r>
                </w:p>
                <w:p>
                  <w:pPr>
                    <w:pStyle w:val="BodyText"/>
                    <w:spacing w:before="82"/>
                    <w:ind w:left="587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--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其中</w:t>
                  </w:r>
                  <w:r>
                    <w:rPr>
                      <w:color w:val="1F0909"/>
                      <w:w w:val="105"/>
                    </w:rPr>
                    <w:t>vue-router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负责路由跳转、</w:t>
                  </w:r>
                  <w:r>
                    <w:rPr>
                      <w:color w:val="1F0909"/>
                      <w:w w:val="105"/>
                    </w:rPr>
                    <w:t>vuex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负责状态管理、</w:t>
                  </w:r>
                  <w:r>
                    <w:rPr>
                      <w:color w:val="1F0909"/>
                      <w:w w:val="105"/>
                    </w:rPr>
                    <w:t>axios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负责请求接口数据</w:t>
                  </w:r>
                </w:p>
                <w:p>
                  <w:pPr>
                    <w:pStyle w:val="BodyText"/>
                    <w:spacing w:before="118"/>
                    <w:ind w:left="587"/>
                  </w:pPr>
                  <w:r>
                    <w:rPr>
                      <w:color w:val="1F0909"/>
                      <w:w w:val="105"/>
                    </w:rPr>
                    <w:t>my-project</w:t>
                  </w:r>
                </w:p>
                <w:p>
                  <w:pPr>
                    <w:pStyle w:val="BodyText"/>
                    <w:spacing w:before="130"/>
                    <w:ind w:left="587"/>
                  </w:pPr>
                  <w:r>
                    <w:rPr>
                      <w:color w:val="1F0909"/>
                      <w:w w:val="105"/>
                    </w:rPr>
                    <w:t>----public</w:t>
                  </w:r>
                </w:p>
                <w:p>
                  <w:pPr>
                    <w:pStyle w:val="BodyText"/>
                    <w:spacing w:before="131"/>
                    <w:ind w:left="587"/>
                  </w:pPr>
                  <w:r>
                    <w:rPr>
                      <w:color w:val="1F0909"/>
                      <w:w w:val="105"/>
                    </w:rPr>
                    <w:t>-------src</w:t>
                  </w:r>
                </w:p>
                <w:p>
                  <w:pPr>
                    <w:pStyle w:val="BodyText"/>
                    <w:tabs>
                      <w:tab w:pos="1797" w:val="left" w:leader="none"/>
                    </w:tabs>
                    <w:spacing w:before="94"/>
                    <w:ind w:left="0" w:right="886"/>
                    <w:jc w:val="right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----api</w:t>
                    <w:tab/>
                    <w:t>//</w:t>
                  </w:r>
                  <w:r>
                    <w:rPr>
                      <w:color w:val="1F0909"/>
                      <w:spacing w:val="-32"/>
                      <w:w w:val="105"/>
                    </w:rPr>
                    <w:t>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存放</w:t>
                  </w:r>
                  <w:r>
                    <w:rPr>
                      <w:color w:val="1F0909"/>
                      <w:w w:val="105"/>
                    </w:rPr>
                    <w:t>axios</w:t>
                  </w:r>
                  <w:r>
                    <w:rPr>
                      <w:rFonts w:ascii="新宋体" w:eastAsia="新宋体" w:hint="eastAsia"/>
                      <w:color w:val="1F0909"/>
                      <w:spacing w:val="-3"/>
                      <w:w w:val="105"/>
                    </w:rPr>
                    <w:t>通用配置 以及部分公用报错信息</w:t>
                  </w:r>
                </w:p>
                <w:p>
                  <w:pPr>
                    <w:pStyle w:val="BodyText"/>
                    <w:tabs>
                      <w:tab w:pos="2702" w:val="left" w:leader="none"/>
                    </w:tabs>
                    <w:spacing w:before="82"/>
                    <w:ind w:left="1433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--api.js</w:t>
                    <w:tab/>
                    <w:t>//</w:t>
                  </w:r>
                  <w:r>
                    <w:rPr>
                      <w:color w:val="1F0909"/>
                      <w:spacing w:val="-4"/>
                      <w:w w:val="105"/>
                    </w:rPr>
                    <w:t>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此文件编写请求接口</w:t>
                  </w:r>
                </w:p>
                <w:p>
                  <w:pPr>
                    <w:pStyle w:val="BodyText"/>
                    <w:tabs>
                      <w:tab w:pos="1163" w:val="left" w:leader="none"/>
                    </w:tabs>
                    <w:spacing w:before="83"/>
                    <w:ind w:left="0" w:right="852"/>
                    <w:jc w:val="right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--http.js</w:t>
                    <w:tab/>
                    <w:t>//</w:t>
                  </w:r>
                  <w:r>
                    <w:rPr>
                      <w:color w:val="1F0909"/>
                      <w:spacing w:val="-67"/>
                      <w:w w:val="105"/>
                    </w:rPr>
                    <w:t>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此文件编写</w:t>
                  </w:r>
                  <w:r>
                    <w:rPr>
                      <w:color w:val="1F0909"/>
                      <w:w w:val="105"/>
                    </w:rPr>
                    <w:t>axios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通用配置以及响应拦截等信息</w:t>
                  </w:r>
                </w:p>
                <w:p>
                  <w:pPr>
                    <w:pStyle w:val="BodyText"/>
                    <w:spacing w:before="82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----componnents //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组件目录</w:t>
                  </w:r>
                </w:p>
                <w:p>
                  <w:pPr>
                    <w:pStyle w:val="BodyText"/>
                    <w:spacing w:before="82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----router //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路由目录</w:t>
                  </w:r>
                </w:p>
                <w:p>
                  <w:pPr>
                    <w:pStyle w:val="BodyText"/>
                    <w:spacing w:before="82"/>
                    <w:ind w:left="1433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--index.js //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编写每个组件路由</w:t>
                  </w:r>
                </w:p>
                <w:p>
                  <w:pPr>
                    <w:pStyle w:val="BodyText"/>
                    <w:spacing w:before="83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----config //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通用配置文件 比如 </w:t>
                  </w:r>
                  <w:r>
                    <w:rPr>
                      <w:color w:val="1F0909"/>
                      <w:w w:val="105"/>
                    </w:rPr>
                    <w:t>ip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端口号</w:t>
                  </w:r>
                </w:p>
                <w:p>
                  <w:pPr>
                    <w:pStyle w:val="BodyText"/>
                    <w:spacing w:before="118"/>
                    <w:ind w:left="1433"/>
                  </w:pPr>
                  <w:r>
                    <w:rPr>
                      <w:color w:val="1F0909"/>
                      <w:w w:val="105"/>
                    </w:rPr>
                    <w:t>--config.js</w:t>
                  </w:r>
                </w:p>
                <w:p>
                  <w:pPr>
                    <w:pStyle w:val="BodyText"/>
                    <w:spacing w:before="94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----util //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各种项目通用方法</w:t>
                  </w:r>
                </w:p>
                <w:p>
                  <w:pPr>
                    <w:pStyle w:val="BodyText"/>
                    <w:spacing w:before="118"/>
                    <w:ind w:left="1433"/>
                  </w:pPr>
                  <w:r>
                    <w:rPr>
                      <w:color w:val="1F0909"/>
                      <w:w w:val="105"/>
                    </w:rPr>
                    <w:t>--util.js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77" w:val="left" w:leader="none"/>
                    </w:tabs>
                    <w:spacing w:line="240" w:lineRule="auto" w:before="131" w:after="0"/>
                    <w:ind w:left="376" w:right="0" w:hanging="213"/>
                    <w:jc w:val="left"/>
                  </w:pPr>
                  <w:r>
                    <w:rPr>
                      <w:color w:val="1F0909"/>
                      <w:w w:val="105"/>
                    </w:rPr>
                    <w:t>axios</w:t>
                  </w:r>
                </w:p>
                <w:p>
                  <w:pPr>
                    <w:pStyle w:val="BodyText"/>
                    <w:spacing w:before="94"/>
                    <w:ind w:left="587"/>
                    <w:rPr>
                      <w:rFonts w:ascii="新宋体" w:eastAsia="新宋体" w:hint="eastAsia"/>
                    </w:rPr>
                  </w:pP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响应拦截器：</w:t>
                  </w:r>
                </w:p>
                <w:p>
                  <w:pPr>
                    <w:pStyle w:val="BodyText"/>
                    <w:spacing w:line="424" w:lineRule="auto" w:before="118"/>
                    <w:ind w:left="1222" w:right="2587" w:hanging="212"/>
                  </w:pPr>
                  <w:r>
                    <w:rPr>
                      <w:color w:val="1F0909"/>
                    </w:rPr>
                    <w:t>axios.interceptors.response.use( </w:t>
                  </w:r>
                  <w:r>
                    <w:rPr>
                      <w:color w:val="1F0909"/>
                      <w:w w:val="105"/>
                    </w:rPr>
                    <w:t>response =&gt; {</w:t>
                  </w:r>
                </w:p>
                <w:p>
                  <w:pPr>
                    <w:pStyle w:val="BodyText"/>
                    <w:spacing w:line="180" w:lineRule="exact"/>
                    <w:ind w:left="1433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//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此处编写拦截后需要做的操作 比如拦截</w:t>
                  </w:r>
                  <w:r>
                    <w:rPr>
                      <w:color w:val="1F0909"/>
                      <w:w w:val="105"/>
                    </w:rPr>
                    <w:t>token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判断用户是否登录等</w:t>
                  </w:r>
                </w:p>
                <w:p>
                  <w:pPr>
                    <w:pStyle w:val="BodyText"/>
                    <w:spacing w:before="118"/>
                    <w:ind w:left="1222"/>
                  </w:pPr>
                  <w:r>
                    <w:rPr>
                      <w:color w:val="1F0909"/>
                      <w:w w:val="105"/>
                    </w:rPr>
                    <w:t>},</w:t>
                  </w:r>
                </w:p>
                <w:p>
                  <w:pPr>
                    <w:pStyle w:val="BodyText"/>
                    <w:spacing w:before="130"/>
                    <w:ind w:left="1222"/>
                  </w:pPr>
                  <w:r>
                    <w:rPr>
                      <w:color w:val="1F0909"/>
                      <w:w w:val="105"/>
                    </w:rPr>
                    <w:t>error =&gt; {</w:t>
                  </w:r>
                </w:p>
                <w:p>
                  <w:pPr>
                    <w:pStyle w:val="BodyText"/>
                    <w:spacing w:before="95"/>
                    <w:ind w:left="1327"/>
                    <w:rPr>
                      <w:rFonts w:ascii="新宋体" w:eastAsia="新宋体" w:hint="eastAsia"/>
                    </w:rPr>
                  </w:pPr>
                  <w:r>
                    <w:rPr>
                      <w:color w:val="1F0909"/>
                      <w:w w:val="105"/>
                    </w:rPr>
                    <w:t>//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这里处理异常信息</w:t>
                  </w:r>
                </w:p>
                <w:p>
                  <w:pPr>
                    <w:pStyle w:val="BodyText"/>
                    <w:spacing w:before="118"/>
                    <w:ind w:left="1222"/>
                  </w:pPr>
                  <w:r>
                    <w:rPr>
                      <w:color w:val="1F0909"/>
                      <w:w w:val="103"/>
                    </w:rPr>
                    <w:t>}</w:t>
                  </w:r>
                </w:p>
                <w:p>
                  <w:pPr>
                    <w:pStyle w:val="BodyText"/>
                    <w:spacing w:before="130"/>
                  </w:pPr>
                  <w:r>
                    <w:rPr>
                      <w:color w:val="1F0909"/>
                      <w:w w:val="105"/>
                    </w:rPr>
                    <w:t>);</w:t>
                  </w:r>
                </w:p>
                <w:p>
                  <w:pPr>
                    <w:pStyle w:val="BodyText"/>
                    <w:spacing w:line="369" w:lineRule="auto" w:before="94"/>
                    <w:ind w:right="1899" w:hanging="423"/>
                  </w:pPr>
                  <w:r>
                    <w:rPr>
                      <w:color w:val="1F0909"/>
                      <w:w w:val="105"/>
                    </w:rPr>
                    <w:t>post</w:t>
                  </w:r>
                  <w:r>
                    <w:rPr>
                      <w:color w:val="1F0909"/>
                      <w:spacing w:val="-69"/>
                      <w:w w:val="105"/>
                    </w:rPr>
                    <w:t> </w:t>
                  </w:r>
                  <w:r>
                    <w:rPr>
                      <w:color w:val="1F0909"/>
                      <w:w w:val="105"/>
                    </w:rPr>
                    <w:t>get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等方法封装（下边的是</w:t>
                  </w:r>
                  <w:r>
                    <w:rPr>
                      <w:color w:val="1F0909"/>
                      <w:w w:val="105"/>
                    </w:rPr>
                    <w:t>post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方法封装其余的类似</w:t>
                  </w:r>
                  <w:r>
                    <w:rPr>
                      <w:rFonts w:ascii="新宋体" w:eastAsia="新宋体" w:hint="eastAsia"/>
                      <w:color w:val="1F0909"/>
                      <w:spacing w:val="-9"/>
                      <w:w w:val="105"/>
                    </w:rPr>
                    <w:t>）： </w:t>
                  </w:r>
                  <w:r>
                    <w:rPr>
                      <w:color w:val="1F0909"/>
                      <w:w w:val="105"/>
                    </w:rPr>
                    <w:t>export function post(url, params</w:t>
                  </w:r>
                  <w:r>
                    <w:rPr>
                      <w:color w:val="1F0909"/>
                      <w:spacing w:val="-7"/>
                      <w:w w:val="105"/>
                    </w:rPr>
                    <w:t> = {}) {</w:t>
                  </w:r>
                </w:p>
                <w:p>
                  <w:pPr>
                    <w:pStyle w:val="BodyText"/>
                    <w:spacing w:line="424" w:lineRule="auto" w:before="39"/>
                    <w:ind w:left="1433" w:right="1894" w:hanging="212"/>
                  </w:pPr>
                  <w:r>
                    <w:rPr>
                      <w:color w:val="1F0909"/>
                      <w:w w:val="105"/>
                    </w:rPr>
                    <w:t>return new Promise((resolve, reject) =&gt;</w:t>
                  </w:r>
                  <w:r>
                    <w:rPr>
                      <w:color w:val="1F0909"/>
                      <w:spacing w:val="-71"/>
                      <w:w w:val="105"/>
                    </w:rPr>
                    <w:t> </w:t>
                  </w:r>
                  <w:r>
                    <w:rPr>
                      <w:color w:val="1F0909"/>
                      <w:spacing w:val="-15"/>
                      <w:w w:val="105"/>
                    </w:rPr>
                    <w:t>{ </w:t>
                  </w:r>
                  <w:r>
                    <w:rPr>
                      <w:color w:val="1F0909"/>
                      <w:w w:val="105"/>
                    </w:rPr>
                    <w:t>axios.post(url, params)</w:t>
                  </w:r>
                </w:p>
                <w:p>
                  <w:pPr>
                    <w:pStyle w:val="BodyText"/>
                    <w:spacing w:line="424" w:lineRule="auto"/>
                    <w:ind w:left="1856" w:right="2587" w:hanging="212"/>
                  </w:pPr>
                  <w:r>
                    <w:rPr>
                      <w:color w:val="1F0909"/>
                      <w:w w:val="105"/>
                    </w:rPr>
                    <w:t>.then(res =&gt; { </w:t>
                  </w:r>
                  <w:r>
                    <w:rPr>
                      <w:color w:val="1F0909"/>
                    </w:rPr>
                    <w:t>resolve(res.data)</w:t>
                  </w:r>
                </w:p>
                <w:p>
                  <w:pPr>
                    <w:pStyle w:val="BodyText"/>
                    <w:spacing w:line="168" w:lineRule="exact"/>
                    <w:ind w:left="1645"/>
                  </w:pPr>
                  <w:r>
                    <w:rPr>
                      <w:color w:val="1F0909"/>
                      <w:w w:val="105"/>
                    </w:rPr>
                    <w:t>})</w:t>
                  </w:r>
                </w:p>
                <w:p>
                  <w:pPr>
                    <w:pStyle w:val="BodyText"/>
                    <w:spacing w:line="424" w:lineRule="auto" w:before="129"/>
                    <w:ind w:left="1856" w:right="2587" w:hanging="212"/>
                  </w:pPr>
                  <w:r>
                    <w:rPr>
                      <w:color w:val="1F0909"/>
                      <w:w w:val="105"/>
                    </w:rPr>
                    <w:t>.catch(err =&gt; { </w:t>
                  </w:r>
                  <w:r>
                    <w:rPr>
                      <w:color w:val="1F0909"/>
                    </w:rPr>
                    <w:t>reject(err.data)</w:t>
                  </w:r>
                </w:p>
                <w:p>
                  <w:pPr>
                    <w:pStyle w:val="BodyText"/>
                    <w:spacing w:line="168" w:lineRule="exact"/>
                    <w:ind w:left="1645"/>
                  </w:pPr>
                  <w:r>
                    <w:rPr>
                      <w:color w:val="1F0909"/>
                      <w:w w:val="105"/>
                    </w:rPr>
                    <w:t>})</w:t>
                  </w:r>
                </w:p>
                <w:p>
                  <w:pPr>
                    <w:pStyle w:val="BodyText"/>
                    <w:spacing w:before="130"/>
                    <w:ind w:left="1222"/>
                  </w:pPr>
                  <w:r>
                    <w:rPr>
                      <w:color w:val="1F0909"/>
                      <w:w w:val="105"/>
                    </w:rPr>
                    <w:t>})</w:t>
                  </w:r>
                </w:p>
                <w:p>
                  <w:pPr>
                    <w:pStyle w:val="BodyText"/>
                    <w:ind w:left="0"/>
                    <w:rPr>
                      <w:rFonts w:ascii="宋体"/>
                      <w:sz w:val="18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宋体"/>
                      <w:sz w:val="12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00" w:val="left" w:leader="none"/>
                    </w:tabs>
                    <w:spacing w:line="331" w:lineRule="auto" w:before="0" w:after="0"/>
                    <w:ind w:left="1010" w:right="3700" w:hanging="423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配 置 文 件 </w:t>
                  </w:r>
                  <w:r>
                    <w:rPr>
                      <w:color w:val="1F0909"/>
                      <w:w w:val="105"/>
                    </w:rPr>
                    <w:t>vue.config.js outputdir:</w:t>
                  </w:r>
                  <w:r>
                    <w:rPr>
                      <w:color w:val="1F0909"/>
                      <w:spacing w:val="-39"/>
                      <w:w w:val="105"/>
                    </w:rPr>
                    <w:t> </w:t>
                  </w:r>
                  <w:r>
                    <w:rPr>
                      <w:color w:val="1F0909"/>
                      <w:w w:val="105"/>
                    </w:rPr>
                    <w:t>build</w:t>
                  </w:r>
                  <w:r>
                    <w:rPr>
                      <w:rFonts w:ascii="新宋体" w:eastAsia="新宋体" w:hint="eastAsia"/>
                      <w:color w:val="1F0909"/>
                      <w:spacing w:val="-4"/>
                      <w:w w:val="105"/>
                    </w:rPr>
                    <w:t>打包后的目录</w:t>
                  </w:r>
                </w:p>
                <w:p>
                  <w:pPr>
                    <w:pStyle w:val="BodyText"/>
                    <w:spacing w:line="369" w:lineRule="auto"/>
                    <w:ind w:right="908"/>
                  </w:pPr>
                  <w:r>
                    <w:rPr>
                      <w:color w:val="1F0909"/>
                      <w:w w:val="105"/>
                    </w:rPr>
                    <w:t>productionSourceMap:</w:t>
                  </w:r>
                  <w:r>
                    <w:rPr>
                      <w:color w:val="1F0909"/>
                      <w:spacing w:val="-50"/>
                      <w:w w:val="105"/>
                    </w:rPr>
                    <w:t> </w:t>
                  </w:r>
                  <w:r>
                    <w:rPr>
                      <w:color w:val="1F0909"/>
                      <w:w w:val="105"/>
                    </w:rPr>
                    <w:t>//</w:t>
                  </w:r>
                  <w:r>
                    <w:rPr>
                      <w:color w:val="1F0909"/>
                      <w:spacing w:val="-50"/>
                      <w:w w:val="105"/>
                    </w:rPr>
                    <w:t>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是否在构建生产包时生成</w:t>
                  </w:r>
                  <w:r>
                    <w:rPr>
                      <w:color w:val="1F0909"/>
                      <w:w w:val="105"/>
                    </w:rPr>
                    <w:t>sourcdeMap const resolve = function (dir)</w:t>
                  </w:r>
                  <w:r>
                    <w:rPr>
                      <w:color w:val="1F0909"/>
                      <w:spacing w:val="-10"/>
                      <w:w w:val="105"/>
                    </w:rPr>
                    <w:t> {</w:t>
                  </w:r>
                </w:p>
                <w:p>
                  <w:pPr>
                    <w:pStyle w:val="BodyText"/>
                    <w:spacing w:before="38"/>
                    <w:ind w:left="1433"/>
                  </w:pPr>
                  <w:r>
                    <w:rPr>
                      <w:color w:val="1F0909"/>
                      <w:w w:val="105"/>
                    </w:rPr>
                    <w:t>return path.join(</w:t>
                  </w:r>
                  <w:r>
                    <w:rPr>
                      <w:color w:val="1F0909"/>
                      <w:w w:val="105"/>
                      <w:u w:val="single" w:color="1E0808"/>
                    </w:rPr>
                    <w:t> </w:t>
                  </w:r>
                  <w:r>
                    <w:rPr>
                      <w:color w:val="1F0909"/>
                      <w:w w:val="105"/>
                    </w:rPr>
                    <w:t>dirname, dir);</w:t>
                  </w:r>
                </w:p>
                <w:p>
                  <w:pPr>
                    <w:pStyle w:val="BodyText"/>
                    <w:spacing w:before="130"/>
                  </w:pPr>
                  <w:r>
                    <w:rPr>
                      <w:color w:val="1F0909"/>
                      <w:w w:val="103"/>
                    </w:rPr>
                    <w:t>}</w:t>
                  </w:r>
                </w:p>
                <w:p>
                  <w:pPr>
                    <w:pStyle w:val="BodyText"/>
                    <w:spacing w:before="94"/>
                  </w:pPr>
                  <w:r>
                    <w:rPr>
                      <w:color w:val="1F0909"/>
                      <w:w w:val="105"/>
                    </w:rPr>
                    <w:t>chainWebpack: config =&gt; {} // </w:t>
                  </w: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可以配置简写目录 需要搭配</w:t>
                  </w:r>
                  <w:r>
                    <w:rPr>
                      <w:color w:val="1F0909"/>
                      <w:w w:val="105"/>
                    </w:rPr>
                    <w:t>resolve</w:t>
                  </w:r>
                </w:p>
                <w:p>
                  <w:pPr>
                    <w:pStyle w:val="BodyText"/>
                    <w:spacing w:before="83"/>
                    <w:ind w:left="164"/>
                    <w:rPr>
                      <w:rFonts w:ascii="新宋体" w:eastAsia="新宋体" w:hint="eastAsia"/>
                    </w:rPr>
                  </w:pPr>
                  <w:r>
                    <w:rPr>
                      <w:rFonts w:ascii="新宋体" w:eastAsia="新宋体" w:hint="eastAsia"/>
                      <w:color w:val="1F0909"/>
                      <w:w w:val="105"/>
                    </w:rPr>
                    <w:t>函数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00" w:val="left" w:leader="none"/>
                    </w:tabs>
                    <w:spacing w:line="240" w:lineRule="auto" w:before="118" w:after="0"/>
                    <w:ind w:left="799" w:right="0" w:hanging="213"/>
                    <w:jc w:val="left"/>
                  </w:pPr>
                  <w:r>
                    <w:rPr>
                      <w:color w:val="1F0909"/>
                      <w:w w:val="105"/>
                    </w:rPr>
                    <w:t>vue-router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宋体"/>
          <w:sz w:val="11"/>
        </w:rPr>
        <w:sectPr>
          <w:type w:val="continuous"/>
          <w:pgSz w:w="11900" w:h="16840"/>
          <w:pgMar w:top="1080" w:bottom="280" w:left="1680" w:right="1680"/>
        </w:sectPr>
      </w:pPr>
    </w:p>
    <w:p>
      <w:pPr>
        <w:pStyle w:val="BodyText"/>
        <w:ind w:left="730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372.95pt;height:315.150pt;mso-position-horizontal-relative:char;mso-position-vertical-relative:line" coordorigin="0,0" coordsize="7459,6303">
            <v:rect style="position:absolute;left:7338;top:0;width:121;height:6303" filled="true" fillcolor="#d9d9d9" stroked="false">
              <v:fill type="solid"/>
            </v:rect>
            <v:rect style="position:absolute;left:0;top:0;width:106;height:6303" filled="true" fillcolor="#d9d9d9" stroked="false">
              <v:fill type="solid"/>
            </v:rect>
            <v:rect style="position:absolute;left:105;top:0;width:7234;height:6303" filled="true" fillcolor="#d9d9d9" stroked="false">
              <v:fill type="solid"/>
            </v:rect>
            <v:shape style="position:absolute;left:164;top:44;width:7023;height:476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84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hash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模式： 使用 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URL 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的 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hash 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来模拟一个完整的 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URL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，于是当 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URL 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改变</w:t>
                    </w:r>
                  </w:p>
                  <w:p>
                    <w:pPr>
                      <w:spacing w:line="195" w:lineRule="exact" w:before="8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时，页面不会重新加载</w:t>
                    </w:r>
                  </w:p>
                </w:txbxContent>
              </v:textbox>
              <w10:wrap type="none"/>
            </v:shape>
            <v:shape style="position:absolute;left:164;top:944;width:7021;height:527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84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路由拦截： 写在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main.js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中</w:t>
                    </w:r>
                  </w:p>
                  <w:p>
                    <w:pPr>
                      <w:spacing w:before="118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router.beforeEach((to, from, next) =&gt; {</w:t>
                    </w:r>
                  </w:p>
                  <w:p>
                    <w:pPr>
                      <w:spacing w:line="331" w:lineRule="auto" w:before="94"/>
                      <w:ind w:left="0" w:right="19" w:firstLine="1798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1F0909"/>
                        <w:spacing w:val="-2"/>
                        <w:w w:val="105"/>
                        <w:sz w:val="17"/>
                      </w:rPr>
                      <w:t>处理路由拦截后的逻辑 比如根据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token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是否存在或者账号是否有当前页面权限 进行拦截</w:t>
                    </w:r>
                  </w:p>
                  <w:p>
                    <w:pPr>
                      <w:spacing w:before="35"/>
                      <w:ind w:left="126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})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36" w:val="left" w:leader="none"/>
                      </w:tabs>
                      <w:spacing w:before="94"/>
                      <w:ind w:left="635" w:right="0" w:hanging="213"/>
                      <w:jc w:val="left"/>
                      <w:rPr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VueX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（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Vue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状态管理模式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83"/>
                      <w:ind w:left="84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state:{name:'helloVueX'} // 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存放的键值对就是所要管理的状态</w:t>
                    </w:r>
                  </w:p>
                  <w:p>
                    <w:pPr>
                      <w:spacing w:before="82"/>
                      <w:ind w:left="84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mutations:{fn(state){}} // state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成员操作 组件中使用</w:t>
                    </w:r>
                  </w:p>
                  <w:p>
                    <w:pPr>
                      <w:spacing w:line="331" w:lineRule="auto" w:before="82"/>
                      <w:ind w:left="846" w:right="3107" w:hanging="847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this.$store.commit('fn', 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值 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) getters: // 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加工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state</w:t>
                    </w:r>
                    <w:r>
                      <w:rPr>
                        <w:rFonts w:ascii="新宋体" w:eastAsia="新宋体" w:hint="eastAsia"/>
                        <w:color w:val="1F0909"/>
                        <w:spacing w:val="-4"/>
                        <w:w w:val="105"/>
                        <w:sz w:val="17"/>
                      </w:rPr>
                      <w:t>成员给外界</w:t>
                    </w:r>
                  </w:p>
                  <w:p>
                    <w:pPr>
                      <w:spacing w:line="331" w:lineRule="auto" w:before="0"/>
                      <w:ind w:left="0" w:right="18" w:firstLine="8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actions: // </w:t>
                    </w:r>
                    <w:r>
                      <w:rPr>
                        <w:rFonts w:ascii="新宋体" w:eastAsia="新宋体" w:hint="eastAsia"/>
                        <w:color w:val="1F0909"/>
                        <w:spacing w:val="-2"/>
                        <w:w w:val="105"/>
                        <w:sz w:val="17"/>
                      </w:rPr>
                      <w:t>异步操作 异步执行完后执行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commit</w:t>
                    </w:r>
                    <w:r>
                      <w:rPr>
                        <w:rFonts w:ascii="新宋体" w:eastAsia="新宋体" w:hint="eastAsia"/>
                        <w:color w:val="1F0909"/>
                        <w:spacing w:val="-7"/>
                        <w:w w:val="105"/>
                        <w:sz w:val="17"/>
                      </w:rPr>
                      <w:t>方法 相当于统一处理以免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异步导致数据返回顺序有误</w:t>
                    </w:r>
                  </w:p>
                  <w:p>
                    <w:pPr>
                      <w:spacing w:line="217" w:lineRule="exact" w:before="0"/>
                      <w:ind w:left="84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modules: 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模块化状态管理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36" w:val="left" w:leader="none"/>
                      </w:tabs>
                      <w:spacing w:before="82"/>
                      <w:ind w:left="635" w:right="0" w:hanging="213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组件使用</w:t>
                    </w:r>
                  </w:p>
                  <w:p>
                    <w:pPr>
                      <w:spacing w:before="82"/>
                      <w:ind w:left="84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在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components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中创建组件文件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xxx.vue 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然后再需要使用到的组件中使用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1F0909"/>
                        <w:w w:val="105"/>
                        <w:sz w:val="17"/>
                      </w:rPr>
                      <w:t>import 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引入 在组件的</w:t>
                    </w:r>
                    <w:r>
                      <w:rPr>
                        <w:color w:val="1F0909"/>
                        <w:w w:val="105"/>
                        <w:sz w:val="17"/>
                      </w:rPr>
                      <w:t>components </w:t>
                    </w: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方法中注册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36" w:val="left" w:leader="none"/>
                      </w:tabs>
                      <w:spacing w:before="82"/>
                      <w:ind w:left="635" w:right="0" w:hanging="213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暗号来了哦</w:t>
                    </w:r>
                  </w:p>
                  <w:p>
                    <w:pPr>
                      <w:spacing w:line="195" w:lineRule="exact" w:before="82"/>
                      <w:ind w:left="84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1F0909"/>
                        <w:w w:val="105"/>
                        <w:sz w:val="17"/>
                      </w:rPr>
                      <w:t>男枪吃大油条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宋体"/>
          <w:sz w:val="20"/>
        </w:rPr>
      </w:r>
    </w:p>
    <w:sectPr>
      <w:pgSz w:w="11900" w:h="16840"/>
      <w:pgMar w:top="5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alatino Linotype">
    <w:altName w:val="Palatino Linotype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7"/>
      <w:numFmt w:val="decimal"/>
      <w:lvlText w:val="%1."/>
      <w:lvlJc w:val="left"/>
      <w:pPr>
        <w:ind w:left="635" w:hanging="213"/>
        <w:jc w:val="left"/>
      </w:pPr>
      <w:rPr>
        <w:rFonts w:hint="default" w:ascii="Lucida Console" w:hAnsi="Lucida Console" w:eastAsia="Lucida Console" w:cs="Lucida Console"/>
        <w:color w:val="1F0909"/>
        <w:w w:val="100"/>
        <w:sz w:val="15"/>
        <w:szCs w:val="15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8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16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54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92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30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468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06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744" w:hanging="213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376" w:hanging="213"/>
        <w:jc w:val="right"/>
      </w:pPr>
      <w:rPr>
        <w:rFonts w:hint="default" w:ascii="Lucida Console" w:hAnsi="Lucida Console" w:eastAsia="Lucida Console" w:cs="Lucida Console"/>
        <w:color w:val="1F0909"/>
        <w:w w:val="103"/>
        <w:sz w:val="15"/>
        <w:szCs w:val="15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87" w:hanging="21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95" w:hanging="2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03" w:hanging="2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11" w:hanging="2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19" w:hanging="2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27" w:hanging="2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334" w:hanging="2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042" w:hanging="213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10"/>
    </w:pPr>
    <w:rPr>
      <w:rFonts w:ascii="Lucida Console" w:hAnsi="Lucida Console" w:eastAsia="Lucida Console" w:cs="Lucida Console"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2020-10-16T06:44:28Z</dcterms:created>
  <dcterms:modified xsi:type="dcterms:W3CDTF">2020-10-16T06:44:28Z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Typora</vt:lpwstr>
  </property>
  <property fmtid="{D5CDD505-2E9C-101B-9397-08002B2CF9AE}" pid="4" name="LastSaved">
    <vt:filetime>2020-10-16T00:00:00Z</vt:filetime>
  </property>
</Properties>
</file>