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 射线单帧残影去除数据采集要求报告</w:t>
      </w:r>
    </w:p>
    <w:p>
      <w:r>
        <w:t>修订日期：2026 年 10 月 8 日</w:t>
      </w:r>
      <w:r>
        <w:br/>
      </w:r>
      <w:r>
        <w:t>用途：与设备公司沟通采集范围、安排机时、交付数据及验收</w:t>
      </w:r>
      <w:r>
        <w:br/>
      </w:r>
      <w:r>
        <w:t>适用项目：xray-ghost-removal，当前为 CR 数据，新设备类型尚未确定</w:t>
      </w:r>
      <w:r>
        <w:br/>
      </w:r>
      <w:r>
        <w:t>部署评估：同时评估 current＋previous 和仅 current 两种输入</w:t>
      </w:r>
    </w:p>
    <w:p>
      <w:pPr>
        <w:pStyle w:val="Heading1"/>
      </w:pPr>
      <w:r>
        <w:t>1 给公司的核心要求</w:t>
      </w:r>
    </w:p>
    <w:p>
      <w:r>
        <w:t>本项目按“数据可行性、数学模型、深度学习”分批采集和验收。先确认能取得可信参考、解释残留变化，再选择后续批次。公司按阶段、设备类型和数据角色分别报价；合格开发数据可以抵扣后续同范围采集，冻结测试数据保持独立。</w:t>
      </w:r>
    </w:p>
    <w:p>
      <w:pPr>
        <w:pStyle w:val="Heading2"/>
      </w:pPr>
      <w:r>
        <w:t>1 1 分阶段预算与数量口径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118"/>
        <w:gridCol w:w="2268"/>
        <w:gridCol w:w="1928"/>
        <w:gridCol w:w="2324"/>
      </w:tblGrid>
      <w:tr>
        <w:trPr>
          <w:cantSplit/>
          <w:tblHeader w:val="true"/>
        </w:trPr>
        <w:tc>
          <w:tcPr>
            <w:tcW w:type="dxa" w:w="311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26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残影候选配对</w:t>
            </w:r>
          </w:p>
        </w:tc>
        <w:tc>
          <w:tcPr>
            <w:tcW w:type="dxa" w:w="192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sham 对照</w:t>
            </w:r>
          </w:p>
        </w:tc>
        <w:tc>
          <w:tcPr>
            <w:tcW w:type="dxa" w:w="2324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阶段预算合计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第一阶段 可行性试采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24–48 组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6–12 组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30–60 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第二阶段 数学模型</w:t>
            </w:r>
          </w:p>
        </w:tc>
        <w:tc>
          <w:tcPr>
            <w:tcW w:type="dxa" w:w="226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100–300 组</w:t>
            </w:r>
          </w:p>
        </w:tc>
        <w:tc>
          <w:tcPr>
            <w:tcW w:type="dxa" w:w="19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20–60 组</w:t>
            </w:r>
          </w:p>
        </w:tc>
        <w:tc>
          <w:tcPr>
            <w:tcW w:type="dxa" w:w="2324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120–360 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第三阶段 深度学习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800–2000 组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160–400 组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960–2400 组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第一阶段的 30–60 组已经包含 sham。后两阶段的 100–300 和 800–2000 指完整残影候选配对循环，另按候选组数约 20% 安排 sham；这个比例是初始预算，不是证明误改风险的样本量。暗场、空场、独立残留 probe 和测试额外 clean 分开列项，不计作配对组。表中为各阶段目标数据集规模，新增工作量按符合角色与资格的已有数据抵扣，不将三行简单相加。</w:t>
      </w:r>
    </w:p>
    <w:p>
      <w:r>
        <w:rPr>
          <w:b/>
        </w:rPr>
        <w:t>这些是阶段性工程预算，不是文献确认的最低样本量，也不保证达到某个恢复指标。</w:t>
      </w:r>
      <w:r>
        <w:t xml:space="preserve"> 数学路线优先考虑固定设备、低自由度且可部署的模型；深度学习路线优先扩大独立当前结构和 B 历史。完成可信数学基线及其局限评估即可决定是否扩大深度学习采集，不要求数学模型必须成功。</w:t>
      </w:r>
    </w:p>
    <w:p>
      <w:r>
        <w:t>第二阶段可从 100 组候选配对起步，按预先确定的模块和独立测试要求补至 100–300 组。第三阶段先尝试整个数据集覆盖 100–300 个不同 A 场景，分别统计训练、验证、测试中的场景数，不能把重复曝光或 patch 当作新场景。若要求训练集本身有 100–300 个独立 A，按 60% 训练比例需约 167–500 个总场景，应重新报价。</w:t>
      </w:r>
    </w:p>
    <w:p>
      <w:pPr>
        <w:pStyle w:val="Heading2"/>
      </w:pPr>
      <w:r>
        <w:t>1 2 两条路线共同必需的交付</w:t>
      </w:r>
    </w:p>
    <w:p>
      <w:r>
        <w:t xml:space="preserve">有 B 曝光的每组至少交付上一帧 </w:t>
      </w:r>
      <w:r>
        <w:rPr>
          <w:rFonts w:ascii="Arial" w:hAnsi="Arial"/>
          <w:sz w:val="20"/>
        </w:rPr>
        <w:t>previous</w:t>
      </w:r>
      <w:r>
        <w:t xml:space="preserve">、带残影或对照当前帧 </w:t>
      </w:r>
      <w:r>
        <w:rPr>
          <w:rFonts w:ascii="Arial" w:hAnsi="Arial"/>
          <w:sz w:val="20"/>
        </w:rPr>
        <w:t>ghosted</w:t>
      </w:r>
      <w:r>
        <w:t xml:space="preserve">、充分复位后的 </w:t>
      </w:r>
      <w:r>
        <w:rPr>
          <w:rFonts w:ascii="Arial" w:hAnsi="Arial"/>
          <w:sz w:val="20"/>
        </w:rPr>
        <w:t>clean_before</w:t>
      </w:r>
      <w:r>
        <w:t xml:space="preserve"> 和 </w:t>
      </w:r>
      <w:r>
        <w:rPr>
          <w:rFonts w:ascii="Arial" w:hAnsi="Arial"/>
          <w:sz w:val="20"/>
        </w:rPr>
        <w:t>clean_after</w:t>
      </w:r>
      <w:r>
        <w:t xml:space="preserve">，以及逐事件日志。无 B sham 的第四张是实采 </w:t>
      </w:r>
      <w:r>
        <w:rPr>
          <w:rFonts w:ascii="Arial" w:hAnsi="Arial"/>
          <w:sz w:val="20"/>
        </w:rPr>
        <w:t>sham_dark</w:t>
      </w:r>
      <w:r>
        <w:t>，不伪造 previous；对照当前图记录为 sham_current。每组核心原始图为 4 张，测试参考重复另计。</w:t>
      </w:r>
    </w:p>
    <w:p>
      <w:r>
        <w:t>两张 clean 用于估计参考及噪声、漂移和配准误差，不用现有 dark 或算法输出替代。两条路线均需保留无残影对照、同条件完全复测、跨日期和跨场景的独立测试。优先安排静态模体，并交付原生全分辨率无损数据、真实像素映射、板/探测器 ID、曝光、读取和擦除事件。采集关键条件和质量要求见第 4、5、8、9 节。</w:t>
      </w:r>
    </w:p>
    <w:p>
      <w:r>
        <w:t>“候选”指按残留流程制备的样本，实际是否检出及强度须测量后标注。弱残影与未检出样本保留，不直接改标为无残影，不只交付明显强残影。公司应先确认原始通道、处理配置、真实时序，以及充分复位和残留状态的可执行流程。</w:t>
      </w:r>
    </w:p>
    <w:p>
      <w:pPr>
        <w:pStyle w:val="Heading2"/>
      </w:pPr>
      <w:r>
        <w:t>1 3 设备及部署输入在执行前确定</w:t>
      </w:r>
    </w:p>
    <w:p>
      <w:r>
        <w:t xml:space="preserve">设备类型尚未确定。正式报价需说明 CR 还是 DR，并确认厂商型号、板/探测器单元、可导出通道和可控状态。采集始终保存 previous，部署分别评估 </w:t>
      </w:r>
      <w:r>
        <w:rPr>
          <w:rFonts w:ascii="Arial" w:hAnsi="Arial"/>
          <w:sz w:val="20"/>
        </w:rPr>
        <w:t>current＋previous</w:t>
      </w:r>
      <w:r>
        <w:t xml:space="preserve"> 和仅 </w:t>
      </w:r>
      <w:r>
        <w:rPr>
          <w:rFonts w:ascii="Arial" w:hAnsi="Arial"/>
          <w:sz w:val="20"/>
        </w:rPr>
        <w:t>current</w:t>
      </w:r>
      <w:r>
        <w:t>；算法类型与输入类型是两个独立维度。数学模型与网络都可以使用 previous，不能把“深度学习”自动等同于“仅 current”。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41"/>
        <w:gridCol w:w="3969"/>
        <w:gridCol w:w="3628"/>
      </w:tblGrid>
      <w:tr>
        <w:trPr>
          <w:cantSplit/>
          <w:tblHeader w:val="true"/>
        </w:trPr>
        <w:tc>
          <w:tcPr>
            <w:tcW w:type="dxa" w:w="204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3969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CR 成像板和读片机</w:t>
            </w:r>
          </w:p>
        </w:tc>
        <w:tc>
          <w:tcPr>
            <w:tcW w:type="dxa" w:w="362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DR 平板探测器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核心状态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板潜像、读取和光擦除历史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电荷陷阱、电子复位、增益变化、帧历史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标定读出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每个等待点独立准备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可用连续脉冲/阶跃与暗帧，记录真实 fps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参考取得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认证充分擦除后同 A 重复曝光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认证复位/等待后同 A 重复，必要时硬件时序参考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必须说明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previous 读片后自动擦除次序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lag correction、offset/gain、binning、reset 开关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应用范围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一块板仅支持该板的受限研究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一个探测器仅支持该单元的受限研究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首轮可用一个固定硬件单元。跨板/探测器迁移按用途追加，不预先强制购买或安排多个单元；只有一个单元时不声明跨硬件泛化。若换 DR，重新认证参考与标定，不能继承原 CR 的 alpha 或擦除结论。CR 与 DR 的执行协议分别落实，不混用时序或复位流程。</w:t>
      </w:r>
    </w:p>
    <w:p>
      <w:pPr>
        <w:pStyle w:val="Heading2"/>
      </w:pPr>
      <w:r>
        <w:t>1 4 分批验收后决定追加</w:t>
      </w:r>
    </w:p>
    <w:p>
      <w:r>
        <w:t>试采须先证明 clean 可信、核心日志完整，并量化残留与测量的重复性；异常波动未查清时先补状态记录和关键复测。数学阶段检查参数可辨识性、部署取得方式、结构保真、sham 误改和独立测试。若固定任务已达到预声明目标，可停止该路线追加；若失败，按参考、状态、模型假设或覆盖缺口定向补采。</w:t>
      </w:r>
    </w:p>
    <w:p>
      <w:r>
        <w:t>深度学习阶段依据独立场景学习曲线和未见日期/场景表现决定扩展。原 600 组候选加 120 组对照的覆盖矩阵，以及 2400 组候选加 480 组对照的重复优先方案，不再作为公司必交下限；需扩大条件覆盖时另行安排。正式验收阈值在试采后、确认测试前冻结。</w:t>
      </w:r>
    </w:p>
    <w:p>
      <w:pPr>
        <w:pStyle w:val="Heading1"/>
      </w:pPr>
      <w:r>
        <w:t>2 项目现状与本次采集要解决的问题</w:t>
      </w:r>
    </w:p>
    <w:p>
      <w:pPr>
        <w:pStyle w:val="Heading2"/>
      </w:pPr>
      <w:r>
        <w:t>2 1 已有数据及证据边界</w:t>
      </w:r>
    </w:p>
    <w:p>
      <w:r>
        <w:t xml:space="preserve">当前已有 92 张原始 DICOM：30 张连续 CR 图像，以及 31 张 dark 和 31 张 light。前者为 3048×2548，后者为 3072×3072，均为 16-bit、MONOCHROME2。dark/light 工作簿记录了 50、70、100、110 kV，10–250 mA，32–200 ms，对应 1–50 mAs；其中“时间”是曝光持续时间。当前不存在真实 </w:t>
      </w:r>
      <w:r>
        <w:rPr>
          <w:rFonts w:ascii="Arial" w:hAnsi="Arial"/>
          <w:sz w:val="20"/>
        </w:rPr>
        <w:t>clean / previous / ghosted</w:t>
      </w:r>
      <w:r>
        <w:t xml:space="preserve"> 配对数据。</w:t>
      </w:r>
      <w:r>
        <w:t>项目数据说明（DATA.md）</w:t>
      </w:r>
    </w:p>
    <w:p>
      <w:r>
        <w:t>2026-09-30 对原始文件的只读检查进一步确认：两组均缺少采集时间、像素间距、Rescale 和主要设备技术字段；各组内部 SOPInstanceUID 重复。92 张原始 DICOM 实际约 1.636 GB，不把旧文档的“约 2.8 GB”作为精确容量依据。这些问题说明新交付必须同时验收像素、标识与采集日志，不能只检查文件能否打开。</w:t>
      </w:r>
    </w:p>
    <w:p>
      <w:r>
        <w:t xml:space="preserve">当前最可靠进展是：紧邻前序曝光的结构确实会进入后一张图像；在冻结的 16×16 block 平均域，部分样本可以用 affine M1 描述。但模型使用的 </w:t>
      </w:r>
      <w:r>
        <w:rPr>
          <w:rFonts w:ascii="Arial" w:hAnsi="Arial"/>
          <w:sz w:val="20"/>
        </w:rPr>
        <w:t>Y = dark − estimated_background</w:t>
      </w:r>
      <w:r>
        <w:t xml:space="preserve"> 含背景估计误差和噪声，不是真实 clean 标签；高 R² 也不是全分辨率恢复准确率。13-pair 同会话审查中，Mhinge 在 7 个 extension pair 上 0/7 通过全部门槛，尚无正式 M2。合成 U-Net 的真实迁移也没有解决监督缺口。</w:t>
      </w:r>
      <w:r>
        <w:t>项目研究结果（RESULTS.md）</w:t>
      </w:r>
    </w:p>
    <w:p>
      <w:pPr>
        <w:pStyle w:val="Heading2"/>
      </w:pPr>
      <w:r>
        <w:t>2 2 新采集必须补上的证据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41"/>
        <w:gridCol w:w="3969"/>
        <w:gridCol w:w="3628"/>
      </w:tblGrid>
      <w:tr>
        <w:trPr>
          <w:cantSplit/>
          <w:tblHeader w:val="true"/>
        </w:trPr>
        <w:tc>
          <w:tcPr>
            <w:tcW w:type="dxa" w:w="204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现有问题</w:t>
            </w:r>
          </w:p>
        </w:tc>
        <w:tc>
          <w:tcPr>
            <w:tcW w:type="dxa" w:w="3969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已有证据</w:t>
            </w:r>
          </w:p>
        </w:tc>
        <w:tc>
          <w:tcPr>
            <w:tcW w:type="dxa" w:w="362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新数据必须提供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没有真实参考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dark 不能整批当 clean，算法背景也不是真值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同一当前模体和几何下的复位 clean 重复、sham 差分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曝光相同但残留不稳定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同设置 alpha 最大/最小比达 32.3、50.1、33.7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板 ID、擦除、读片配置、真实时序及完全复测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缺少时间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dark/light 62 张均无 AcquisitionTime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曝光、读取、擦除各自的开始与结束事件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大物体下背景无法验证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完整遮挡 169 次仅 58 次可放置，原位置验证为 0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独立复位暗场、原位置空场及大覆盖前序 B probe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数据含更老历史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历史检查曾检出多帧记忆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每组独立复位，保存复位证明和源历史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图像可能已被裁剪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第 17 帧约 94.21% 像素停在 55000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原始有效量程、物理饱和及软件裁剪说明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泛化尚未验证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13 pair 来自同一次会话，空间 fold 不是新采集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独立日期、场景、板的分组测试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这些数字来自 RESULTS 的既有记录和当前审计，未将旧分析重新运行成新的证据。板状态或读片时机导致系数变化仍是待验证解释；公司采集要使这些因素可检验。</w:t>
      </w:r>
      <w:r>
        <w:t>RESULTS 第 4.14 至 4.17 节与阅片检查（RESULTS.md）</w:t>
      </w:r>
    </w:p>
    <w:p>
      <w:pPr>
        <w:pStyle w:val="Heading2"/>
      </w:pPr>
      <w:r>
        <w:t>2 3 必须区分两种单帧目标</w:t>
      </w:r>
    </w:p>
    <w:p>
      <w:r>
        <w:rPr>
          <w:b/>
        </w:rPr>
        <w:t>目标 A：去除紧邻前一帧造成的残影。</w:t>
      </w:r>
      <w:r>
        <w:t xml:space="preserve"> 当前项目限定 lag-1，可在推理时使用当前帧及上一帧；这与现有代码和机制研究一致。建议先把这一路线的受控验证完成。</w:t>
      </w:r>
    </w:p>
    <w:p>
      <w:r>
        <w:rPr>
          <w:b/>
        </w:rPr>
        <w:t>目标 B：推理仅输入当前一张图像。</w:t>
      </w:r>
      <w:r>
        <w:t xml:space="preserve"> 标定与训练仍应保存 previous、状态和参考，只是在验证时限制模型输入。基于 </w:t>
      </w:r>
      <w:r>
        <w:rPr>
          <w:rFonts w:ascii="Arial" w:hAnsi="Arial"/>
          <w:sz w:val="20"/>
        </w:rPr>
        <w:t>观测 = 当前真实结构 + 历史残影 + 噪声</w:t>
      </w:r>
      <w:r>
        <w:t xml:space="preserve"> 的模型推论，一张观测通常有多种真实结构与残影分解，重叠且形态相似时尤其如此。更多数据可帮助学习限定分布的估计，不能消除任意历史条件下的不可辨识性。因此需单列盲单图测试，与允许 previous 的模型比较误删和不确定度。</w:t>
      </w:r>
    </w:p>
    <w:p>
      <w:r>
        <w:t>采集按两个目标都可评估的超集进行；最终模型输入应在正式测试冻结前确定。设备公司还需确认是否可读取部署时的板 ID、时序与擦除状态；训练拥有而部署无法取得的字段，不得直接作为部署模型必需输入。</w:t>
      </w:r>
    </w:p>
    <w:p>
      <w:r>
        <w:t>算法路线与部署输入分别定义。数学模型数据较少的前提是残留模板的单位/归一化固定、待估参数可辨识、状态变化能被少量已测变量描述。若 alpha、背景或残留模板需要逐帧或逐位置任意变化，不能仅因公式中出现两个系数就推断数据需求低。</w:t>
      </w:r>
    </w:p>
    <w:p>
      <w:r>
        <w:t>用 clean 拟合每组 alpha 只能验证描述能力。用于部署时，alpha 与背景必须通过冻结标定、部署可读状态，或只用允许输入的预声明估计流程取得；不得在测试图上利用 clean 重新拟合后报告上线恢复性能。先同时检查残留物理重复性和参考/背景测量重复性，不能把现有系数波动提前确认为某一种板状态机制。</w:t>
      </w:r>
    </w:p>
    <w:p>
      <w:pPr>
        <w:pStyle w:val="Heading1"/>
      </w:pPr>
      <w:r>
        <w:t>3 权威论文与技术机构如何取得可靠数据</w:t>
      </w:r>
    </w:p>
    <w:p>
      <w:pPr>
        <w:pStyle w:val="Heading2"/>
      </w:pPr>
      <w:r>
        <w:t>3 1 与当前 CR 最直接相关的证据</w:t>
      </w:r>
    </w:p>
    <w:p>
      <w:r>
        <w:rPr>
          <w:b/>
        </w:rPr>
        <w:t>AAPM Report 93，2006，验收与质控报告。</w:t>
      </w:r>
      <w:r>
        <w:t xml:space="preserve"> 第 8.4.9 节及表 11 用遮挡物的高曝光、去掉遮挡物后的低曝光、再次无曝光读出组成三图擦除测试；示例为 60 kVp、180 cm SID，约 50 mR 后约 1 mR，并指定厂商处理模式。其价值是有定义的曝光历史、处理链和负对照。它是质控方法，不是 AI 训练数据规模标准。</w:t>
      </w:r>
      <w:hyperlink r:id="rId10">
        <w:r>
          <w:rPr>
            <w:rFonts w:ascii="Arial" w:hAnsi="Arial" w:eastAsia="Songti SC"/>
            <w:color w:val="234D72"/>
            <w:u w:val="single"/>
          </w:rPr>
          <w:t>AAPM 官方报告</w:t>
        </w:r>
      </w:hyperlink>
    </w:p>
    <w:p>
      <w:r>
        <w:rPr>
          <w:b/>
        </w:rPr>
        <w:t>IAEA Human Health Series 47，2023。</w:t>
      </w:r>
      <w:r>
        <w:t xml:space="preserve"> 第 2.2.22 节的 CR 擦除效率测试使用新擦除板、150–180 cm 距离、60 kV、约 50 μGy 的遮挡曝光；首次曝光后按厂商默认流程读取并擦除，再以约 1 μGy 无遮挡曝光，读取参数一致。此处数值属于该手册的质控设置，不能与 AAPM 的 mR 数字混为同一处方。</w:t>
      </w:r>
      <w:hyperlink r:id="rId11">
        <w:r>
          <w:rPr>
            <w:rFonts w:ascii="Arial" w:hAnsi="Arial" w:eastAsia="Songti SC"/>
            <w:color w:val="234D72"/>
            <w:u w:val="single"/>
          </w:rPr>
          <w:t>IAEA 官方手册</w:t>
        </w:r>
      </w:hyperlink>
    </w:p>
    <w:p>
      <w:r>
        <w:rPr>
          <w:b/>
        </w:rPr>
        <w:t>Muhogora 等，2011，Journal of Medical Physics。</w:t>
      </w:r>
      <w:r>
        <w:t xml:space="preserve"> 三套 CR 系统按 AAPM 方法测暗噪声、响应、分辨率与擦除；擦除测试使用约 10 cm 直径、3 cm 厚的铅块及 60 kVp、438 μGy 曝光。论文还讨论了原始状态和处理模式难以确认的问题。它支持先检验系统与板的质量，而非将所有 faint pattern 归为同一种残影。</w:t>
      </w:r>
      <w:hyperlink r:id="rId12">
        <w:r>
          <w:rPr>
            <w:rFonts w:ascii="Arial" w:hAnsi="Arial" w:eastAsia="Songti SC"/>
            <w:color w:val="234D72"/>
            <w:u w:val="single"/>
          </w:rPr>
          <w:t>原论文全文，DOI 10.4103/0971-6203.83478</w:t>
        </w:r>
      </w:hyperlink>
    </w:p>
    <w:p>
      <w:r>
        <w:rPr>
          <w:b/>
        </w:rPr>
        <w:t>Ohuchi-Yoshida 与 Kondo，2011，Nuclear Instruments and Methods A。</w:t>
      </w:r>
      <w:r>
        <w:t xml:space="preserve"> 出版社摘要及节选报告三类 CR 板，50 kV、8.1 mGy–8.0 Gy，比较常规可见光和联合紫外/可见光擦除，检验潜像再出现。该高剂量材料研究说明板型、累积历史和“擦除后是否再出现”需要区分；不能据此在本项目照搬高剂量或自行改造擦除方式。可核验证据不包含通用训练集规模。</w:t>
      </w:r>
      <w:hyperlink r:id="rId13">
        <w:r>
          <w:rPr>
            <w:rFonts w:ascii="Arial" w:hAnsi="Arial" w:eastAsia="Songti SC"/>
            <w:color w:val="234D72"/>
            <w:u w:val="single"/>
          </w:rPr>
          <w:t>出版社来源，DOI 10.1016/j.nima.2011.08.064</w:t>
        </w:r>
      </w:hyperlink>
    </w:p>
    <w:p>
      <w:r>
        <w:rPr>
          <w:b/>
        </w:rPr>
        <w:t>Seoung，2014，Technology and Health Care。</w:t>
      </w:r>
      <w:r>
        <w:t xml:space="preserve"> 研究摘要给出 20/30/40°C，0/4/8/12/24 小时延迟，50 kVp、10 mAs、150 cm，11 级铝阶梯楔；对比、降噪、边缘和纬度相关处理参数设为零。研究对象是潜像衰减而非下一帧去残影；启示是曝光至读取时间、温度和处理设置必须记录。摘要未提供可确认的总图像数。</w:t>
      </w:r>
      <w:hyperlink r:id="rId14">
        <w:r>
          <w:rPr>
            <w:rFonts w:ascii="Arial" w:hAnsi="Arial" w:eastAsia="Songti SC"/>
            <w:color w:val="234D72"/>
            <w:u w:val="single"/>
          </w:rPr>
          <w:t>PubMed，DOI 10.3233/THC-140800</w:t>
        </w:r>
      </w:hyperlink>
    </w:p>
    <w:p>
      <w:r>
        <w:rPr>
          <w:b/>
        </w:rPr>
        <w:t>Hammerstrom 等，2006，Journal of Digital Imaging。</w:t>
      </w:r>
      <w:r>
        <w:t xml:space="preserve"> 对四个科室 197 个 Fuji、35 个 Agfa、37 个 Kodak CR 盒和板做物理及影像检查，共 269 套。该数量是受检硬件数，不是监督训练样本量。研究显示板和盒磨损可造成伪影，支持保存板状态与空场缺陷图，避免模型把划痕或污点学成历史残留。</w:t>
      </w:r>
      <w:hyperlink r:id="rId15">
        <w:r>
          <w:rPr>
            <w:rFonts w:ascii="Arial" w:hAnsi="Arial" w:eastAsia="Songti SC"/>
            <w:color w:val="234D72"/>
            <w:u w:val="single"/>
          </w:rPr>
          <w:t>原研究摘要</w:t>
        </w:r>
      </w:hyperlink>
    </w:p>
    <w:p>
      <w:pPr>
        <w:pStyle w:val="Heading2"/>
      </w:pPr>
      <w:r>
        <w:t>3 2 DR 平板领域可借鉴的实验原则</w:t>
      </w:r>
    </w:p>
    <w:p>
      <w:r>
        <w:rPr>
          <w:b/>
        </w:rPr>
        <w:t>Siewerdsen 与 Jaffray，1999，Medical Physics。</w:t>
      </w:r>
      <w:r>
        <w:t xml:space="preserve"> 《A ghost story》使用 512×512 间接转换平板，120 kVp、0.2–25.6 s 帧时间，通过单次曝光响应、暗读出和遮挡图案观察短期 lag 与长期 ghost；论文没有统一“训练集总张数”。它提示背景、历史响应和灵敏度变化需要分别测量。</w:t>
      </w:r>
      <w:hyperlink r:id="rId16">
        <w:r>
          <w:rPr>
            <w:rFonts w:ascii="Arial" w:hAnsi="Arial" w:eastAsia="Songti SC"/>
            <w:color w:val="234D72"/>
            <w:u w:val="single"/>
          </w:rPr>
          <w:t>原论文 DOI 10.1118/1.598657</w:t>
        </w:r>
      </w:hyperlink>
    </w:p>
    <w:p>
      <w:r>
        <w:rPr>
          <w:b/>
        </w:rPr>
        <w:t>Starman 等，2011，Medical Physics。</w:t>
      </w:r>
      <w:r>
        <w:t xml:space="preserve"> LTI 校正研究使用 Varian 4030CB、默认 15 fps，10 档约 0.5%–84% 饱和范围，每个阶跃实验含 600 曝光帧及 600 暗帧，并用独立参考监测源输出。头部和骨盆模体用于验证。帧序列长度是测响应的协议，不是独立场景数。</w:t>
      </w:r>
      <w:hyperlink r:id="rId17">
        <w:r>
          <w:rPr>
            <w:rFonts w:ascii="Arial" w:hAnsi="Arial" w:eastAsia="Songti SC"/>
            <w:color w:val="234D72"/>
            <w:u w:val="single"/>
          </w:rPr>
          <w:t>原论文全文，DOI 10.1118/1.3574873</w:t>
        </w:r>
      </w:hyperlink>
    </w:p>
    <w:p>
      <w:r>
        <w:rPr>
          <w:b/>
        </w:rPr>
        <w:t>Starman 等，2012，Medical Physics。</w:t>
      </w:r>
      <w:r>
        <w:t xml:space="preserve"> 非线性校正研究在 15 fps 下使用 9 档约 2%–92% 饱和范围，每档 600 曝光帧和 600 暗帧，125 kVp 并记录滤过；模型保存历史电荷状态。9×1200＝10800 只是在基础阶跃协议下的帧数，不是文章全部数据量，更不是 10800 个独立样本。</w:t>
      </w:r>
      <w:hyperlink r:id="rId18">
        <w:r>
          <w:rPr>
            <w:rFonts w:ascii="Arial" w:hAnsi="Arial" w:eastAsia="Songti SC"/>
            <w:color w:val="234D72"/>
            <w:u w:val="single"/>
          </w:rPr>
          <w:t>原论文全文，DOI 10.1118/1.4752087</w:t>
        </w:r>
      </w:hyperlink>
    </w:p>
    <w:p>
      <w:r>
        <w:rPr>
          <w:b/>
        </w:rPr>
        <w:t>Ren 等，2025，Computer Methods and Programs in Biomedicine。</w:t>
      </w:r>
      <w:r>
        <w:t xml:space="preserve"> Lag-Net 通过同一物体两次扫描和调整第二次采集时序估计 lag，取得硬件校正的近无 lag 参考，结合真实水模体与仿真。可核验摘要及出版社节选支持“先取得可信参考再学习映射”；其中未核实总数据量、剂量、分辨率、拆分或严格单帧输入定义，不能用它们反推本项目下限。</w:t>
      </w:r>
      <w:hyperlink r:id="rId19">
        <w:r>
          <w:rPr>
            <w:rFonts w:ascii="Arial" w:hAnsi="Arial" w:eastAsia="Songti SC"/>
            <w:color w:val="234D72"/>
            <w:u w:val="single"/>
          </w:rPr>
          <w:t>出版社论文，DOI 10.1016/j.cmpb.2025.108753</w:t>
        </w:r>
      </w:hyperlink>
    </w:p>
    <w:p>
      <w:r>
        <w:t>CR 的读取会改变潜像，读片又常伴随自动擦除；DR 的连续电荷读出机制不同。上面的 15 fps、600 暗帧和电荷复位方法不能直接套给 CR。可借鉴的是固定并记录历史、测原始响应、监测源输出、取得物理参考、用独立模体验证。</w:t>
      </w:r>
    </w:p>
    <w:p>
      <w:pPr>
        <w:pStyle w:val="Heading2"/>
      </w:pPr>
      <w:r>
        <w:t>3 3 高质量数据的共同特征</w:t>
      </w:r>
    </w:p>
    <w:p>
      <w:r>
        <w:t>高质量首先意味着每张图的因果来源和测量含义明确：已知起始状态、可执行的曝光与复位流程、真实事件时间、稳定像素映射，以及重复实验得到的噪声与漂移界限。下一步是覆盖实际场景与独立测试。文献中的几万连续帧通常来自少量固定物体和设备；不能将其张数换算成深度模型的独立泛化样本量。</w:t>
      </w:r>
    </w:p>
    <w:p>
      <w:pPr>
        <w:pStyle w:val="Heading1"/>
      </w:pPr>
      <w:r>
        <w:t>4 需要采集的数据类别</w:t>
      </w:r>
    </w:p>
    <w:p>
      <w:pPr>
        <w:pStyle w:val="Heading2"/>
      </w:pPr>
      <w:r>
        <w:t>4 1 必须有的数据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41"/>
        <w:gridCol w:w="3969"/>
        <w:gridCol w:w="3628"/>
      </w:tblGrid>
      <w:tr>
        <w:trPr>
          <w:cantSplit/>
          <w:tblHeader w:val="true"/>
        </w:trPr>
        <w:tc>
          <w:tcPr>
            <w:tcW w:type="dxa" w:w="204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969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主要文件</w:t>
            </w:r>
          </w:p>
        </w:tc>
        <w:tc>
          <w:tcPr>
            <w:tcW w:type="dxa" w:w="362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要解决的问题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真实带物体配对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previous、ghosted、clean_before、clean_after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去残影与保留当前结构的监督和评价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充分复位暗场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多次无新 X 射线读取及事件日志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偏置、固定图样、读噪声、复位后污染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充分复位空场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低/标称/高档均匀曝光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线性映射、增益、空间不均匀、裁剪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受控残留探测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B 曝光后，在预定时刻读出的无新曝光图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残留幅值、读取与擦除状态、时间效应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无残影 sham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同流程但在 A 前充分复位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参考噪声、正常图误改、采集链假差分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完全复测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同 A、B、参数和状态，重新初始化再采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系数波动与可重复性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困难样本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大覆盖、结构重叠、低对比细节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单图可辨识性与误删风险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暗场是无新 X 射线的读出，空场是有 X 射线而无目标遮挡的均匀曝光。两者不可混用。暗场只用于背景与残留标定，带物体配对才用于验证真实当前结构恢复。</w:t>
      </w:r>
    </w:p>
    <w:p>
      <w:r>
        <w:t xml:space="preserve">sham 建议各半包含两种流程：无 B 曝光、匹配其余操作的正常 A；有相同 B 曝光，但在 A 前认证充分复位。后一种用于检验模型是否将“曾有 B”误当成“仍有残影”。无 B sham 交付三张 A 和一张实采复位暗场 </w:t>
      </w:r>
      <w:r>
        <w:rPr>
          <w:rFonts w:ascii="Arial" w:hAnsi="Arial"/>
          <w:sz w:val="20"/>
        </w:rPr>
        <w:t>sham_dark</w:t>
      </w:r>
      <w:r>
        <w:t>，暗场读出后再次按认证流程初始化；previous_role 和 B 曝光字段为 null，不能把 dark 标为 previous。两类 sham 均保留四张核心原图，当前对照帧用 role=sham_current。复位额外用时需记录，必要时为比较组补齐等待。固定图样、板划痕、扫描条纹和随 B 改变的残留分开标注；通过平移 B、复位暗场和 B 前后独立空场，检查图样是否跟着 B 移动以及是否含灵敏度变化。</w:t>
      </w:r>
    </w:p>
    <w:p>
      <w:pPr>
        <w:pStyle w:val="Heading2"/>
      </w:pPr>
      <w:r>
        <w:t>4 2 当前物体 A 与前序物体 B 的内容要求</w:t>
      </w:r>
    </w:p>
    <w:p>
      <w:r>
        <w:t>先使用铝阶梯楔、均匀 PMMA、水模体、带低对比插入件与线对/斜边的质量模体，并增加与应用相符的胸部、骨盆或其他静态仿真结构。若实际用途是工业 X 射线，则替换为对应材料、厚度及缺陷模体，不混合不同任务后宣称通用效果。每个物体均保存匿名 object_id、材料/厚度和布局说明。</w:t>
      </w:r>
    </w:p>
    <w:p>
      <w:r>
        <w:t>建议 A 覆盖率分层为约 10%、30%、60%，另保留超过 70% 的压力样本；在需要结构泛化的确认/深度学习批次中，建议至少四分之一候选组为 A 覆盖率不低于 50% 的情形，用于检验大覆盖当前结构的恢复。包含细线、孔洞、厚度台阶与低对比小结构，评价去除后是否保留它们。</w:t>
      </w:r>
    </w:p>
    <w:p>
      <w:r>
        <w:t>现有 BG 遮挡审查的空缺针对的是前序 source B 支持区，因此 B 也必须有独立面积分层，覆盖约 10%、20%–40%、40%–60%；在空间响应验证/深度学习批次中，建议至少四分之一候选的 B 覆盖率不低于 30%。在 B 实际板位置取得独立复位背景和残留 probe，不用把大 B 移到其他空气区的插补结果代替原位置测量。A 大覆盖与 B 大覆盖分别记录，不能互相充当验证。</w:t>
      </w:r>
    </w:p>
    <w:p>
      <w:r>
        <w:t xml:space="preserve">B 的布局分成与 A 低重叠、部分重叠、高重叠三类，参考阈值为低于 10%、10%–50%、高于 50%，重叠按 </w:t>
      </w:r>
      <w:r>
        <w:rPr>
          <w:rFonts w:ascii="Arial" w:hAnsi="Arial"/>
          <w:sz w:val="20"/>
        </w:rPr>
        <w:t>B 支持区 ∩ A 支持区 / B 支持区</w:t>
      </w:r>
      <w:r>
        <w:t xml:space="preserve"> 计算并保存实际值。试采可先固定一种 B。数学阶段再按待验证假设增加形状与位置；深度学习阶段建议至少 5 种物理结构或投影模板，扩展时可达 10 种，覆盖中心和象限，并加入与 A 形态相似的图案。掩膜是辅助标注，物体支持区与实际残影可见区不等同。</w:t>
      </w:r>
    </w:p>
    <w:p>
      <w:r>
        <w:t>同一 A 组内，A、板、几何和当前曝光流程保持一致，仅按矩阵改变 B 与指定实验因素。移动 B 时不得改变 A 的固定安装；使用定位架、可重复装板方向和板坐标标记。保存完整原始探测器坐标，供 previous 残留建模使用。</w:t>
      </w:r>
    </w:p>
    <w:p>
      <w:pPr>
        <w:pStyle w:val="Heading2"/>
      </w:pPr>
      <w:r>
        <w:t>4 3 数据分层与异常样本</w:t>
      </w:r>
    </w:p>
    <w:p>
      <w:r>
        <w:t>先用试采确定低于检出限、弱、中、强残影分层。建议正式候选覆盖四层，避免全由容易处理的强残影构成；分层依据是受控差分对比和 sham 噪声，不是某个待评价模型的打分。截断、污染、未完整复位样本全部保留在受控原始包中，并标明资格；不能加入主要可恢复像素指标。若合法设备工作范围内无法稳定制造可测残影，报告这个结果并调整研究定义，不能为凑“阳性”破坏板或使用无法部署的极端条件。</w:t>
      </w:r>
    </w:p>
    <w:p>
      <w:pPr>
        <w:pStyle w:val="Heading1"/>
      </w:pPr>
      <w:r>
        <w:t>5 取得可信配对参考的操作流程</w:t>
      </w:r>
    </w:p>
    <w:p>
      <w:pPr>
        <w:pStyle w:val="Heading2"/>
      </w:pPr>
      <w:r>
        <w:t>5 1 每组至少四张的推荐顺序</w:t>
      </w:r>
    </w:p>
    <w:p>
      <w:pPr>
        <w:ind w:left="340" w:hanging="340"/>
      </w:pPr>
      <w:r>
        <w:t xml:space="preserve">1. 将专用模体板充分复位，按预先认证的流程确认起始状态。固定 A、板方向、SID、滤过及当前曝光模式，采集 </w:t>
      </w:r>
      <w:r>
        <w:rPr>
          <w:rFonts w:ascii="Arial" w:hAnsi="Arial"/>
          <w:sz w:val="20"/>
        </w:rPr>
        <w:t>clean_before</w:t>
      </w:r>
      <w:r>
        <w:t>。</w:t>
      </w:r>
    </w:p>
    <w:p>
      <w:pPr>
        <w:ind w:left="340" w:hanging="340"/>
      </w:pPr>
      <w:r>
        <w:t xml:space="preserve">2. 再充分复位，清除 A 的潜像。移开 A 或切换到记录好的 B 布局，曝光并读取 </w:t>
      </w:r>
      <w:r>
        <w:rPr>
          <w:rFonts w:ascii="Arial" w:hAnsi="Arial"/>
          <w:sz w:val="20"/>
        </w:rPr>
        <w:t>previous</w:t>
      </w:r>
      <w:r>
        <w:t>。记录 B 曝光、B 读取和随后自动/手动擦除的全部事件。</w:t>
      </w:r>
    </w:p>
    <w:p>
      <w:pPr>
        <w:ind w:left="340" w:hanging="340"/>
      </w:pPr>
      <w:r>
        <w:t xml:space="preserve">3. 执行已定义的残留状态流程，等待指定间隔，恢复 A 的原几何，采集 </w:t>
      </w:r>
      <w:r>
        <w:rPr>
          <w:rFonts w:ascii="Arial" w:hAnsi="Arial"/>
          <w:sz w:val="20"/>
        </w:rPr>
        <w:t>ghosted</w:t>
      </w:r>
      <w:r>
        <w:t>。</w:t>
      </w:r>
      <w:r>
        <w:rPr>
          <w:b/>
        </w:rPr>
        <w:t>在 B 与 ghosted 之间不得额外插入未声明的 dark 读片或 clean 采集</w:t>
      </w:r>
      <w:r>
        <w:t>，否则会改变潜像和擦除历史。</w:t>
      </w:r>
    </w:p>
    <w:p>
      <w:pPr>
        <w:ind w:left="340" w:hanging="340"/>
      </w:pPr>
      <w:r>
        <w:t xml:space="preserve">4. 充分复位，保持 A 的几何和曝光条件，再采集 </w:t>
      </w:r>
      <w:r>
        <w:rPr>
          <w:rFonts w:ascii="Arial" w:hAnsi="Arial"/>
          <w:sz w:val="20"/>
        </w:rPr>
        <w:t>clean_after</w:t>
      </w:r>
      <w:r>
        <w:t>。两次 clean 均需经过已认证复位。A 的曝光至读片间隔应与 ghosted 中 A 的对应间隔匹配。</w:t>
      </w:r>
    </w:p>
    <w:p>
      <w:pPr>
        <w:ind w:left="340" w:hanging="340"/>
      </w:pPr>
      <w:r>
        <w:t>5. 保存完整事件日志、复位模式、源输出测量、像素映射与文件 SHA-256。将这组所有衍生图、复测和参考关联到同一 group_id。</w:t>
      </w:r>
    </w:p>
    <w:p>
      <w:r>
        <w:t>CR 读片机可能在读取 previous 后自动擦除。公司需提供可操作且合法的模式：正常擦除条件下确实出现的残留、可记录的测试擦除等级，或厂商提供的其他模体研究模式。不能仅在操作单上写“不完全擦除”，也不能假设可以保存 previous 而完全跳过读取相关状态变化。正式数据先锁定一种可重复的残留流程；其他擦除模式作为独立标定或后续扩展。</w:t>
      </w:r>
    </w:p>
    <w:p>
      <w:pPr>
        <w:pStyle w:val="Heading2"/>
      </w:pPr>
      <w:r>
        <w:t>5 2 clean 的含义与不确定度</w:t>
      </w:r>
    </w:p>
    <w:p>
      <w:r>
        <w:rPr>
          <w:rFonts w:ascii="Arial" w:hAnsi="Arial"/>
          <w:sz w:val="20"/>
        </w:rPr>
        <w:t>clean_reference = (clean_before + clean_after) / 2</w:t>
      </w:r>
      <w:r>
        <w:t xml:space="preserve"> 可作为稳定条件下的初始参考估计；</w:t>
      </w:r>
      <w:r>
        <w:rPr>
          <w:rFonts w:ascii="Arial" w:hAnsi="Arial"/>
          <w:sz w:val="20"/>
        </w:rPr>
        <w:t>ghost_estimate = ghosted − clean_reference</w:t>
      </w:r>
      <w:r>
        <w:t xml:space="preserve"> 仍含量子噪声、读噪声、源输出变化、配准误差和漂移，不是逐像素精确残影。若前后 clean 有系统变化，不能直接平均并宣布获得真值。</w:t>
      </w:r>
    </w:p>
    <w:p>
      <w:r>
        <w:t xml:space="preserve">先用完全复位的 clean-clean 重复及 sham 流程测这些误差。在独立噪声且同方差近似下，单张 ghosted 减去 R 张 clean 平均的噪声标准差约为 </w:t>
      </w:r>
      <w:r>
        <w:rPr>
          <w:rFonts w:ascii="Arial" w:hAnsi="Arial"/>
          <w:sz w:val="20"/>
        </w:rPr>
        <w:t>sigma × sqrt(1 + 1/R)</w:t>
      </w:r>
      <w:r>
        <w:t>；增加 clean 重复不能消除 ghosted 本身的噪声。正式测试每组建议再加 2 张独立复位 clean，总计 4 张参考；必要时增加重复 ghosted 或在预声明 ROI/block 域估计残留，而非只增加 clean 张数。</w:t>
      </w:r>
    </w:p>
    <w:p>
      <w:r>
        <w:t>训练使用噪声参考时需保存 R 和每张参考，不能只交平均图。评价同时报告 clean-clean/sham 噪声底、全分辨率结构保真和 block16 残影指标，避免把整体降噪或参考噪声当作残影性能。</w:t>
      </w:r>
    </w:p>
    <w:p>
      <w:pPr>
        <w:pStyle w:val="Heading2"/>
      </w:pPr>
      <w:r>
        <w:t>5 3 如何认证充分复位与单一前序来源</w:t>
      </w:r>
    </w:p>
    <w:p>
      <w:r>
        <w:t>通过强但合法的 B 图案准备后，执行候选充分复位流程，在空场和无新曝光读出中检查旧图案是否超过 sham 的检出阈值；跨板、跨日复核，并在代表性等待时间后再次检查潜像是否再出现。D0 复位检查若涉及读片，之后必须按认证流程重新初始化，不能把检查后状态与未检查状态混用。</w:t>
      </w:r>
    </w:p>
    <w:p>
      <w:r>
        <w:t>采集只以紧邻 B 为目标，但历史干扰仍需记录。每组开始必须清除更早实验历史；试采可用形状不同的旧图案挑战复位，核查 ghosted 是否只对应本组 B。失败样本标为 history_contaminated，保留原始证据并退出主要 lag-1 队列。这是采集质量控制，不扩展项目的多阶模型。</w:t>
      </w:r>
    </w:p>
    <w:p>
      <w:pPr>
        <w:pStyle w:val="Heading2"/>
      </w:pPr>
      <w:r>
        <w:t>5 4 CR 时间效应不能用连续 dark 假装纯自然衰减</w:t>
      </w:r>
    </w:p>
    <w:p>
      <w:r>
        <w:t>CR 的读取、擦除会改变剩余潜像。比较残留在不同等待时间的变化时，每个时间点均需独立充分复位、重新准备同一 B、执行同一读取/擦除流程，再只在该时间点读取 probe。若连续读出多个 dark，应明确其科学定义是“重复读出及擦除后的残留”，不能把它们直接拟合成未受扰动的时间衰减常数。</w:t>
      </w:r>
    </w:p>
    <w:p>
      <w:r>
        <w:t>若之后改采 DR，另制连续 step-response 与暗帧协议，保存真实 fps、帧时序、丢帧、复位及硬件 lag 校正开关；与 CR 分目录、分模型、分验收。</w:t>
      </w:r>
    </w:p>
    <w:p>
      <w:pPr>
        <w:pStyle w:val="Heading1"/>
      </w:pPr>
      <w:r>
        <w:t>6 两条算法路线的采集预算与验收</w:t>
      </w:r>
    </w:p>
    <w:p>
      <w:pPr>
        <w:pStyle w:val="Heading2"/>
      </w:pPr>
      <w:r>
        <w:t>6 1 第一阶段 30–60 组可行性试采</w:t>
      </w:r>
    </w:p>
    <w:p>
      <w:r>
        <w:t>首轮固定一个硬件单元、一种 B 图案、一个 B 曝光、一个可执行间隔和一种明确残留流程，先检验完整条件下的重复性。30 组示例为：2 个固定 A 场景 × 2 个会话 × 每条件 6 次完全重新初始化＝24 个候选循环，另采 6 个 sham。两个会话尽量跨日期，并平衡两类 sham。若需 60 组，可先增加到 4 个 A 场景，得到 48 个候选和 12 个 sham；也可根据已经发现的状态问题调整扩展模块，并记录实际矩阵。</w:t>
      </w:r>
    </w:p>
    <w:p>
      <w:r>
        <w:t>试采不同时铺开擦除、曝光、时延、位置的全因子组合。先认证充分复位、clean 重复、源输出与像素映射；残留变化明显超出参考噪声时，优先检查擦除、读取、温度和历史日志，必要时只改变一个可操作状态做对照。</w:t>
      </w:r>
    </w:p>
    <w:p>
      <w:r>
        <w:t>试采全部作为开发/流程数据。通过资格审查的候选可以抵扣第二阶段同类复测，sham 抵扣同类对照；未通过或改变协议后不再可比的样本保留原因，不抵扣有效数据数量。已看过的试采不转作独立确认测试。</w:t>
      </w:r>
    </w:p>
    <w:p>
      <w:pPr>
        <w:pStyle w:val="Heading2"/>
      </w:pPr>
      <w:r>
        <w:t>6 2 第二阶段 100–300 组数学模型候选配对</w:t>
      </w:r>
    </w:p>
    <w:p>
      <w:r>
        <w:t>目标为固定硬件和受限工作条件下的低自由度数学基线，包括真实参考误差、参数可辨识性与上线估计流程。候选配对预算 100–300 组，另配 20–60 个 sham。具体数量按试采噪声、参数自由度及要声明的应用范围决定。下面是 200 候选＋40 sham、合计 240 循环的可核算示例，并非必须完成的统一矩阵：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6180"/>
        <w:gridCol w:w="119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180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受控条件与计算</w:t>
            </w:r>
          </w:p>
        </w:tc>
        <w:tc>
          <w:tcPr>
            <w:tcW w:type="dxa" w:w="119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候选循环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关键条件完全复测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2 A × 2 会话 × 15 次；固定 B、曝光、间隔及流程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曝光依赖</w:t>
            </w:r>
          </w:p>
        </w:tc>
        <w:tc>
          <w:tcPr>
            <w:tcW w:type="dxa" w:w="6180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2 A × 3 个 B 曝光档 × 5 次；固定等待与位置</w:t>
            </w:r>
          </w:p>
        </w:tc>
        <w:tc>
          <w:tcPr>
            <w:tcW w:type="dxa" w:w="119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时间依赖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2 A × 3 个真实等待档 × 5 次；固定 B 曝光与位置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空间响应检查</w:t>
            </w:r>
          </w:p>
        </w:tc>
        <w:tc>
          <w:tcPr>
            <w:tcW w:type="dxa" w:w="6180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2 A × 5 个 B 位置 × 2 次；固定其他条件</w:t>
            </w:r>
          </w:p>
        </w:tc>
        <w:tc>
          <w:tcPr>
            <w:tcW w:type="dxa" w:w="119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独立确认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10 个新 A × 3 个 B 重叠布局 × 2 次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合计</w:t>
            </w:r>
          </w:p>
        </w:tc>
        <w:tc>
          <w:tcPr>
            <w:tcW w:type="dxa" w:w="6180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140 开发＋60 确认</w:t>
            </w:r>
          </w:p>
        </w:tc>
        <w:tc>
          <w:tcPr>
            <w:tcW w:type="dxa" w:w="119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200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开发阶段尽量先复用试采的合格固定条件循环，再按结果逐项增加曝光、时间和空间模块。名义条件在不同模块中重复时属于有意复测，分别记录 capture_id；同一实采文件不能在总数中重复计数。预算降低时可以缩减与当前工作范围无关的模块，但保留测量重复性、sham 和未用于开发的跨日期新场景确认。</w:t>
      </w:r>
    </w:p>
    <w:p>
      <w:r>
        <w:t>示例的 40 sham 可安排开发 20、确认 20，两类对照平衡。因此确认部分为 60 候选＋20 sham，共 80 循环；开发和确认 A 场景及日期分开，开发包含 2 A、确认包含 10 个新 A。200 是采集循环数量，独立当前场景仅 12 个，不能用于证明广泛结构泛化。若涉及多块板，应单列各板覆盖和是否见过；只测一块板则结论限于该板。</w:t>
      </w:r>
    </w:p>
    <w:p>
      <w:r>
        <w:t>曝光与时延先分别测试，但不能因此假设其作用独立。出现趋势或交互迹象时，追加少量“曝光×时延”“板状态×曝光”的组合确认，并计入 100–300 额度或单列新增原因。不需要一开始完成全部位置、时延和剂量组合。</w:t>
      </w:r>
    </w:p>
    <w:p>
      <w:r>
        <w:t>独立确认前冻结模型形式、标定、门控和指标；参数只能通过部署允许的输入取得。检查当前结构与重叠区保真、无残影误改、噪声底和残留结构，不把拟合成功或高 R² 当成恢复成功。每组 alpha 若仍只能通过其 clean 确定，应报告为机制描述，不能判定部署基线通过。</w:t>
      </w:r>
    </w:p>
    <w:p>
      <w:r>
        <w:t>若 100–300 组内已达到固定任务的预声明目标，可停止追加；若残留或测量不稳定，先处理状态与参考；若模型假设失败但数据可信，记录基线局限并评估深度学习。原 600 候选＋120 sham 方案仅在确需更广条件覆盖时作为可选扩展，不再是最低交付。</w:t>
      </w:r>
    </w:p>
    <w:p>
      <w:pPr>
        <w:pStyle w:val="Heading2"/>
      </w:pPr>
      <w:r>
        <w:t>6 3 必要标定按问题逐步安排</w:t>
      </w:r>
    </w:p>
    <w:p>
      <w:r>
        <w:t>标定单独列项，与带物体四图配对区分。每个硬件单元/读片配置在会话开始和结束，建议各采 10–20 张认证复位暗场；空场先用低、标称、高 3 档，每档约 5 次独立复位。根据背景、增益和参考噪声精度追加，不把每张 dark 或 flat 当成独立恢复场景。</w:t>
      </w:r>
    </w:p>
    <w:p>
      <w:r>
        <w:t>CR 先固定一个 B 图案和位置，以关键条件重复验证 residual probe 与复位。需要检查剂量或时间时，再安排例如 3 个 B 曝光档 × 3 个等待档 × 3 次独立准备＝27 个 probe 循环；这个模块在重复性通过后才执行。空间覆盖、第二种 B 或第二块板按已有失败证据追加，不能把所有标定因素一开始相乘。</w:t>
      </w:r>
    </w:p>
    <w:p>
      <w:r>
        <w:t>原来的 2 B × 5 位置 × 3 曝光 × 3 间隔 × 2 会话＝180 probe，是全面机制覆盖的可选方案，仍有研究价值，但不再要求数学模型阶段无条件完成。已由配对数据可靠回答的问题，只有在无曝光 probe 提供独立背景/灵敏度证据时才额外安排。CR 不同等待点独立制备；DR 按第 7.3 节使用其真实读出机制。</w:t>
      </w:r>
    </w:p>
    <w:p>
      <w:pPr>
        <w:pStyle w:val="Heading2"/>
      </w:pPr>
      <w:r>
        <w:t>6 4 第三阶段 800–2000 组深度学习候选配对</w:t>
      </w:r>
    </w:p>
    <w:p>
      <w:r>
        <w:t>先完成可信数学基线及局限评估，再根据任务决定深度学习开发范围。初期目标为 800–2000 个真实残影候选配对循环，另配 160–400 sham；整个数据集优先覆盖 100–300 个不同 A 场景、多个 B 历史和真实工作条件。100–300 指总场景数，不能写成训练场景数或已证明的最低量。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474"/>
        <w:gridCol w:w="1191"/>
        <w:gridCol w:w="2835"/>
        <w:gridCol w:w="1417"/>
        <w:gridCol w:w="1247"/>
        <w:gridCol w:w="1474"/>
      </w:tblGrid>
      <w:tr>
        <w:trPr>
          <w:cantSplit/>
          <w:tblHeader w:val="true"/>
        </w:trPr>
        <w:tc>
          <w:tcPr>
            <w:tcW w:type="dxa" w:w="1474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初期方案</w:t>
            </w:r>
          </w:p>
        </w:tc>
        <w:tc>
          <w:tcPr>
            <w:tcW w:type="dxa" w:w="119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不同 A 场景</w:t>
            </w:r>
          </w:p>
        </w:tc>
        <w:tc>
          <w:tcPr>
            <w:tcW w:type="dxa" w:w="2835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每 A 条件</w:t>
            </w:r>
          </w:p>
        </w:tc>
        <w:tc>
          <w:tcPr>
            <w:tcW w:type="dxa" w:w="1417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候选配对</w:t>
            </w:r>
          </w:p>
        </w:tc>
        <w:tc>
          <w:tcPr>
            <w:tcW w:type="dxa" w:w="1247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sham</w:t>
            </w:r>
          </w:p>
        </w:tc>
        <w:tc>
          <w:tcPr>
            <w:tcW w:type="dxa" w:w="1474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合计循环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起步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4 B 历史 × 2 B 曝光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800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160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960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平衡示例</w:t>
            </w:r>
          </w:p>
        </w:tc>
        <w:tc>
          <w:tcPr>
            <w:tcW w:type="dxa" w:w="119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3 B 历史 × 2 B 曝光</w:t>
            </w:r>
          </w:p>
        </w:tc>
        <w:tc>
          <w:tcPr>
            <w:tcW w:type="dxa" w:w="1417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1200</w:t>
            </w:r>
          </w:p>
        </w:tc>
        <w:tc>
          <w:tcPr>
            <w:tcW w:type="dxa" w:w="1247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240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1440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多样性优先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3 B 历史 × 2 B 曝光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1800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360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2160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每个 B 历史须在形状、位置、重叠或工作状态上有明确差别；不是把同一张 B 裁剪后重复计数。每 A 条件可按应用改用 current 曝光或间隔分层，但记录实际矩阵，不默认完成全部因子。必要固定条件 QC 复测可在总额度中预留并注明对应场景；它们不增加独立内容数量。</w:t>
      </w:r>
    </w:p>
    <w:p>
      <w:r>
        <w:t>按场景及日期约 60%/20%/20% 分训练/验证/测试。三个示例分别约为 60/20/20、120/40/40、180/60/60 个 A 场景，配对和 sham 按预声明规则分配。若日期、板或物体聚类使比例无法精确满足，应保持独立性并交付实际 counts，不为凑比例拆开同一来源。平衡示例在均匀分组时为训练 720 候选＋144 sham，验证和测试各 240 候选＋48 sham。</w:t>
      </w:r>
    </w:p>
    <w:p>
      <w:r>
        <w:t>“不同 A”应记录物理对象、结构、材料厚度、布局、父来源和日期。同一物体轻微移位、同一底图的裁剪/增强或重复曝光，只增加条件覆盖，不自动成为独立物体。场景虽不同但共享父物体/底图时，按对应父来源归组；报告实际独立对象数量。最终是否需要更多内容，依据未见场景学习曲线，而不是配对总数达到某个数字。</w:t>
      </w:r>
    </w:p>
    <w:p>
      <w:r>
        <w:t>数学阶段中合格的开发数据可进入网络训练或验证，按其场景、状态与角色抵扣；旧的固定 A 复测不能抵扣“新独立场景”指标。数学确认数据若用于比较冻结网络，只能保持确认用途，不得回流训练或调参；已查看其结果并据此修改网络时，另安排独立最终确认。</w:t>
      </w:r>
    </w:p>
    <w:p>
      <w:r>
        <w:t>单图恢复与使用 previous 的网络分别评估，训练和测试使用各自允许的输入。初期 800–2000 不保证跨设备、广泛临床或任意历史条件泛化；如果仅 current 的模型在形态相似、完全重叠或低对比结构上误删，先界定可恢复范围并报告门控/保留原图比例。扩大数据不能替代不可辨识性检查。</w:t>
      </w:r>
    </w:p>
    <w:p>
      <w:pPr>
        <w:pStyle w:val="Heading2"/>
      </w:pPr>
      <w:r>
        <w:t>6 5 追加停止与数据复用规则</w:t>
      </w:r>
    </w:p>
    <w:p>
      <w:r>
        <w:t>学习曲线按独立物体/场景与日期成组，比较约 25%、50%、100% 的开发内容，不只增加同场景 patch 或重复次数。验证集用于追加方向和模型选择，冻结测试用于最终确认；不能反复按测试表现调模型仍称其独立。算法残留抑制、结构保真与 sham 误改达到预声明目标，且关键覆盖完整时，可停止；曲线仍改善或目标层缺失时，定向增加对应新内容。</w:t>
      </w:r>
    </w:p>
    <w:p>
      <w:r>
        <w:t>如果误差主要来自参考不一致或未记录状态，先改参考与时序；如果测量可信但物理假设失败，记录失败范围而不是无限增加数学模型样本。自然工作流数据通常没有配对 clean，可按明确外部验证需求追加，用于分布与可用性检查，不作 PSNR 真值、不替代模体监督。临床场景不追加患者曝光制作 clean。</w:t>
      </w:r>
    </w:p>
    <w:p>
      <w:r>
        <w:t>抵扣清单按唯一 capture_id/pair_id、文件哈希、资格、协议版本、设备/任务范围、开发或确认角色核算。新增候选、sham、参考重复和标定分别结算；各阶段不是累计下达的独立采购包。变更设备、像素映射或复位流程后，只有证明可比的数据才能继续用于对应标定与配对任务。</w:t>
      </w:r>
    </w:p>
    <w:p>
      <w:r>
        <w:t xml:space="preserve">规划统计精度时以场景/会话为分析单位：对配对差值的近似独立场景均值，若希望 95% 区间半宽 h，可先用试采标准差 s 估算 </w:t>
      </w:r>
      <w:r>
        <w:rPr>
          <w:rFonts w:ascii="Arial" w:hAnsi="Arial"/>
          <w:sz w:val="20"/>
        </w:rPr>
        <w:t>n ≈ (1.96s/h)^2</w:t>
      </w:r>
      <w:r>
        <w:t xml:space="preserve">，再处理聚类和分层。对于零误改事件，独立 n 次的 95% 风险上限粗略为 </w:t>
      </w:r>
      <w:r>
        <w:rPr>
          <w:rFonts w:ascii="Arial" w:hAnsi="Arial"/>
          <w:sz w:val="20"/>
        </w:rPr>
        <w:t>3/n</w:t>
      </w:r>
      <w:r>
        <w:t>；同一模体重复不满足独立性，20% sham 预算不等于低于 1% 风险的证明。</w:t>
      </w:r>
    </w:p>
    <w:p>
      <w:pPr>
        <w:pStyle w:val="Heading1"/>
      </w:pPr>
      <w:r>
        <w:t>7 曝光时序和设备参数要求</w:t>
      </w:r>
    </w:p>
    <w:p>
      <w:pPr>
        <w:pStyle w:val="Heading2"/>
      </w:pPr>
      <w:r>
        <w:t>7 1 建议起始工作点与覆盖范围</w:t>
      </w:r>
    </w:p>
    <w:p>
      <w:r>
        <w:t>绝对剂量由公司依据设备、模体和有效量程确定。可先从当前已采过的 70 kVp 工作点开始，固定滤过和 SID，以实测板入射空气比释动能 K_nom 选择低/标称/高档，建议相对值约 0.5/1/2 倍；先验证均在线性、未裁剪工作区。试采先固定标称档；数学路线按重复性结果逐步增加三档标定，深度学习路线按其矩阵选两档。mAs 只是控制量，不能当成板入射剂量。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41"/>
        <w:gridCol w:w="3969"/>
        <w:gridCol w:w="3628"/>
      </w:tblGrid>
      <w:tr>
        <w:trPr>
          <w:cantSplit/>
          <w:tblHeader w:val="true"/>
        </w:trPr>
        <w:tc>
          <w:tcPr>
            <w:tcW w:type="dxa" w:w="204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969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主矩阵要求</w:t>
            </w:r>
          </w:p>
        </w:tc>
        <w:tc>
          <w:tcPr>
            <w:tcW w:type="dxa" w:w="362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扩展或标定要求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管电压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每个窄域任务先固定并保存实测/标称值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按用途覆盖已有 50/70/100/110 kV 中适用档；不同 kV 分层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mA 与曝光 ms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分开记录，计算实际 mAs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可用相同 mAs、不同 mA/ms 检查时间结构影响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板入射量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记录 K，单位 μGy，测量点和仪器校准信息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若无法逐图测量，保存逐条件标定和源输出监测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A 当前曝光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试采/数学窄域先固定，clean 与 ghosted 一致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深度学习按用途增加档位，低曝光层检查误删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B 前序曝光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试采先固定；深度学习示例用 2 档，无未知裁剪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数学剂量模块 3 档，必要时加合法压力组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SID 与几何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每组固定，单位 mm，记录板方向及读片方向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需要几何泛化时另设明确分层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温度与工作状态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开始/结束及显著变化时记录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设备温度、室温、开机时长、待机和校准事件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后处理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同一组固定且可审计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保存临床处理副本与 raw 的一一对应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AAPM/IAEA 或材料研究中的曝光数字只用来理解其测试定义。本项目不把它们直接写成设备通用处方。所有人为残留、强曝光及重复配对均在专用模体上执行，不对人员增加研究性重复曝光。</w:t>
      </w:r>
    </w:p>
    <w:p>
      <w:pPr>
        <w:pStyle w:val="Heading2"/>
      </w:pPr>
      <w:r>
        <w:t>7 2 时间间隔必须有明确起止点</w:t>
      </w:r>
    </w:p>
    <w:p>
      <w:r>
        <w:t xml:space="preserve">定义主等待量 </w:t>
      </w:r>
      <w:r>
        <w:rPr>
          <w:rFonts w:ascii="Arial" w:hAnsi="Arial"/>
          <w:sz w:val="20"/>
        </w:rPr>
        <w:t>gap_after_erase_s = A 曝光开始 − B 后擦除结束</w:t>
      </w:r>
      <w:r>
        <w:t>；如果设备没有独立擦除阶段，记录所用替代事件并注明含义。另保存 B 曝光结束→B 读取开始、B 读取结束→擦除开始、A 曝光结束→A 读取开始等实际间隔，不能只填一个笼统 time_gap。</w:t>
      </w:r>
    </w:p>
    <w:p>
      <w:r>
        <w:t>CR 试采先测最短可执行 t_min，不填写“立即＝0 秒”，先固定一个业务相关间隔。时间依赖模块可试用 t_min、t_min＋60 s、t_min＋300 s；深度学习是否覆盖多间隔按实际用途安排，范围根据设备与残留可测性调整。该设定是工程起点，不是已知 CR 衰减常数。每个条件同时保存目标间隔和真实值，A 的曝光至读片间隔在 clean/ghosted 间匹配。</w:t>
      </w:r>
    </w:p>
    <w:p>
      <w:r>
        <w:t>优先使用设备事件日志和单调时钟。建议 CR 事件时间分辨率达到 0.1 s，DR 到 1 ms，并记录实测计时误差；时间误差目标不超过最短被研究间隔的 5%。日志显示分辨率高不等于实际同步准确。DICOM AcquisitionDateTime/AcquisitionTime 用于辅助核对，InstanceCreationTime 和文件修改时间不能代替曝光或读取时间。</w:t>
      </w:r>
    </w:p>
    <w:p>
      <w:pPr>
        <w:pStyle w:val="Heading2"/>
      </w:pPr>
      <w:r>
        <w:t>7 3 若选择 DR 平板的额外采集要求</w:t>
      </w:r>
    </w:p>
    <w:p>
      <w:r>
        <w:t>先确认探测器是 a-Si、a-Se、CMOS 或其他类型，原生 fps、读出/曝光同步、binning、ROI 模式、offset/gain 更新和厂商硬件 lag correction。每种模式单独记录和标定；训练、测试及部署模式必须对应。只有厂商有明确测试开关时才比较校正开启/关闭，不能默认为关闭状态就是完整 raw。</w:t>
      </w:r>
    </w:p>
    <w:p>
      <w:r>
        <w:t>DR 先固定一个业务帧率和模式，用固定 B 脉冲检查复位与重复性。需要曝光依赖标定时，可按 3 个经实测确认的曝光档 × 1 个帧率 × 2 次独立复位，先安排 6 条脉冲序列；只有模型或工作流涉及累积历史时，才追加同条件 6 条阶跃序列。第二种 fps、空间布局或额外工作模式按业务需要另列，不把两类序列和所有帧率作为首轮必交。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41"/>
        <w:gridCol w:w="3969"/>
        <w:gridCol w:w="3628"/>
      </w:tblGrid>
      <w:tr>
        <w:trPr>
          <w:cantSplit/>
          <w:tblHeader w:val="true"/>
        </w:trPr>
        <w:tc>
          <w:tcPr>
            <w:tcW w:type="dxa" w:w="204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序列</w:t>
            </w:r>
          </w:p>
        </w:tc>
        <w:tc>
          <w:tcPr>
            <w:tcW w:type="dxa" w:w="3969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建议初始长度</w:t>
            </w:r>
          </w:p>
        </w:tc>
        <w:tc>
          <w:tcPr>
            <w:tcW w:type="dxa" w:w="362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单次曝光脉冲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复位暗帧至少 100 帧或 5 s，取较长者；1 个 B 曝光；后暗帧至少 300 帧或 30 s，取较长者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近邻残留、长尾、offset 漂移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开关阶跃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前暗帧同上；600 帧稳定曝光；600 帧关束暗读出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累积历史、曝光依赖、稳态与长尾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空间图案与空场对照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中心/象限遮挡图案，暗读出及独立准备的后续均匀曝光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区分加性 lag、固定图样与历史灵敏度变化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600 帧是需要阶跃标定时借鉴经典实验的初始长度，不是行业强制下限。设备仅支持静态 DR 单次摄影时，改为已知触发间隔的重复曝光与可取得读出，不伪造连续 fps。曝光必须处于设备允许的模体研究工作范围；若 600 帧尚未稳定或尾部仍高于背景阈值，应延长/重新设计时序；若较短已达到预定稳定和检测精度，可用试采证据缩短。长期重现检查另按实际业务等待点独立准备，不把几十秒暗帧当成已排除长期 ghost。</w:t>
      </w:r>
    </w:p>
    <w:p>
      <w:r>
        <w:t>按 15 fps 估算，脉冲序列为 100＋1＋450＝551 帧，6 条约 3306 帧；按 3072×3072 uint16，纯像素约 62.4 GB。可选阶跃为每条 100＋600＋600＝1300 帧，6 条约 7800 帧、147.2 GB。两类全部执行约 11106 帧、209.6 GB，但分别来自 6 条脉冲与 6 条阶跃序列，不能计为 11106 个独立场景。若需更多重复、第二种帧率或更长尾部，另说明追加原因；按真实原生矩阵与有效读出长度核算，不在采集后降采样冒充原生数据。</w:t>
      </w:r>
    </w:p>
    <w:p>
      <w:r>
        <w:t>正式 lag-1 配对先采用认证复位后单次 B 曝光，再在已知帧间隔取得 A；完整保存 B 前后序列和事件日志，主要监督帧指向明确的 frame_index。实际部署若连续曝光、历史不止 B，应另标为部署压力验证，检查 lag-1 假设是否足够，而不把历史污染样本混入单一来源真值。</w:t>
      </w:r>
    </w:p>
    <w:p>
      <w:r>
        <w:t>DR 需要的间隔档由实际业务帧周期或触发延时确定，不照搬 CR 的 t_min＋60 s。严格读出 lag-1 样本应保证 B 与 A 为相邻读出帧；若中间存在暗读出，须记录 frame_index 差，注明 B 只是上一张曝光图而非上一读出帧，将其放入相应时间响应层。两种定义不混在同一个“上一帧”标签中。</w:t>
      </w:r>
    </w:p>
    <w:p>
      <w:r>
        <w:t>DR 原始序列可用厂商原生无损文件、DICOM 多帧或 HDF5/Zarr 保存，固定数组轴为 frame/row/column，并记录 dtype、端序、每帧时间、曝光开关、曝光量、坏帧、丢帧与全部校正。多帧 DICOM 每个对象须有唯一 SOPInstanceUID，帧通过对象 UID＋frame_index 唯一引用；不要求同一多帧对象内部每帧另造 SOP UID。若用二进制 raw，必须附完整可解码布局与校验和，并试验读回像素一致。</w:t>
      </w:r>
    </w:p>
    <w:p>
      <w:pPr>
        <w:pStyle w:val="Heading1"/>
      </w:pPr>
      <w:r>
        <w:t>8 文件格式与数据交付规范</w:t>
      </w:r>
    </w:p>
    <w:p>
      <w:pPr>
        <w:pStyle w:val="Heading2"/>
      </w:pPr>
      <w:r>
        <w:t>8 1 原始像素要求</w:t>
      </w:r>
    </w:p>
    <w:p>
      <w:r>
        <w:t>主交付首选原生全分辨率单通道 DICOM，使用厂商真实 CR/DX 类型，不把截图包装为原始影像。当前设备约 3k×3k 时保持原矩阵；不同原生尺寸如实保存，并提供像素间距和有效视野。不要为迎合本项目而缩小、插值或强行变成 3072×3072。</w:t>
      </w:r>
    </w:p>
    <w:p>
      <w:r>
        <w:t>保存原生有效位深，通常可用 16-bit 容器承载 12/14/16-bit 信号；BitsStored、HighBit、PixelRepresentation 必须与实际一致。若原始输出为有符号整型或 float，应保留原始表示及单位，另提供可校验转换。8-bit PNG/JPEG、窗宽窗位截图、二次有损压缩、每图归一化图不能作为定量原始数据。PNG 可仅作预览。</w:t>
      </w:r>
    </w:p>
    <w:p>
      <w:r>
        <w:t>首选无压缩 Explicit VR Little Endian；可接受真正无损的 RLE/JPEG-LS/JPEG2000，试交付需验证解码后的像素完全一致。MONOCHROME1/2 按原设备保存，说明像素到吸收/信号的物理方向，不能把 MONOCHROME2 当作“必定线性于剂量”。DICOM 图像像素模块定义了相关编码字段。</w:t>
      </w:r>
      <w:hyperlink r:id="rId20">
        <w:r>
          <w:rPr>
            <w:rFonts w:ascii="Arial" w:hAnsi="Arial" w:eastAsia="Songti SC"/>
            <w:color w:val="234D72"/>
            <w:u w:val="single"/>
          </w:rPr>
          <w:t>DICOM 官方 Image Pixel Module</w:t>
        </w:r>
      </w:hyperlink>
    </w:p>
    <w:p>
      <w:r>
        <w:t>最佳是导出厂商原始信号及 offset/gain/bad-pixel 标定；次选固定 For Processing 通道并给出其实际处理步骤和剂量映射；再其次为固定临床后处理图加完整 LUT/映射说明。For Processing 标记本身不能证明已经取得线性物理信号。若只能得到不可逆后处理图，先评估标定能否支持当前物理模型；无法确认映射的数据只能用于对应处理域的经验研究。</w:t>
      </w:r>
    </w:p>
    <w:p>
      <w:pPr>
        <w:pStyle w:val="Heading2"/>
      </w:pPr>
      <w:r>
        <w:t>8 2 DICOM 和侧车必填信息</w:t>
      </w:r>
    </w:p>
    <w:p>
      <w:r>
        <w:t>以下是本项目交付要求，不宣称全部都是每一种 CR IOD 的标准强制字段。设备无法写入 DICOM 的项目须在 JSON/事件日志提供真实值或明确的 unavailable 原因，不能编造字段。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41"/>
        <w:gridCol w:w="3969"/>
        <w:gridCol w:w="3628"/>
      </w:tblGrid>
      <w:tr>
        <w:trPr>
          <w:cantSplit/>
          <w:tblHeader w:val="true"/>
        </w:trPr>
        <w:tc>
          <w:tcPr>
            <w:tcW w:type="dxa" w:w="2041"/>
            <w:vAlign w:val="center"/>
            <w:shd w:fill="34495E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b/>
                <w:color w:val="FFFFFF"/>
                <w:sz w:val="19"/>
              </w:rPr>
              <w:t>字段类别</w:t>
            </w:r>
          </w:p>
        </w:tc>
        <w:tc>
          <w:tcPr>
            <w:tcW w:type="dxa" w:w="3969"/>
            <w:vAlign w:val="center"/>
            <w:shd w:fill="34495E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b/>
                <w:color w:val="FFFFFF"/>
                <w:sz w:val="19"/>
              </w:rPr>
              <w:t>DICOM 例子或侧车名称</w:t>
            </w:r>
          </w:p>
        </w:tc>
        <w:tc>
          <w:tcPr>
            <w:tcW w:type="dxa" w:w="3628"/>
            <w:vAlign w:val="center"/>
            <w:shd w:fill="34495E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像素编码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Rows、Columns、BitsAllocated、BitsStored、HighBit、PixelRepresentation、PhotometricInterpretation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全部真实、组内一致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几何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PixelSpacing、ImagerPixelSpacing；SID、方向、有效 FOV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单位与坐标明确，至少侧车可得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像素变换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RescaleSlope/Intercept、ModalityLUT、VOILUT、处理描述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记录有无、顺序及可逆性；窗位另存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实例身份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SOPInstanceUID、StudyInstanceUID、SeriesInstanceUID、role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每个新实例 UID 唯一，参考关系可追溯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曝光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KVP、XRayTubeCurrent、ExposureTime；精确 mAs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A、B、clean 各自记录，侧车保留小数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设备与板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reader_id、plate_id、manufacturer、model、software_version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匿名稳定 ID；板型、年龄/用途或使用次数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状态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reset_protocol_id、erase_mode、erase_duration_s、erase_count、warmup_s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完整步骤版本；不止“擦除过”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时序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exposure_start/end、read_start/end、erase_start/end、event_clock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真实事件、时区或相对时钟及误差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量程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signal_unit、pixel_mapping、clip_low/high、saturation_source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区分物理饱和、映射截断和黑边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源输出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incident_air_kerma_uGy、meter_id、measurement_geometry、uncertainty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明确剂量测量或代理的意义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内容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current_object_id、previous_object_id、layout_id、support_area、overlap_fraction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A/B 布局、材料、板坐标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组织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pair_id、group_id、session_id、acquisition_block_id、split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after="0" w:before="0" w:line="270" w:lineRule="exact"/>
            </w:pPr>
            <w:r>
              <w:rPr>
                <w:sz w:val="19"/>
              </w:rPr>
              <w:t>物理采集与统计分组一致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若临床与 raw 都交付，分别记录 processing_id，并建立同一 acquisition_id 的映射。生成的平均参考、掩膜和输出图必须标为 derived，引用源文件，不能与原始采集混在同一命名规则里。</w:t>
      </w:r>
    </w:p>
    <w:p>
      <w:pPr>
        <w:pStyle w:val="Heading2"/>
      </w:pPr>
      <w:r>
        <w:t>8 3 目录和 manifest</w:t>
      </w:r>
    </w:p>
    <w:p>
      <w:r>
        <w:t>建议新增真实采集独立数据包，保留现有原始文件及冻结记录，不改名、不覆盖：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>new_acquisition/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dataset_manifest.json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checksums.sha256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protocols/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reset_protocol.json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acquisition_protocol.json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sessions/session_001/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session.json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events.jsonl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calibration/plate_A/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dark_reset_001.dcm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flat_nominal_001.dcm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pairs/pair_000001/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previous.dcm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ghosted.dcm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clean_before.dcm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clean_after.dcm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clean_repeat_03.dcm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clean_repeat_04.dcm</w:t>
      </w:r>
    </w:p>
    <w:p>
      <w:pPr>
        <w:spacing w:after="0" w:line="259" w:lineRule="auto"/>
      </w:pPr>
      <w:r>
        <w:rPr>
          <w:rFonts w:ascii="Courier New" w:hAnsi="Courier New"/>
          <w:sz w:val="17"/>
        </w:rPr>
        <w:t xml:space="preserve">      meta.json</w:t>
      </w:r>
    </w:p>
    <w:p>
      <w:pPr>
        <w:spacing w:after="40"/>
      </w:pPr>
    </w:p>
    <w:p>
      <w:r>
        <w:t>额外 clean 文件只在实际采集时出现，不能为缺图生成占位影像。events.jsonl 每行是一个真实事件，关联 pair_id、plate_id、时间和 event_type；CSV 可作为沟通副本，但 JSON/JSONL 作为机器事实源。SHA-256 覆盖每个原始文件、日志及协议版本，dataset_manifest 列明角色、相对路径、哈希、组关系、资格与排除原因。</w:t>
      </w:r>
    </w:p>
    <w:p>
      <w:r>
        <w:t>meta.json 的最小逻辑示例为：</w:t>
      </w:r>
      <w:r>
        <w:rPr>
          <w:rFonts w:ascii="Arial" w:hAnsi="Arial"/>
          <w:sz w:val="20"/>
        </w:rPr>
        <w:t>pair_id=pair_000001; group_id=current_scene_001; session_id=session_001; plate_id=plate_A; previous_role=previous; current_roles=ghosted/clean_before/clean_after; reset_protocol_id=reset_v1; residual_protocol_id=residual_v1; desired_gap_s=...; actual_gap_s=...; pixel_mapping=...; reference_status=accepted/pending/rejected</w:t>
      </w:r>
      <w:r>
        <w:t>。省略号必须替换成实测字段，完整 A/B/clean 参数分别保存，不能只记录一行公共曝光设置。</w:t>
      </w:r>
    </w:p>
    <w:p>
      <w:r>
        <w:t>临床数据若后来加入，应交由数据方按 DICOM 保密配置去标识，并检查烧录文字与像素标识；用匿名设备/板 ID 和精确相对时间维持研究价值，原身份映射由数据方保管。清空 PatientName/ID 不能代表完整去标识。</w:t>
      </w:r>
      <w:hyperlink r:id="rId21">
        <w:r>
          <w:rPr>
            <w:rFonts w:ascii="Arial" w:hAnsi="Arial" w:eastAsia="Songti SC"/>
            <w:color w:val="234D72"/>
            <w:u w:val="single"/>
          </w:rPr>
          <w:t>DICOM PS3.15 保密配置</w:t>
        </w:r>
      </w:hyperlink>
    </w:p>
    <w:p>
      <w:pPr>
        <w:pStyle w:val="Heading1"/>
      </w:pPr>
      <w:r>
        <w:t>9 数据验收与实验评价</w:t>
      </w:r>
    </w:p>
    <w:p>
      <w:pPr>
        <w:pStyle w:val="Heading2"/>
      </w:pPr>
      <w:r>
        <w:t>9 1 第一批必须通过的流程验收</w:t>
      </w:r>
    </w:p>
    <w:p>
      <w:r>
        <w:t>以下数值是建议的工程起点，先用试采与公司确认，在正式采集前冻结。不能在看过正式测试结果后放宽。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41"/>
        <w:gridCol w:w="3969"/>
        <w:gridCol w:w="3628"/>
      </w:tblGrid>
      <w:tr>
        <w:trPr>
          <w:cantSplit/>
          <w:tblHeader w:val="true"/>
        </w:trPr>
        <w:tc>
          <w:tcPr>
            <w:tcW w:type="dxa" w:w="204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969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建议接受条件</w:t>
            </w:r>
          </w:p>
        </w:tc>
        <w:tc>
          <w:tcPr>
            <w:tcW w:type="dxa" w:w="362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失败处理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文件完整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原始文件可解码、角色齐全、SHA-256 全部匹配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缺图/损坏组补采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身份与时间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新实例 UID 不重复；plate、协议、真实事件链齐全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缺少核心状态的组退出定量队列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量程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关键结构/残影 ROI 无未知裁剪；有效区域裁剪比例建议小于 0.1%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压力组单列，查 raw 与映射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源输出重复性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同条件实测入射量变化目标在 ±2% 内，先确认仪器不确定度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重新稳定；校正须预声明并保存原始值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A 几何重复性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定位后 clean/ghosted 配准误差目标中位≤0.5 px、P95≤1 px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改定位架，或预声明注册；查边缘假差分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clean 有效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前后 clean 的差分符合 clean-clean/sham 的噪声与漂移界限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不作为可信参考，补采或单列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充分复位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旧图案不超过预定 sham 检出限，代表等待后不再出现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改复位流程，不把旧历史当 lag-1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残留可测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probe/配对差分在预声明 ROI/block16 高于 sham 检出限</w:t>
            </w:r>
          </w:p>
        </w:tc>
        <w:tc>
          <w:tcPr>
            <w:tcW w:type="dxa" w:w="362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保留弱/未检出分层，勿改标真阴性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完全复测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波动被重复噪声与状态日志解释；明显超额波动已查因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暂缓扩大正式规模，补状态控制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曝光 ±2% 和像素配准界限并不自动保证 clean 合格。当前残影可能低至原信号的千分之一，微小漂移或边缘移动即可超过它。更关键的判据是参考不一致在目标 ROI 和边缘中是否低于待研究效应。可初设 block16 差分残影 SNR≥3 用于机制估计；低于者仍保留为弱/未检出层，但不用于宣称精确系数或残影去除率。最终阈值由试采的噪声和效应量决定。</w:t>
      </w:r>
    </w:p>
    <w:p>
      <w:r>
        <w:t>同条件复测残留幅值 CV≤20% 可用作查因起点，但接近零的幅值不适合 CV；此时用绝对差和 sham 分布。超出阈值说明还有状态因素需记录，不说明样本应该删除以使模型好看。</w:t>
      </w:r>
    </w:p>
    <w:p>
      <w:pPr>
        <w:pStyle w:val="Heading2"/>
      </w:pPr>
      <w:r>
        <w:t>9 2 数据拆分规则</w:t>
      </w:r>
    </w:p>
    <w:p>
      <w:r>
        <w:t>同一 A 场景的全部 B 变化、曝光档、复测、clean 重复、图块及增强都进入同一集合。按日期先分组，再按物体场景和板细化；同一原图裁出的 patch 不能跨集合。至少保留部分新 B 形状/模板用于困难测试，并分别报告是否见过源形状。</w:t>
      </w:r>
    </w:p>
    <w:p>
      <w:r>
        <w:t>数学路线的开发/确认与深度学习的训练/验证/测试分别冻结 manifest；已用于查问题或调参的数据不回标为独立测试。强度归一化、模型选择、门控和残影阈值只用开发数据。空间 OOF 只回答图内预测问题，不能替代跨日期/场景测试。校准测试板时，必须预先定义部署允许的校准数据，区分日常无标签标定与用测试标签重新拟合。</w:t>
      </w:r>
    </w:p>
    <w:p>
      <w:pPr>
        <w:pStyle w:val="Heading2"/>
      </w:pPr>
      <w:r>
        <w:t>9 3 算法通过与否要看哪些指标</w:t>
      </w:r>
    </w:p>
    <w:p>
      <w:r>
        <w:t>评价包括四类互相约束的结果：配对参考误差，残影结构抑制，当前物体细节保留，无残影图误改。各类按残留强弱、覆盖率、重叠、剂量、日期和板分层，同时给出场景成组的不确定区间。</w:t>
      </w:r>
    </w:p>
    <w:p>
      <w:r>
        <w:t>配对误差报告 MAE/RMSE 与参考重复噪声；PSNR/SSIM 可作补充，必须固定 signal range 与物理/处理域。残影抑制用 B 支持区的差分对比、与 B 结构相关、预声明 ROI 和 block16 结果，不把整体方差下降直接叫“真实残影去除率”。结构保真检查 A 的斜边/MTF、低对比 CNR、细线与小孔，特别检查 A/B 高重叠区域。负对照报告改动像素与幅度、低对比结构变化和 gate false correction，不能仅声称“肉眼看起来更干净”。</w:t>
      </w:r>
    </w:p>
    <w:p>
      <w:r>
        <w:t>单图目标 B 另测形态相似、完全重叠和低对比 A：与使用 previous 的模型比较，并记录不确定或保持原图的比例。模型需在 raw/native 全分辨率以及冻结 block16 域分别评价；不能将 block16 高 R² 转述成逐像素恢复成功。饱和或软件裁剪区域不承诺恢复丢失的精确信息。</w:t>
      </w:r>
    </w:p>
    <w:p>
      <w:r>
        <w:t>若初步看似改善但只见于强残影、无法保持正常细节或跨板失败，优先定向补采对应层。若 residual 仍有结构，先核查参考、背景和历史，而非立刻增加网络复杂度。</w:t>
      </w:r>
    </w:p>
    <w:p>
      <w:pPr>
        <w:pStyle w:val="Heading1"/>
      </w:pPr>
      <w:r>
        <w:t>10 机时存储与分批交付</w:t>
      </w:r>
    </w:p>
    <w:p>
      <w:pPr>
        <w:pStyle w:val="Heading2"/>
      </w:pPr>
      <w:r>
        <w:t>10 1 工作量按新增角色结算</w:t>
      </w:r>
    </w:p>
    <w:p>
      <w:r>
        <w:t>每个有 B 配对循环为三次 A 曝光和一次 B 曝光、四次读出及多次复位；无 B sham 为三次 A 曝光加一次 dark 读出，仍为四张核心原图。首批分别实测候选、两类 sham、probe、参考重复和复位的用时，按各类新增数量加权估算。阶段目标不是新增订单数量：已合格且符合角色的数据先抵扣。</w:t>
      </w:r>
    </w:p>
    <w:p>
      <w:r>
        <w:t>若统一用 5 分钟/完整循环作报价示例，试采 30–60 组约 2.5–5 小时，数学阶段含 sham 120–360 组约 10–30 小时，深度学习含 sham 960–2400 组约 80–200 小时；这些是整阶段核心循环工作量，不相加成必需机时，也不包含标定、额外 clean、定位及异常补采。实际使用各角色实测时间，深度学习改用 DR 连续采集时按真实业务流程重算。</w:t>
      </w:r>
    </w:p>
    <w:p>
      <w:pPr>
        <w:pStyle w:val="Heading2"/>
      </w:pPr>
      <w:r>
        <w:t>10 2 按实际矩阵与参考张数估算容量</w:t>
      </w:r>
    </w:p>
    <w:p>
      <w:r>
        <w:t>3072×3072、16-bit 单张纯像素约 18.874 MB（十进制），四图组约 75.5 MB。下表仅算核心原图，不含测试额外参考、标定、处理副本及备份。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2211"/>
        <w:gridCol w:w="2438"/>
        <w:gridCol w:w="2778"/>
      </w:tblGrid>
      <w:tr>
        <w:trPr>
          <w:cantSplit/>
          <w:tblHeader w:val="true"/>
        </w:trPr>
        <w:tc>
          <w:tcPr>
            <w:tcW w:type="dxa" w:w="221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211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含 sham 的循环</w:t>
            </w:r>
          </w:p>
        </w:tc>
        <w:tc>
          <w:tcPr>
            <w:tcW w:type="dxa" w:w="243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核心原图</w:t>
            </w:r>
          </w:p>
        </w:tc>
        <w:tc>
          <w:tcPr>
            <w:tcW w:type="dxa" w:w="2778"/>
            <w:vAlign w:val="center"/>
            <w:shd w:fill="34495E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核心纯像素容量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试采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30–60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120–240 张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约 2.3–4.5 GB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数学模型</w:t>
            </w:r>
          </w:p>
        </w:tc>
        <w:tc>
          <w:tcPr>
            <w:tcW w:type="dxa" w:w="2211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120–360</w:t>
            </w:r>
          </w:p>
        </w:tc>
        <w:tc>
          <w:tcPr>
            <w:tcW w:type="dxa" w:w="243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480–1440 张</w:t>
            </w:r>
          </w:p>
        </w:tc>
        <w:tc>
          <w:tcPr>
            <w:tcW w:type="dxa" w:w="2778"/>
            <w:vAlign w:val="center"/>
            <w:shd w:fill="F3F5F7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约 9.1–27.2 GB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</w:pPr>
            <w:r>
              <w:rPr>
                <w:sz w:val="19"/>
              </w:rPr>
              <w:t>深度学习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960–2400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3840–9600 张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before="0" w:after="0" w:line="270" w:lineRule="exact"/>
              <w:jc w:val="center"/>
            </w:pPr>
            <w:r>
              <w:rPr>
                <w:sz w:val="19"/>
              </w:rPr>
              <w:t>约 72.5–181.2 GB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数学 200 候选＋40 sham 示例中，核心为 960 张；确认 80 循环每组额外 2 clean 后为 1120 张，纯像素约 21.1 GB。深度学习 1200 候选＋240 sham 示例中，核心为 5760 张；测试 288 循环每组额外 2 clean 后为 6336 张，约 119.6 GB。参考重复不增加配对组数。</w:t>
      </w:r>
    </w:p>
    <w:p>
      <w:r>
        <w:t>深度学习两个预算端点若都留 20% 循环为测试并各加两张 clean，约为 4224–10560 张、79.7–199.3 GB。最终用实际分组 manifest 核算；物体和日期独立性优先，不保证每批恰好 20%。CR 暗场/空场/probe 另算，raw 与处理副本分别保存会增加空间，双份备份另乘 2。</w:t>
      </w:r>
    </w:p>
    <w:p>
      <w:r>
        <w:t>DR 按第 7.3 节，示例 6 条脉冲另约 62.4 GB，必要时追加 6 条阶跃约 147.2 GB；更多模式、长尾及完整配对历史另计。设备未确定前，不把 1 TB 或固定连续帧数作为必交门槛。容量统一由 native 矩阵、dtype、无损压缩和实际序列长度计算。</w:t>
      </w:r>
    </w:p>
    <w:p>
      <w:pPr>
        <w:pStyle w:val="Heading2"/>
      </w:pPr>
      <w:r>
        <w:t>10 3 分批交付与后续下单条件</w:t>
      </w:r>
    </w:p>
    <w:p>
      <w:r>
        <w:t>首先交付设备与导出说明及少量完整样例；协议可执行后完成 30–60 组试采。验收参考、状态和重复性后，安排数学阶段必要模块与独立确认；完成可信基线及其局限评估后，按用途选择深度学习批次。开发数据可分批补充，最终确认在模型冻结后安排。</w:t>
      </w:r>
    </w:p>
    <w:p>
      <w:r>
        <w:t>每批同时交付原图、manifest、事件日志、校验和、异常记录与抵扣清单。未通过样本保留原始记录及资格原因；补采按有效新增角色结算，不用修改旧标签或删除困难样本使统计达标。</w:t>
      </w:r>
    </w:p>
    <w:p>
      <w:pPr>
        <w:pStyle w:val="Heading1"/>
      </w:pPr>
      <w:r>
        <w:t>11 期望获得的结果与公司执行清单</w:t>
      </w:r>
    </w:p>
    <w:p>
      <w:r>
        <w:t>完成上述采集后，应能够回答：在已知板、擦除和时序下残留是否可重复；相同曝光下的系数波动是否由可记录状态解释；充分复位参考的污染与噪声上限是多少；M1 是否真实恢复当前结构；非线性是否在独立日期/板复现；限制为仅 current 输入时是否出现不可接受误删。</w:t>
      </w:r>
    </w:p>
    <w:p>
      <w:r>
        <w:t>公司交付清单如下：</w:t>
      </w:r>
    </w:p>
    <w:p>
      <w:pPr>
        <w:pStyle w:val="ListBullet"/>
      </w:pPr>
      <w:r>
        <w:t>设备、板型、软件与可导出通道说明，含 raw 的实际定义、像素映射和裁剪阈值。</w:t>
      </w:r>
    </w:p>
    <w:p>
      <w:pPr>
        <w:pStyle w:val="ListBullet"/>
      </w:pPr>
      <w:r>
        <w:t>经试采认证的充分复位流程及残留流程，含读片自动擦除的真实次序。</w:t>
      </w:r>
    </w:p>
    <w:p>
      <w:pPr>
        <w:pStyle w:val="ListBullet"/>
      </w:pPr>
      <w:r>
        <w:t>全分辨率 previous、ghosted、clean_before、clean_after；测试额外 clean 单独关联。</w:t>
      </w:r>
    </w:p>
    <w:p>
      <w:pPr>
        <w:pStyle w:val="ListBullet"/>
      </w:pPr>
      <w:r>
        <w:t>每个实际硬件单元的复位暗场、必要空场和按所选模块独立准备的残留 probe。</w:t>
      </w:r>
    </w:p>
    <w:p>
      <w:pPr>
        <w:pStyle w:val="ListBullet"/>
      </w:pPr>
      <w:r>
        <w:t>精确 A/B/clean 曝光、真实事件时间、源输出、板 ID、几何及开机环境日志。</w:t>
      </w:r>
    </w:p>
    <w:p>
      <w:pPr>
        <w:pStyle w:val="ListBullet"/>
      </w:pPr>
      <w:r>
        <w:t>同条件完全复测、无残留 sham、大覆盖和结构重叠困难样本。</w:t>
      </w:r>
    </w:p>
    <w:p>
      <w:pPr>
        <w:pStyle w:val="ListBullet"/>
      </w:pPr>
      <w:r>
        <w:t>冻结开发/确认或训练/验证/测试 group manifest、原始文件 SHA-256、异常与排除记录。</w:t>
      </w:r>
    </w:p>
    <w:p>
      <w:pPr>
        <w:pStyle w:val="ListBullet"/>
      </w:pPr>
      <w:r>
        <w:t>模体固定与布局说明，各已执行阶段的验收记录、资格/抵扣清单和追加或停止依据。</w:t>
      </w:r>
    </w:p>
    <w:p>
      <w:r>
        <w:t>阶段交付按可信参考、可解释状态、可部署参数与独立测试验收。数学路线可在受限任务目标达到时停止；深度学习路线重点检查独立 A/B 内容、结构保真与学习曲线。100–300 个总 A 场景和 800–2000 候选组仅是初步网络开发预算，广泛临床盲单图或跨系统应用还需相应独立内容和外部验证。</w:t>
      </w:r>
    </w:p>
    <w:p>
      <w:pPr>
        <w:pStyle w:val="Heading1"/>
      </w:pPr>
      <w:r>
        <w:t>12 参考来源与项目记录</w:t>
      </w:r>
    </w:p>
    <w:p>
      <w:r>
        <w:t>以下一手论文、官方报告与标准用于支持采集原则。论文实验规模与本报告工程预算分别列出，未把单设备连续帧数用作监督样本量下限。</w:t>
      </w:r>
    </w:p>
    <w:p>
      <w:pPr>
        <w:ind w:left="340" w:hanging="340"/>
      </w:pPr>
      <w:r>
        <w:t xml:space="preserve">1. AAPM. </w:t>
      </w:r>
      <w:r>
        <w:rPr>
          <w:i/>
        </w:rPr>
        <w:t>Acceptance Testing and Quality Control of Photostimulable Storage Phosphor Imaging Systems</w:t>
      </w:r>
      <w:r>
        <w:t>. Report 93, 2006. 第 8.4.9 节、表 11，印刷页 55–56。</w:t>
      </w:r>
      <w:hyperlink r:id="rId10">
        <w:r>
          <w:rPr>
            <w:rFonts w:ascii="Arial" w:hAnsi="Arial" w:eastAsia="Songti SC"/>
            <w:color w:val="234D72"/>
            <w:u w:val="single"/>
          </w:rPr>
          <w:t>官方 PDF</w:t>
        </w:r>
      </w:hyperlink>
      <w:r>
        <w:t>，</w:t>
      </w:r>
      <w:hyperlink r:id="rId22">
        <w:r>
          <w:rPr>
            <w:rFonts w:ascii="Arial" w:hAnsi="Arial" w:eastAsia="Songti SC"/>
            <w:color w:val="234D72"/>
            <w:u w:val="single"/>
          </w:rPr>
          <w:t>报告目录与 DOI</w:t>
        </w:r>
      </w:hyperlink>
      <w:r>
        <w:t>。</w:t>
      </w:r>
    </w:p>
    <w:p>
      <w:pPr>
        <w:ind w:left="340" w:hanging="340"/>
      </w:pPr>
      <w:r>
        <w:t xml:space="preserve">2. IAEA. </w:t>
      </w:r>
      <w:r>
        <w:rPr>
          <w:i/>
        </w:rPr>
        <w:t>Handbook of Basic Quality Control Tests for Diagnostic Radiology</w:t>
      </w:r>
      <w:r>
        <w:t>. Human Health Series 47, 2023. 第 2.2.22 节，印刷页 61–64，采集流程见页 62。DOI 10.61092/iaea.rhjo-8d0u。</w:t>
      </w:r>
      <w:hyperlink r:id="rId11">
        <w:r>
          <w:rPr>
            <w:rFonts w:ascii="Arial" w:hAnsi="Arial" w:eastAsia="Songti SC"/>
            <w:color w:val="234D72"/>
            <w:u w:val="single"/>
          </w:rPr>
          <w:t>官方 PDF</w:t>
        </w:r>
      </w:hyperlink>
      <w:r>
        <w:t>。</w:t>
      </w:r>
    </w:p>
    <w:p>
      <w:pPr>
        <w:ind w:left="340" w:hanging="340"/>
      </w:pPr>
      <w:r>
        <w:t xml:space="preserve">3. Muhogora W, Padovani R, Bonutti F, et al. </w:t>
      </w:r>
      <w:r>
        <w:rPr>
          <w:i/>
        </w:rPr>
        <w:t>Performance evaluation of three computed radiography systems using methods recommended in American Association of Physicists in Medicine Report 93</w:t>
      </w:r>
      <w:r>
        <w:t>. J Med Phys, 2011;36:138–146. DOI 10.4103/0971-6203.83478。</w:t>
      </w:r>
      <w:hyperlink r:id="rId12">
        <w:r>
          <w:rPr>
            <w:rFonts w:ascii="Arial" w:hAnsi="Arial" w:eastAsia="Songti SC"/>
            <w:color w:val="234D72"/>
            <w:u w:val="single"/>
          </w:rPr>
          <w:t>全文</w:t>
        </w:r>
      </w:hyperlink>
      <w:r>
        <w:t>。</w:t>
      </w:r>
    </w:p>
    <w:p>
      <w:pPr>
        <w:ind w:left="340" w:hanging="340"/>
      </w:pPr>
      <w:r>
        <w:t xml:space="preserve">4. Ohuchi-Yoshida H, Kondo Y. </w:t>
      </w:r>
      <w:r>
        <w:rPr>
          <w:i/>
        </w:rPr>
        <w:t>Complete erasing of ghost images on computed radiography plates and role of deeply trapped electrons</w:t>
      </w:r>
      <w:r>
        <w:t>. NIM A, 2011;659:247–251. DOI 10.1016/j.nima.2011.08.064。证据范围为出版社摘要及节选。</w:t>
      </w:r>
      <w:hyperlink r:id="rId13">
        <w:r>
          <w:rPr>
            <w:rFonts w:ascii="Arial" w:hAnsi="Arial" w:eastAsia="Songti SC"/>
            <w:color w:val="234D72"/>
            <w:u w:val="single"/>
          </w:rPr>
          <w:t>出版社</w:t>
        </w:r>
      </w:hyperlink>
      <w:r>
        <w:t>。</w:t>
      </w:r>
    </w:p>
    <w:p>
      <w:pPr>
        <w:ind w:left="340" w:hanging="340"/>
      </w:pPr>
      <w:r>
        <w:t xml:space="preserve">5. Seoung YH. </w:t>
      </w:r>
      <w:r>
        <w:rPr>
          <w:i/>
        </w:rPr>
        <w:t>Evaluation of relative speed of latent images in relation to changes in fading time and storage temperature of imaging plates in computed radiography systems</w:t>
      </w:r>
      <w:r>
        <w:t>. Technol Health Care, 2014;22:427–434. DOI 10.3233/THC-140800。证据范围为研究摘要。</w:t>
      </w:r>
      <w:hyperlink r:id="rId14">
        <w:r>
          <w:rPr>
            <w:rFonts w:ascii="Arial" w:hAnsi="Arial" w:eastAsia="Songti SC"/>
            <w:color w:val="234D72"/>
            <w:u w:val="single"/>
          </w:rPr>
          <w:t>PubMed</w:t>
        </w:r>
      </w:hyperlink>
      <w:r>
        <w:t>。</w:t>
      </w:r>
    </w:p>
    <w:p>
      <w:pPr>
        <w:ind w:left="340" w:hanging="340"/>
      </w:pPr>
      <w:r>
        <w:t xml:space="preserve">6. Hammerstrom K, Aldrich J, Alves L, Ho A. </w:t>
      </w:r>
      <w:r>
        <w:rPr>
          <w:i/>
        </w:rPr>
        <w:t>Recognition and prevention of computed radiography image artifacts</w:t>
      </w:r>
      <w:r>
        <w:t>. J Digit Imaging, 2006;19:226–239. DOI 10.1007/s10278-006-0590-z。</w:t>
      </w:r>
      <w:hyperlink r:id="rId15">
        <w:r>
          <w:rPr>
            <w:rFonts w:ascii="Arial" w:hAnsi="Arial" w:eastAsia="Songti SC"/>
            <w:color w:val="234D72"/>
            <w:u w:val="single"/>
          </w:rPr>
          <w:t>研究摘要</w:t>
        </w:r>
      </w:hyperlink>
      <w:r>
        <w:t>。</w:t>
      </w:r>
    </w:p>
    <w:p>
      <w:pPr>
        <w:ind w:left="340" w:hanging="340"/>
      </w:pPr>
      <w:r>
        <w:t xml:space="preserve">7. Siewerdsen JH, Jaffray DA. </w:t>
      </w:r>
      <w:r>
        <w:rPr>
          <w:i/>
        </w:rPr>
        <w:t>A ghost story: Spatio-temporal response characteristics of an indirect-detection flat-panel imager</w:t>
      </w:r>
      <w:r>
        <w:t xml:space="preserve">. Med Phys, 1999;26:1624–1641. </w:t>
      </w:r>
      <w:hyperlink r:id="rId16">
        <w:r>
          <w:rPr>
            <w:rFonts w:ascii="Arial" w:hAnsi="Arial" w:eastAsia="Songti SC"/>
            <w:color w:val="234D72"/>
            <w:u w:val="single"/>
          </w:rPr>
          <w:t>DOI 10.1118/1.598657</w:t>
        </w:r>
      </w:hyperlink>
      <w:r>
        <w:t>。</w:t>
      </w:r>
    </w:p>
    <w:p>
      <w:pPr>
        <w:ind w:left="340" w:hanging="340"/>
      </w:pPr>
      <w:r>
        <w:t xml:space="preserve">8. Starman J 等. </w:t>
      </w:r>
      <w:r>
        <w:rPr>
          <w:i/>
        </w:rPr>
        <w:t>Investigation into the optimal linear time-invariant lag correction for radar artifact removal</w:t>
      </w:r>
      <w:r>
        <w:t xml:space="preserve">. Med Phys, 2011;38:2398–2411. </w:t>
      </w:r>
      <w:hyperlink r:id="rId17">
        <w:r>
          <w:rPr>
            <w:rFonts w:ascii="Arial" w:hAnsi="Arial" w:eastAsia="Songti SC"/>
            <w:color w:val="234D72"/>
            <w:u w:val="single"/>
          </w:rPr>
          <w:t>全文及 DOI 10.1118/1.3574873</w:t>
        </w:r>
      </w:hyperlink>
      <w:r>
        <w:t>。</w:t>
      </w:r>
    </w:p>
    <w:p>
      <w:pPr>
        <w:ind w:left="340" w:hanging="340"/>
      </w:pPr>
      <w:r>
        <w:t xml:space="preserve">9. Starman J 等. </w:t>
      </w:r>
      <w:r>
        <w:rPr>
          <w:i/>
        </w:rPr>
        <w:t>A nonlinear lag correction algorithm for a-Si flat-panel x-ray detectors</w:t>
      </w:r>
      <w:r>
        <w:t xml:space="preserve">. Med Phys, 2012;39:6035–6047. </w:t>
      </w:r>
      <w:hyperlink r:id="rId18">
        <w:r>
          <w:rPr>
            <w:rFonts w:ascii="Arial" w:hAnsi="Arial" w:eastAsia="Songti SC"/>
            <w:color w:val="234D72"/>
            <w:u w:val="single"/>
          </w:rPr>
          <w:t>全文及 DOI 10.1118/1.4752087</w:t>
        </w:r>
      </w:hyperlink>
      <w:r>
        <w:t>。</w:t>
      </w:r>
    </w:p>
    <w:p>
      <w:pPr>
        <w:ind w:left="340" w:hanging="340"/>
      </w:pPr>
      <w:r>
        <w:t xml:space="preserve">10. Ren 等. </w:t>
      </w:r>
      <w:r>
        <w:rPr>
          <w:i/>
        </w:rPr>
        <w:t>Lag-Net: Lag correction for cone-beam CT via a convolutional neural network</w:t>
      </w:r>
      <w:r>
        <w:t>. Comput Methods Programs Biomed, 2025;266:108753. DOI 10.1016/j.cmpb.2025.108753。证据范围为摘要及出版社节选。</w:t>
      </w:r>
      <w:hyperlink r:id="rId19">
        <w:r>
          <w:rPr>
            <w:rFonts w:ascii="Arial" w:hAnsi="Arial" w:eastAsia="Songti SC"/>
            <w:color w:val="234D72"/>
            <w:u w:val="single"/>
          </w:rPr>
          <w:t>出版社</w:t>
        </w:r>
      </w:hyperlink>
      <w:r>
        <w:t>，</w:t>
      </w:r>
      <w:hyperlink r:id="rId23">
        <w:r>
          <w:rPr>
            <w:rFonts w:ascii="Arial" w:hAnsi="Arial" w:eastAsia="Songti SC"/>
            <w:color w:val="234D72"/>
            <w:u w:val="single"/>
          </w:rPr>
          <w:t>PubMed</w:t>
        </w:r>
      </w:hyperlink>
      <w:r>
        <w:t>。</w:t>
      </w:r>
    </w:p>
    <w:p>
      <w:pPr>
        <w:ind w:left="340" w:hanging="340"/>
      </w:pPr>
      <w:r>
        <w:t>11. DICOM PS3.3 Image Pixel Module 与 PS3.15 Basic Application Level Confidentiality Profile。</w:t>
      </w:r>
      <w:hyperlink r:id="rId20">
        <w:r>
          <w:rPr>
            <w:rFonts w:ascii="Arial" w:hAnsi="Arial" w:eastAsia="Songti SC"/>
            <w:color w:val="234D72"/>
            <w:u w:val="single"/>
          </w:rPr>
          <w:t>像素模块</w:t>
        </w:r>
      </w:hyperlink>
      <w:r>
        <w:t>，</w:t>
      </w:r>
      <w:hyperlink r:id="rId21">
        <w:r>
          <w:rPr>
            <w:rFonts w:ascii="Arial" w:hAnsi="Arial" w:eastAsia="Songti SC"/>
            <w:color w:val="234D72"/>
            <w:u w:val="single"/>
          </w:rPr>
          <w:t>保密配置</w:t>
        </w:r>
      </w:hyperlink>
      <w:r>
        <w:t>。</w:t>
      </w:r>
    </w:p>
    <w:p>
      <w:pPr>
        <w:ind w:left="340" w:hanging="340"/>
      </w:pPr>
      <w:r>
        <w:t xml:space="preserve">12. 本项目截至 2026-09-30 的 </w:t>
      </w:r>
      <w:r>
        <w:t>DATA（DATA.md）</w:t>
      </w:r>
      <w:r>
        <w:t>、</w:t>
      </w:r>
      <w:r>
        <w:t>RESULTS（RESULTS.md）</w:t>
      </w:r>
      <w:r>
        <w:t>、</w:t>
      </w:r>
      <w:r>
        <w:t>旧采集计划（2026-05-28-real-data-acquisition-protocol.md）</w:t>
      </w:r>
      <w:r>
        <w:t xml:space="preserve"> 与 </w:t>
      </w:r>
      <w:r>
        <w:t>DICOM 阅片计划（2026-09-30-dicom-review.md）</w:t>
      </w:r>
      <w:r>
        <w:t>。旧计划中的 10 组/50–100 组属于早期可行性设想；本报告补充参考不确定度、状态控制及分组规模，不改变既有冻结 BG、SAM archive 和审计结论。</w:t>
      </w:r>
    </w:p>
    <w:sectPr w:rsidR="00FC693F" w:rsidRPr="0006063C" w:rsidSect="00034616">
      <w:footerReference w:type="default" r:id="rId9"/>
      <w:pgSz w:w="11906" w:h="16838"/>
      <w:pgMar w:top="1049" w:right="1134" w:bottom="1049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120"/>
    </w:pPr>
    <w:rPr>
      <w:rFonts w:ascii="Arial" w:hAnsi="Arial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80" w:line="252" w:lineRule="auto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Arial" w:hAnsi="Arial" w:eastAsia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260" w:line="252" w:lineRule="auto" w:before="0"/>
      <w:contextualSpacing/>
    </w:pPr>
    <w:rPr>
      <w:rFonts w:asciiTheme="majorHAnsi" w:eastAsiaTheme="majorEastAsia" w:hAnsiTheme="majorHAnsi" w:cstheme="majorBidi" w:ascii="Arial" w:hAnsi="Arial" w:eastAsia="Song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10" w:lineRule="exact" w:after="100"/>
      <w:contextualSpacing/>
    </w:pPr>
    <w:rPr>
      <w:rFonts w:ascii="Arial" w:hAnsi="Arial" w:eastAsia="Songti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10" w:lineRule="exact" w:after="100"/>
      <w:contextualSpacing/>
    </w:pPr>
    <w:rPr>
      <w:rFonts w:ascii="Arial" w:hAnsi="Arial" w:eastAsia="Songti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apm.org/pubs/reports/rpt_93.pdf" TargetMode="External"/><Relationship Id="rId11" Type="http://schemas.openxmlformats.org/officeDocument/2006/relationships/hyperlink" Target="https://www-pub.iaea.org/MTCD/publications/PDF/PUB2021_web.pdf" TargetMode="External"/><Relationship Id="rId12" Type="http://schemas.openxmlformats.org/officeDocument/2006/relationships/hyperlink" Target="https://pmc.ncbi.nlm.nih.gov/articles/PMC3159220/" TargetMode="External"/><Relationship Id="rId13" Type="http://schemas.openxmlformats.org/officeDocument/2006/relationships/hyperlink" Target="https://www.sciencedirect.com/science/article/pii/S0168900211017463" TargetMode="External"/><Relationship Id="rId14" Type="http://schemas.openxmlformats.org/officeDocument/2006/relationships/hyperlink" Target="https://pubmed.ncbi.nlm.nih.gov/24704657/" TargetMode="External"/><Relationship Id="rId15" Type="http://schemas.openxmlformats.org/officeDocument/2006/relationships/hyperlink" Target="https://pubmed.ncbi.nlm.nih.gov/16710796/" TargetMode="External"/><Relationship Id="rId16" Type="http://schemas.openxmlformats.org/officeDocument/2006/relationships/hyperlink" Target="https://doi.org/10.1118/1.598657" TargetMode="External"/><Relationship Id="rId17" Type="http://schemas.openxmlformats.org/officeDocument/2006/relationships/hyperlink" Target="https://pmc.ncbi.nlm.nih.gov/articles/PMC3098893/" TargetMode="External"/><Relationship Id="rId18" Type="http://schemas.openxmlformats.org/officeDocument/2006/relationships/hyperlink" Target="https://pmc.ncbi.nlm.nih.gov/articles/PMC3465354/" TargetMode="External"/><Relationship Id="rId19" Type="http://schemas.openxmlformats.org/officeDocument/2006/relationships/hyperlink" Target="https://www.sciencedirect.com/science/article/abs/pii/S0169260725001701" TargetMode="External"/><Relationship Id="rId20" Type="http://schemas.openxmlformats.org/officeDocument/2006/relationships/hyperlink" Target="https://dicom.nema.org/medical/dicom/current/output/chtml/part03/sect_C.7.6.3.html" TargetMode="External"/><Relationship Id="rId21" Type="http://schemas.openxmlformats.org/officeDocument/2006/relationships/hyperlink" Target="https://dicom.nema.org/medical/dicom/current/output/chtml/part15/sect_E.2.html" TargetMode="External"/><Relationship Id="rId22" Type="http://schemas.openxmlformats.org/officeDocument/2006/relationships/hyperlink" Target="https://www.aapm.org/pubs/reports/detail.asp?docid=94" TargetMode="External"/><Relationship Id="rId23" Type="http://schemas.openxmlformats.org/officeDocument/2006/relationships/hyperlink" Target="https://pubmed.ncbi.nlm.nih.gov/402334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 射线单帧残影去除数据采集要求报告</dc:title>
  <dc:subject>采集矩阵 原始格式 时序参考与验收</dc:subject>
  <dc:creator/>
  <cp:keywords>CR, DR, lag, ghosting, data acquisition</cp:keywords>
  <dc:description/>
  <cp:lastModifiedBy/>
  <cp:revision>1</cp:revision>
  <dcterms:created xsi:type="dcterms:W3CDTF">2013-12-23T23:15:00Z</dcterms:created>
  <dcterms:modified xsi:type="dcterms:W3CDTF">2026-10-08T01:53:15Z</dcterms:modified>
  <cp:category/>
</cp:coreProperties>
</file>