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E0010"/>
          <w:sz w:val="44"/>
          <w:szCs w:val="44"/>
        </w:rPr>
        <w:t xml:space="preserve">INKARP</w:t>
      </w:r>
    </w:p>
    <w:p>
      <w:pPr>
        <w:spacing w:after="30"/>
      </w:pPr>
      <w:r>
        <w:rPr>
          <w:b/>
          <w:bCs/>
          <w:color w:val="000000"/>
          <w:sz w:val="32"/>
          <w:szCs w:val="32"/>
        </w:rPr>
        <w:t xml:space="preserve">Social Media Marketing Dashboard</w:t>
      </w:r>
    </w:p>
    <w:p>
      <w:pPr>
        <w:spacing w:after="24"/>
      </w:pPr>
      <w:r>
        <w:rPr>
          <w:color w:val="7D7D7D"/>
          <w:sz w:val="24"/>
          <w:szCs w:val="24"/>
        </w:rPr>
        <w:t xml:space="preserve">Project Requirements Brief</w:t>
      </w:r>
    </w:p>
    <w:p>
      <w:pPr>
        <w:spacing w:after="200"/>
      </w:pPr>
      <w:r>
        <w:rPr>
          <w:i/>
          <w:iCs/>
          <w:color w:val="7D7D7D"/>
          <w:sz w:val="20"/>
          <w:szCs w:val="20"/>
        </w:rPr>
        <w:t xml:space="preserve">Prepared for development partners — describes what the product must do. The choice of tools, platform, and technical approach is left to the developer.</w:t>
      </w:r>
    </w:p>
    <w:p>
      <w:pPr>
        <w:pStyle w:val="Heading1"/>
        <w:spacing w:after="130" w:before="320"/>
      </w:pPr>
      <w:r>
        <w:rPr>
          <w:b/>
          <w:bCs/>
          <w:color w:val="000000"/>
          <w:sz w:val="30"/>
          <w:szCs w:val="30"/>
        </w:rPr>
        <w:t xml:space="preserve">1. Overview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Inkarp is a distributor of scientific instruments representing around fifty international principals (brands). We want a single, company-wide dashboard to plan and track our social media marketing activity across all of these brands.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purpose is to see, at a glance, how many social media posts are planned versus actually published for each brand, group, and product manager over a financial year — and to manage the underlying plan in one shared place that the whole team can view.</w:t>
      </w:r>
    </w:p>
    <w:p>
      <w:pPr>
        <w:pStyle w:val="Heading1"/>
        <w:spacing w:after="130" w:before="320"/>
      </w:pPr>
      <w:r>
        <w:rPr>
          <w:b/>
          <w:bCs/>
          <w:color w:val="000000"/>
          <w:sz w:val="30"/>
          <w:szCs w:val="30"/>
        </w:rPr>
        <w:t xml:space="preserve">2. Goals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Give the marketing team and management a clear, live view of planned vs. completed social media activity.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Track progress by brand, by group of brands, and by the product manager responsible.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Let the team plan targets for the year and each quarter, and record individual posts as they move from planned to published.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Present everything in a clean, professional interface that reflects the Inkarp brand.</w:t>
      </w:r>
    </w:p>
    <w:p>
      <w:pPr>
        <w:pStyle w:val="Heading1"/>
        <w:spacing w:after="130" w:before="320"/>
      </w:pPr>
      <w:r>
        <w:rPr>
          <w:b/>
          <w:bCs/>
          <w:color w:val="000000"/>
          <w:sz w:val="30"/>
          <w:szCs w:val="30"/>
        </w:rPr>
        <w:t xml:space="preserve">3. Users and access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There are two kinds of users: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Viewers — anyone in the company with the link can open the dashboard and see everything, but cannot change anything. No login should be required just to view.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Editors (Admin) — a small, trusted group who can add, edit, and delete content. Editing should be protected so that only authorised people can make changes, while viewing stays open.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 simple way for an editor to switch into an editing mode (and back) is expected. Changes made by an editor should be saved centrally and be visible to everyone.</w:t>
      </w:r>
    </w:p>
    <w:tbl>
      <w:tblPr>
        <w:tblW w:type="dxa" w:w="9000"/>
        <w:tblBorders>
          <w:top w:val="single" w:color="BE0010" w:sz="6"/>
          <w:left w:val="single" w:color="BE0010" w:sz="14"/>
          <w:bottom w:val="single" w:color="BE0010" w:sz="6"/>
          <w:right w:val="single" w:color="BE0010" w:sz="6"/>
          <w:insideH w:val="none"/>
          <w:insideV w:val="none"/>
        </w:tblBorders>
      </w:tblPr>
      <w:tblGrid>
        <w:gridCol w:w="9000"/>
      </w:tblGrid>
      <w:tr>
        <w:tc>
          <w:tcPr>
            <w:shd w:fill="FBE9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BE0010"/>
                <w:sz w:val="20"/>
                <w:szCs w:val="20"/>
              </w:rPr>
              <w:t xml:space="preserve">Note: </w:t>
            </w:r>
            <w:r>
              <w:rPr>
                <w:color w:val="000000"/>
                <w:sz w:val="20"/>
                <w:szCs w:val="20"/>
              </w:rPr>
              <w:t xml:space="preserve">The exact sign-in method is open to the developer, as long as viewing is open to all and editing is restricted to authorised people.</w:t>
            </w:r>
          </w:p>
        </w:tc>
      </w:tr>
    </w:tbl>
    <w:p>
      <w:pPr>
        <w:pStyle w:val="Heading1"/>
        <w:spacing w:after="130" w:before="320"/>
      </w:pPr>
      <w:r>
        <w:rPr>
          <w:b/>
          <w:bCs/>
          <w:color w:val="000000"/>
          <w:sz w:val="30"/>
          <w:szCs w:val="30"/>
        </w:rPr>
        <w:t xml:space="preserve">4. Key concepts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Principal (brand) — One of the ~50 international brands Inkarp represents. Each brand has a group, an assigned product manager, a country, and a brand colour.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Group — Brands are organised into groups (e.g. Group 1–8, plus Marketing and Learning &amp; Development).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Product Manager — The person responsible for a brand’s marketing. One manager may look after several brands.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Financial Year — Inkarp runs on an April-to-March financial year, split into four quarters (Apr–Jun, Jul–Sep, Oct–Dec, Jan–Mar). The dashboard must let users switch between financial years.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Planned vs. Implemented — Planned = the target number of posts set for a brand (yearly and/or per quarter). Implemented = the posts actually published. Pending = posts created but not yet published.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Post / Campaign — An individual social media post or campaign, tied to a brand, with a date, channels, an optional product name, an optional description, and a status.</w:t>
      </w:r>
    </w:p>
    <w:p>
      <w:r>
        <w:br w:type="page"/>
      </w:r>
    </w:p>
    <w:p>
      <w:pPr>
        <w:pStyle w:val="Heading1"/>
        <w:spacing w:after="130" w:before="320"/>
      </w:pPr>
      <w:r>
        <w:rPr>
          <w:b/>
          <w:bCs/>
          <w:color w:val="000000"/>
          <w:sz w:val="30"/>
          <w:szCs w:val="30"/>
        </w:rPr>
        <w:t xml:space="preserve">5. Required features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product should be organised into the following sections.</w:t>
      </w:r>
    </w:p>
    <w:p>
      <w:pPr>
        <w:pStyle w:val="Heading2"/>
        <w:spacing w:after="90" w:before="220"/>
      </w:pPr>
      <w:r>
        <w:rPr>
          <w:b/>
          <w:bCs/>
          <w:color w:val="BE0010"/>
          <w:sz w:val="24"/>
          <w:szCs w:val="24"/>
        </w:rPr>
        <w:t xml:space="preserve">5.1 Dashboard (overview)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landing view, giving a summary of progress for the selected financial year.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Summary figures shown as cards: Planned, Implemented, Pending, On-target count, and Completion percentage.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A time selector to view the full year or an individual quarter (Q1–Q4).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A date-range report option, with quick presets (this month, last month, last two months, this quarter, year-to-date).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Filters for Group, Product Manager, and Status that narrow all the tables below.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Breakdown tables — each with Planned / Implemented / Pending counts and a visual progress bar per row — for: By Principal, By Group, By Product Manager, By Product, and By Campaign.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Search within the Principal, Product, and Campaign breakdowns.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Ability to download the current report as a spreadsheet and as a printable PDF.</w:t>
      </w:r>
    </w:p>
    <w:p>
      <w:pPr>
        <w:pStyle w:val="Heading2"/>
        <w:spacing w:after="90" w:before="220"/>
      </w:pPr>
      <w:r>
        <w:rPr>
          <w:b/>
          <w:bCs/>
          <w:color w:val="BE0010"/>
          <w:sz w:val="24"/>
          <w:szCs w:val="24"/>
        </w:rPr>
        <w:t xml:space="preserve">5.2 Principals (brand management)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Where the yearly and quarterly plan is set and maintained.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A directory of all brands, organised by group, showing each brand’s product manager and country.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For each brand: set a yearly target and optionally override individual quarter targets.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Show, for each brand, how many posts have actually been published against the target, with a progress indicator.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Search and filter by brand, group, or product manager.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Add a new principal — capturing brand name, group, product manager, country, and brand colour.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Delete a principal (with confirmation). Posts already recorded against a deleted brand should be retained.</w:t>
      </w:r>
    </w:p>
    <w:p>
      <w:pPr>
        <w:pStyle w:val="Heading2"/>
        <w:spacing w:after="90" w:before="220"/>
      </w:pPr>
      <w:r>
        <w:rPr>
          <w:b/>
          <w:bCs/>
          <w:color w:val="BE0010"/>
          <w:sz w:val="24"/>
          <w:szCs w:val="24"/>
        </w:rPr>
        <w:t xml:space="preserve">5.3 Posts (list view)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 working list of every individual post for the selected year.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A table of posts showing name, channels, brand, product, owning product manager, date, and status.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Add a new post and edit or delete an existing one.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Select multiple posts at once and delete them together.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Filter the list by channel and by status.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Bulk-import posts from a spreadsheet using a provided template.</w:t>
      </w:r>
    </w:p>
    <w:p>
      <w:pPr>
        <w:pStyle w:val="Heading2"/>
        <w:spacing w:after="90" w:before="220"/>
      </w:pPr>
      <w:r>
        <w:rPr>
          <w:b/>
          <w:bCs/>
          <w:color w:val="BE0010"/>
          <w:sz w:val="24"/>
          <w:szCs w:val="24"/>
        </w:rPr>
        <w:t xml:space="preserve">5.4 Calendar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 month calendar showing posts on their scheduled dates.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Month view with posts shown on the correct day, colour-coded by brand.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Move between months and jump to today.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Click a post to open and edit it.</w:t>
      </w:r>
    </w:p>
    <w:p>
      <w:pPr>
        <w:pStyle w:val="Heading2"/>
        <w:spacing w:after="90" w:before="220"/>
      </w:pPr>
      <w:r>
        <w:rPr>
          <w:b/>
          <w:bCs/>
          <w:color w:val="BE0010"/>
          <w:sz w:val="24"/>
          <w:szCs w:val="24"/>
        </w:rPr>
        <w:t xml:space="preserve">5.5 Board (Kanban)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A drag-and-drop board to move posts through stages.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Columns for each status: Planned, In progress, In review, Published.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Cards can be dragged between columns to update their status (for editors).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Each card shows the post name, brand, channels, and date.</w:t>
      </w:r>
    </w:p>
    <w:p>
      <w:pPr>
        <w:pStyle w:val="Heading2"/>
        <w:spacing w:after="90" w:before="220"/>
      </w:pPr>
      <w:r>
        <w:rPr>
          <w:b/>
          <w:bCs/>
          <w:color w:val="BE0010"/>
          <w:sz w:val="24"/>
          <w:szCs w:val="24"/>
        </w:rPr>
        <w:t xml:space="preserve">5.6 Adding / editing a post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form used to create or change a post.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Fields: post/campaign name, optional description, brand, optional product name, channels, date, and status.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Channels supported: Facebook, Instagram, LinkedIn, Twitter/X, and YouTube (multiple allowed per post).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Quick options to select common channel sets (e.g. all, social-only, one channel).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The owning product manager should be filled automatically from the chosen brand.</w:t>
      </w:r>
    </w:p>
    <w:p>
      <w:r>
        <w:br w:type="page"/>
      </w:r>
    </w:p>
    <w:p>
      <w:pPr>
        <w:pStyle w:val="Heading1"/>
        <w:spacing w:after="130" w:before="320"/>
      </w:pPr>
      <w:r>
        <w:rPr>
          <w:b/>
          <w:bCs/>
          <w:color w:val="000000"/>
          <w:sz w:val="30"/>
          <w:szCs w:val="30"/>
        </w:rPr>
        <w:t xml:space="preserve">6. Data and behaviour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All data is shared: what one editor changes, everyone sees. Changes should save automatically and reliably.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The financial-year logic (April–March) and its quarters must be respected throughout — figures and calendars should follow this.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Multiple financial years should be supported, each keeping its own targets and posts, with a way to switch between them.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“Implemented” should count only posts marked as Published. Pending covers everything not yet published.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The product should work well on a computer browser and remain usable on tablets and phones.</w:t>
      </w:r>
    </w:p>
    <w:p>
      <w:pPr>
        <w:pStyle w:val="Heading1"/>
        <w:spacing w:after="130" w:before="320"/>
      </w:pPr>
      <w:r>
        <w:rPr>
          <w:b/>
          <w:bCs/>
          <w:color w:val="000000"/>
          <w:sz w:val="30"/>
          <w:szCs w:val="30"/>
        </w:rPr>
        <w:t xml:space="preserve">7. Look and feel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interface should feel clean, modern, and premium — like a professional application, not a plain web page. Key expectations: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A left-hand navigation sidebar for moving between sections (Dashboard, Principals, Posts, Calendar, Board).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The Inkarp logo and a friendly, time-based greeting (e.g. “Good morning”) at the top.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Generous spacing, clear typography, and simple cards and tables that are easy to read with a lot of data on screen.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Progress shown visually (bars and percentages) so status is obvious at a glance.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Strictly within the Inkarp brand colours below — no other accent colours.</w:t>
      </w:r>
    </w:p>
    <w:p>
      <w:pPr>
        <w:pStyle w:val="Heading1"/>
        <w:spacing w:after="130" w:before="320"/>
      </w:pPr>
      <w:r>
        <w:rPr>
          <w:b/>
          <w:bCs/>
          <w:color w:val="000000"/>
          <w:sz w:val="30"/>
          <w:szCs w:val="30"/>
        </w:rPr>
        <w:t xml:space="preserve">8. Brand colours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Only these four brand colours should be used across the interface.</w:t>
      </w:r>
    </w:p>
    <w:tbl>
      <w:tblPr>
        <w:tblW w:type="dxa" w:w="900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2600"/>
        <w:gridCol w:w="1500"/>
        <w:gridCol w:w="1900"/>
        <w:gridCol w:w="3000"/>
      </w:tblGrid>
      <w:tr>
        <w:trPr>
          <w:tblHeader/>
        </w:trPr>
        <w:tc>
          <w:tcPr>
            <w:tcW w:type="dxa" w:w="2600"/>
            <w:shd w:fill="000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1500"/>
            <w:shd w:fill="000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1900"/>
            <w:shd w:fill="000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000"/>
            <w:shd w:fill="000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Inkarp Red</w:t>
            </w:r>
          </w:p>
        </w:tc>
        <w:tc>
          <w:tcPr>
            <w:tcW w:type="dxa" w:w="1500"/>
            <w:shd w:fill="BE001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#BE0010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Primary accent — highlights, key figures, active items, buttons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Black</w:t>
            </w:r>
          </w:p>
        </w:tc>
        <w:tc>
          <w:tcPr>
            <w:tcW w:type="dxa" w:w="1500"/>
            <w:shd w:fill="00000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#000000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Sidebar, strong text, headers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White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#FFFFFF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Backgrounds, cards, surfaces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Grey</w:t>
            </w:r>
          </w:p>
        </w:tc>
        <w:tc>
          <w:tcPr>
            <w:tcW w:type="dxa" w:w="1500"/>
            <w:shd w:fill="7D7D7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#7D7D7D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000000"/>
                <w:sz w:val="19"/>
                <w:szCs w:val="19"/>
              </w:rPr>
              <w:t xml:space="preserve">Secondary text, labels, subtle lines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In addition, each principal (brand) has its own brand colour used only as a small accent (a dot or a bar) to identify that brand in lists — these are per-brand identifiers, separate from the four core colours above.</w:t>
      </w:r>
    </w:p>
    <w:p>
      <w:pPr>
        <w:pStyle w:val="Heading1"/>
        <w:spacing w:after="130" w:before="320"/>
      </w:pPr>
      <w:r>
        <w:rPr>
          <w:b/>
          <w:bCs/>
          <w:color w:val="000000"/>
          <w:sz w:val="30"/>
          <w:szCs w:val="30"/>
        </w:rPr>
        <w:t xml:space="preserve">9. Left to the developer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We are describing what the product must do, not how to build it. The following are intentionally left open for you to propose: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The tools, platform, hosting, and technical approach.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How data is stored and how the shared, always-up-to-date behaviour is achieved.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The sign-in method for editors, provided viewing stays open and editing stays protected.</w:t>
      </w:r>
    </w:p>
    <w:p>
      <w:pPr>
        <w:pStyle w:val="ListParagraph"/>
        <w:numPr>
          <w:ilvl w:val="0"/>
          <w:numId w:val="1"/>
        </w:numPr>
        <w:spacing w:after="64"/>
      </w:pPr>
      <w:r>
        <w:rPr>
          <w:color w:val="000000"/>
          <w:sz w:val="21"/>
          <w:szCs w:val="21"/>
        </w:rPr>
        <w:t xml:space="preserve">Any sensible improvements to usability, performance, or reliability you would recommend.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We welcome suggestions that make the product clearer, faster, or easier to maintain, as long as the requirements above and the brand identity are respected.</w:t>
      </w:r>
    </w:p>
    <w:p>
      <w:pPr>
        <w:spacing w:after="60"/>
      </w:pPr>
      <w:r>
        <w:t xml:space="preserve"/>
      </w:r>
    </w:p>
    <w:p>
      <w:pPr>
        <w:spacing w:after="110"/>
      </w:pPr>
      <w:r>
        <w:rPr>
          <w:b w:val="false"/>
          <w:bCs w:val="false"/>
          <w:i/>
          <w:iCs/>
          <w:color w:val="7D7D7D"/>
          <w:sz w:val="18"/>
          <w:szCs w:val="18"/>
        </w:rPr>
        <w:t xml:space="preserve">End of brief.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  <w:rPr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2026-08-17T05:31:15.962Z</dcterms:created>
  <dcterms:modified xsi:type="dcterms:W3CDTF">2026-08-17T05:31:15.985Z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