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Aptos Display" w:hAnsi="Aptos Display"/>
          <w:b/>
          <w:color w:val="17324D"/>
          <w:sz w:val="54"/>
        </w:rPr>
        <w:t>MediMind</w:t>
      </w:r>
    </w:p>
    <w:p>
      <w:pPr>
        <w:jc w:val="center"/>
      </w:pPr>
      <w:r>
        <w:rPr>
          <w:b/>
          <w:color w:val="087E8B"/>
          <w:sz w:val="24"/>
        </w:rPr>
        <w:t>Round 1 Technical Summary — AI Medical Report &amp; Prescription Cross-Checker</w:t>
      </w:r>
    </w:p>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SUBMISSION DETAILS  </w:t>
            </w:r>
            <w:r>
              <w:t>Team: [ADD TEAM NAME]  |  Members: [ADD NAMES]  |  Contact: [ADD EMAIL / PHONE]</w:t>
            </w:r>
          </w:p>
        </w:tc>
      </w:tr>
    </w:tbl>
    <w:p>
      <w:pPr>
        <w:jc w:val="center"/>
      </w:pPr>
      <w:hyperlink r:id="rId11">
        <w:r>
          <w:rPr>
            <w:color w:val="087E8B"/>
            <w:u w:val="single"/>
          </w:rPr>
          <w:t>Live application: https://medimind-murex-nu.vercel.app/</w:t>
        </w:r>
      </w:hyperlink>
    </w:p>
    <w:p>
      <w:pPr>
        <w:jc w:val="center"/>
      </w:pPr>
      <w:hyperlink r:id="rId12">
        <w:r>
          <w:rPr>
            <w:color w:val="087E8B"/>
            <w:u w:val="single"/>
          </w:rPr>
          <w:t>Live API: https://medimind-20473.containers.snapdeploy.app/</w:t>
        </w:r>
      </w:hyperlink>
    </w:p>
    <w:p>
      <w:pPr>
        <w:pStyle w:val="Heading1"/>
      </w:pPr>
      <w:r>
        <w:t>1. Product Overview</w:t>
      </w:r>
    </w:p>
    <w:p>
      <w:r>
        <w:t>MediMind is an end-to-end medical-document intelligence workspace. It transforms disconnected prescriptions, laboratory reports and discharge summaries into one understandable patient record. Users upload multiple documents, follow the processing status, review a chronological history, inspect medicine safety alerts and lab trends, and ask questions that reason across the complete record.</w:t>
      </w:r>
    </w:p>
    <w:p>
      <w:r>
        <w:t>The system is designed as clinical decision support—not a diagnostic or prescribing tool. It presents traceable, confidence-rated findings and prompts the user to consult a doctor or pharmacist where a flag is high-risk or confidence is low.</w:t>
      </w:r>
    </w:p>
    <w:p>
      <w:pPr>
        <w:pStyle w:val="Heading2"/>
      </w:pPr>
      <w:r>
        <w:t>Problem &amp; Value</w:t>
      </w:r>
    </w:p>
    <w:p>
      <w:r>
        <w:t>Patient information is commonly fragmented between visits and providers. Comparing prescriptions manually can miss duplicates, inconsistent doses, interactions or medication–allergy conflicts; recognizing a laboratory value drifting over time also requires comparing reports that may be months apart. MediMind makes this longitudinal review accessible in one workflow while retaining the source context behind each finding.</w:t>
      </w:r>
    </w:p>
    <w:p>
      <w:pPr>
        <w:pStyle w:val="Heading1"/>
      </w:pPr>
      <w:r>
        <w:t>2. Key User Flow</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7324D"/>
          </w:tcPr>
          <w:p>
            <w:pPr>
              <w:spacing w:after="40"/>
            </w:pPr>
            <w:r/>
            <w:r>
              <w:rPr>
                <w:rFonts w:ascii="Aptos" w:hAnsi="Aptos"/>
                <w:b/>
                <w:color w:val="FFFFFF"/>
                <w:sz w:val="17"/>
              </w:rPr>
              <w:t>Step</w:t>
            </w:r>
          </w:p>
        </w:tc>
        <w:tc>
          <w:tcPr>
            <w:tcW w:type="dxa" w:w="3672"/>
            <w:shd w:fill="17324D"/>
          </w:tcPr>
          <w:p>
            <w:pPr>
              <w:spacing w:after="40"/>
            </w:pPr>
            <w:r/>
            <w:r>
              <w:rPr>
                <w:rFonts w:ascii="Aptos" w:hAnsi="Aptos"/>
                <w:b/>
                <w:color w:val="FFFFFF"/>
                <w:sz w:val="17"/>
              </w:rPr>
              <w:t>What the user does</w:t>
            </w:r>
          </w:p>
        </w:tc>
        <w:tc>
          <w:tcPr>
            <w:tcW w:type="dxa" w:w="4896"/>
            <w:shd w:fill="17324D"/>
          </w:tcPr>
          <w:p>
            <w:pPr>
              <w:spacing w:after="40"/>
            </w:pPr>
            <w:r/>
            <w:r>
              <w:rPr>
                <w:rFonts w:ascii="Aptos" w:hAnsi="Aptos"/>
                <w:b/>
                <w:color w:val="FFFFFF"/>
                <w:sz w:val="17"/>
              </w:rPr>
              <w:t>What MediMind produces</w:t>
            </w:r>
          </w:p>
        </w:tc>
      </w:tr>
      <w:tr>
        <w:tc>
          <w:tcPr>
            <w:tcW w:type="dxa" w:w="1152"/>
            <w:shd w:fill="F5F9FA"/>
          </w:tcPr>
          <w:p>
            <w:pPr>
              <w:spacing w:after="40"/>
            </w:pPr>
            <w:r/>
            <w:r>
              <w:rPr>
                <w:rFonts w:ascii="Aptos" w:hAnsi="Aptos"/>
                <w:b w:val="0"/>
                <w:sz w:val="16"/>
              </w:rPr>
              <w:t>1. Private workspace</w:t>
            </w:r>
          </w:p>
        </w:tc>
        <w:tc>
          <w:tcPr>
            <w:tcW w:type="dxa" w:w="3672"/>
            <w:shd w:fill="F5F9FA"/>
          </w:tcPr>
          <w:p>
            <w:pPr>
              <w:spacing w:after="40"/>
            </w:pPr>
            <w:r/>
            <w:r>
              <w:rPr>
                <w:rFonts w:ascii="Aptos" w:hAnsi="Aptos"/>
                <w:b w:val="0"/>
                <w:sz w:val="16"/>
              </w:rPr>
              <w:t>Opens the app; an anonymous browser workspace is created.</w:t>
            </w:r>
          </w:p>
        </w:tc>
        <w:tc>
          <w:tcPr>
            <w:tcW w:type="dxa" w:w="4896"/>
            <w:shd w:fill="F5F9FA"/>
          </w:tcPr>
          <w:p>
            <w:pPr>
              <w:spacing w:after="40"/>
            </w:pPr>
            <w:r/>
            <w:r>
              <w:rPr>
                <w:rFonts w:ascii="Aptos" w:hAnsi="Aptos"/>
                <w:b w:val="0"/>
                <w:sz w:val="16"/>
              </w:rPr>
              <w:t>Isolated session credentials stored locally in the browser.</w:t>
            </w:r>
          </w:p>
        </w:tc>
      </w:tr>
      <w:tr>
        <w:tc>
          <w:tcPr>
            <w:tcW w:type="dxa" w:w="1152"/>
          </w:tcPr>
          <w:p>
            <w:pPr>
              <w:spacing w:after="40"/>
            </w:pPr>
            <w:r/>
            <w:r>
              <w:rPr>
                <w:rFonts w:ascii="Aptos" w:hAnsi="Aptos"/>
                <w:b w:val="0"/>
                <w:sz w:val="16"/>
              </w:rPr>
              <w:t>2. Upload</w:t>
            </w:r>
          </w:p>
        </w:tc>
        <w:tc>
          <w:tcPr>
            <w:tcW w:type="dxa" w:w="3672"/>
          </w:tcPr>
          <w:p>
            <w:pPr>
              <w:spacing w:after="40"/>
            </w:pPr>
            <w:r/>
            <w:r>
              <w:rPr>
                <w:rFonts w:ascii="Aptos" w:hAnsi="Aptos"/>
                <w:b w:val="0"/>
                <w:sz w:val="16"/>
              </w:rPr>
              <w:t>Adds PDF, JPG, PNG or WEBP medical documents (up to 25 MB each).</w:t>
            </w:r>
          </w:p>
        </w:tc>
        <w:tc>
          <w:tcPr>
            <w:tcW w:type="dxa" w:w="4896"/>
          </w:tcPr>
          <w:p>
            <w:pPr>
              <w:spacing w:after="40"/>
            </w:pPr>
            <w:r/>
            <w:r>
              <w:rPr>
                <w:rFonts w:ascii="Aptos" w:hAnsi="Aptos"/>
                <w:b w:val="0"/>
                <w:sz w:val="16"/>
              </w:rPr>
              <w:t>Per-file queue, reading, extraction and saving status.</w:t>
            </w:r>
          </w:p>
        </w:tc>
      </w:tr>
      <w:tr>
        <w:tc>
          <w:tcPr>
            <w:tcW w:type="dxa" w:w="1152"/>
            <w:shd w:fill="F5F9FA"/>
          </w:tcPr>
          <w:p>
            <w:pPr>
              <w:spacing w:after="40"/>
            </w:pPr>
            <w:r/>
            <w:r>
              <w:rPr>
                <w:rFonts w:ascii="Aptos" w:hAnsi="Aptos"/>
                <w:b w:val="0"/>
                <w:sz w:val="16"/>
              </w:rPr>
              <w:t>3. Processing</w:t>
            </w:r>
          </w:p>
        </w:tc>
        <w:tc>
          <w:tcPr>
            <w:tcW w:type="dxa" w:w="3672"/>
            <w:shd w:fill="F5F9FA"/>
          </w:tcPr>
          <w:p>
            <w:pPr>
              <w:spacing w:after="40"/>
            </w:pPr>
            <w:r/>
            <w:r>
              <w:rPr>
                <w:rFonts w:ascii="Aptos" w:hAnsi="Aptos"/>
                <w:b w:val="0"/>
                <w:sz w:val="16"/>
              </w:rPr>
              <w:t>Waits while documents are understood and merged.</w:t>
            </w:r>
          </w:p>
        </w:tc>
        <w:tc>
          <w:tcPr>
            <w:tcW w:type="dxa" w:w="4896"/>
            <w:shd w:fill="F5F9FA"/>
          </w:tcPr>
          <w:p>
            <w:pPr>
              <w:spacing w:after="40"/>
            </w:pPr>
            <w:r/>
            <w:r>
              <w:rPr>
                <w:rFonts w:ascii="Aptos" w:hAnsi="Aptos"/>
                <w:b w:val="0"/>
                <w:sz w:val="16"/>
              </w:rPr>
              <w:t>Structured visits, medicines, lab tests, allergies and clinical notes.</w:t>
            </w:r>
          </w:p>
        </w:tc>
      </w:tr>
      <w:tr>
        <w:tc>
          <w:tcPr>
            <w:tcW w:type="dxa" w:w="1152"/>
          </w:tcPr>
          <w:p>
            <w:pPr>
              <w:spacing w:after="40"/>
            </w:pPr>
            <w:r/>
            <w:r>
              <w:rPr>
                <w:rFonts w:ascii="Aptos" w:hAnsi="Aptos"/>
                <w:b w:val="0"/>
                <w:sz w:val="16"/>
              </w:rPr>
              <w:t>4. Review</w:t>
            </w:r>
          </w:p>
        </w:tc>
        <w:tc>
          <w:tcPr>
            <w:tcW w:type="dxa" w:w="3672"/>
          </w:tcPr>
          <w:p>
            <w:pPr>
              <w:spacing w:after="40"/>
            </w:pPr>
            <w:r/>
            <w:r>
              <w:rPr>
                <w:rFonts w:ascii="Aptos" w:hAnsi="Aptos"/>
                <w:b w:val="0"/>
                <w:sz w:val="16"/>
              </w:rPr>
              <w:t>Navigates Dashboard, History, Medicines, Labs and Safety Alerts.</w:t>
            </w:r>
          </w:p>
        </w:tc>
        <w:tc>
          <w:tcPr>
            <w:tcW w:type="dxa" w:w="4896"/>
          </w:tcPr>
          <w:p>
            <w:pPr>
              <w:spacing w:after="40"/>
            </w:pPr>
            <w:r/>
            <w:r>
              <w:rPr>
                <w:rFonts w:ascii="Aptos" w:hAnsi="Aptos"/>
                <w:b w:val="0"/>
                <w:sz w:val="16"/>
              </w:rPr>
              <w:t>Unified timeline, trend explanations and cross-check findings.</w:t>
            </w:r>
          </w:p>
        </w:tc>
      </w:tr>
      <w:tr>
        <w:tc>
          <w:tcPr>
            <w:tcW w:type="dxa" w:w="1152"/>
            <w:shd w:fill="F5F9FA"/>
          </w:tcPr>
          <w:p>
            <w:pPr>
              <w:spacing w:after="40"/>
            </w:pPr>
            <w:r/>
            <w:r>
              <w:rPr>
                <w:rFonts w:ascii="Aptos" w:hAnsi="Aptos"/>
                <w:b w:val="0"/>
                <w:sz w:val="16"/>
              </w:rPr>
              <w:t>5. Ask</w:t>
            </w:r>
          </w:p>
        </w:tc>
        <w:tc>
          <w:tcPr>
            <w:tcW w:type="dxa" w:w="3672"/>
            <w:shd w:fill="F5F9FA"/>
          </w:tcPr>
          <w:p>
            <w:pPr>
              <w:spacing w:after="40"/>
            </w:pPr>
            <w:r/>
            <w:r>
              <w:rPr>
                <w:rFonts w:ascii="Aptos" w:hAnsi="Aptos"/>
                <w:b w:val="0"/>
                <w:sz w:val="16"/>
              </w:rPr>
              <w:t>Asks a question across the uploaded record.</w:t>
            </w:r>
          </w:p>
        </w:tc>
        <w:tc>
          <w:tcPr>
            <w:tcW w:type="dxa" w:w="4896"/>
            <w:shd w:fill="F5F9FA"/>
          </w:tcPr>
          <w:p>
            <w:pPr>
              <w:spacing w:after="40"/>
            </w:pPr>
            <w:r/>
            <w:r>
              <w:rPr>
                <w:rFonts w:ascii="Aptos" w:hAnsi="Aptos"/>
                <w:b w:val="0"/>
                <w:sz w:val="16"/>
              </w:rPr>
              <w:t>Grounded answer, confidence, cited source documents/pages and professional-consultation recommendation.</w:t>
            </w:r>
          </w:p>
        </w:tc>
      </w:tr>
    </w:tbl>
    <w:tbl>
      <w:tblPr>
        <w:tblW w:type="auto" w:w="0"/>
        <w:jc w:val="center"/>
        <w:tblLayout w:type="fixed"/>
        <w:tblLook w:firstColumn="1" w:firstRow="1" w:lastColumn="0" w:lastRow="0" w:noHBand="0" w:noVBand="1" w:val="04A0"/>
      </w:tblPr>
      <w:tblGrid>
        <w:gridCol w:w="10080"/>
      </w:tblGrid>
      <w:tr>
        <w:tc>
          <w:tcPr>
            <w:tcW w:type="dxa" w:w="10368"/>
            <w:shd w:fill="F3F6F8"/>
            <w:tcBorders>
              <w:top w:val="single" w:sz="6" w:color="D7E2E8"/>
              <w:left w:val="single" w:sz="6" w:color="D7E2E8"/>
              <w:bottom w:val="single" w:sz="6" w:color="D7E2E8"/>
              <w:right w:val="single" w:sz="6" w:color="D7E2E8"/>
            </w:tcBorders>
            <w:vAlign w:val="center"/>
          </w:tcPr>
          <w:p>
            <w:pPr>
              <w:spacing w:before="196" w:after="196"/>
              <w:jc w:val="center"/>
            </w:pPr>
            <w:r>
              <w:rPr>
                <w:b/>
                <w:color w:val="64748B"/>
                <w:sz w:val="18"/>
              </w:rPr>
              <w:t>[INSERT SCREENSHOT 1 — Upload screen showing multiple judge-provided documents and processing states]</w:t>
            </w:r>
          </w:p>
        </w:tc>
      </w:tr>
    </w:tbl>
    <w:p>
      <w:r>
        <w:br w:type="page"/>
      </w:r>
    </w:p>
    <w:p>
      <w:pPr>
        <w:pStyle w:val="Heading1"/>
      </w:pPr>
      <w:r>
        <w:t>3. Technical Stack</w:t>
      </w:r>
    </w:p>
    <w:tbl>
      <w:tblPr>
        <w:tblStyle w:val="TableGrid"/>
        <w:tblW w:type="auto" w:w="0"/>
        <w:jc w:val="center"/>
        <w:tblLook w:firstColumn="1" w:firstRow="1" w:lastColumn="0" w:lastRow="0" w:noHBand="0" w:noVBand="1" w:val="04A0"/>
      </w:tblPr>
      <w:tblGrid>
        <w:gridCol w:w="5184"/>
        <w:gridCol w:w="5184"/>
      </w:tblGrid>
      <w:tr>
        <w:tc>
          <w:tcPr>
            <w:tcW w:type="dxa" w:w="1944"/>
            <w:shd w:fill="17324D"/>
          </w:tcPr>
          <w:p>
            <w:pPr>
              <w:spacing w:after="40"/>
            </w:pPr>
            <w:r/>
            <w:r>
              <w:rPr>
                <w:rFonts w:ascii="Aptos" w:hAnsi="Aptos"/>
                <w:b/>
                <w:color w:val="FFFFFF"/>
                <w:sz w:val="17"/>
              </w:rPr>
              <w:t>Layer</w:t>
            </w:r>
          </w:p>
        </w:tc>
        <w:tc>
          <w:tcPr>
            <w:tcW w:type="dxa" w:w="7776"/>
            <w:shd w:fill="17324D"/>
          </w:tcPr>
          <w:p>
            <w:pPr>
              <w:spacing w:after="40"/>
            </w:pPr>
            <w:r/>
            <w:r>
              <w:rPr>
                <w:rFonts w:ascii="Aptos" w:hAnsi="Aptos"/>
                <w:b/>
                <w:color w:val="FFFFFF"/>
                <w:sz w:val="17"/>
              </w:rPr>
              <w:t>Implementation</w:t>
            </w:r>
          </w:p>
        </w:tc>
      </w:tr>
      <w:tr>
        <w:tc>
          <w:tcPr>
            <w:tcW w:type="dxa" w:w="1944"/>
            <w:shd w:fill="F5F9FA"/>
          </w:tcPr>
          <w:p>
            <w:pPr>
              <w:spacing w:after="40"/>
            </w:pPr>
            <w:r/>
            <w:r>
              <w:rPr>
                <w:rFonts w:ascii="Aptos" w:hAnsi="Aptos"/>
                <w:b w:val="0"/>
                <w:sz w:val="16"/>
              </w:rPr>
              <w:t>Frontend</w:t>
            </w:r>
          </w:p>
        </w:tc>
        <w:tc>
          <w:tcPr>
            <w:tcW w:type="dxa" w:w="7776"/>
            <w:shd w:fill="F5F9FA"/>
          </w:tcPr>
          <w:p>
            <w:pPr>
              <w:spacing w:after="40"/>
            </w:pPr>
            <w:r/>
            <w:r>
              <w:rPr>
                <w:rFonts w:ascii="Aptos" w:hAnsi="Aptos"/>
                <w:b w:val="0"/>
                <w:sz w:val="16"/>
              </w:rPr>
              <w:t>React 18, TypeScript, Vite and Tailwind CSS; routed dashboard views for Upload, Documents, History, Medicines, Lab Trends, Safety, Ask AI and Conversations.</w:t>
            </w:r>
          </w:p>
        </w:tc>
      </w:tr>
      <w:tr>
        <w:tc>
          <w:tcPr>
            <w:tcW w:type="dxa" w:w="1944"/>
          </w:tcPr>
          <w:p>
            <w:pPr>
              <w:spacing w:after="40"/>
            </w:pPr>
            <w:r/>
            <w:r>
              <w:rPr>
                <w:rFonts w:ascii="Aptos" w:hAnsi="Aptos"/>
                <w:b w:val="0"/>
                <w:sz w:val="16"/>
              </w:rPr>
              <w:t>Backend</w:t>
            </w:r>
          </w:p>
        </w:tc>
        <w:tc>
          <w:tcPr>
            <w:tcW w:type="dxa" w:w="7776"/>
          </w:tcPr>
          <w:p>
            <w:pPr>
              <w:spacing w:after="40"/>
            </w:pPr>
            <w:r/>
            <w:r>
              <w:rPr>
                <w:rFonts w:ascii="Aptos" w:hAnsi="Aptos"/>
                <w:b w:val="0"/>
                <w:sz w:val="16"/>
              </w:rPr>
              <w:t>Python FastAPI REST API; asynchronous job workflow with file-level progress and fault isolation.</w:t>
            </w:r>
          </w:p>
        </w:tc>
      </w:tr>
      <w:tr>
        <w:tc>
          <w:tcPr>
            <w:tcW w:type="dxa" w:w="1944"/>
            <w:shd w:fill="F5F9FA"/>
          </w:tcPr>
          <w:p>
            <w:pPr>
              <w:spacing w:after="40"/>
            </w:pPr>
            <w:r/>
            <w:r>
              <w:rPr>
                <w:rFonts w:ascii="Aptos" w:hAnsi="Aptos"/>
                <w:b w:val="0"/>
                <w:sz w:val="16"/>
              </w:rPr>
              <w:t>Document reading</w:t>
            </w:r>
          </w:p>
        </w:tc>
        <w:tc>
          <w:tcPr>
            <w:tcW w:type="dxa" w:w="7776"/>
            <w:shd w:fill="F5F9FA"/>
          </w:tcPr>
          <w:p>
            <w:pPr>
              <w:spacing w:after="40"/>
            </w:pPr>
            <w:r/>
            <w:r>
              <w:rPr>
                <w:rFonts w:ascii="Aptos" w:hAnsi="Aptos"/>
                <w:b w:val="0"/>
                <w:sz w:val="16"/>
              </w:rPr>
              <w:t>PyMuPDF and pdfplumber for PDFs; Pillow for images; multimodal LLM extraction into structured JSON.</w:t>
            </w:r>
          </w:p>
        </w:tc>
      </w:tr>
      <w:tr>
        <w:tc>
          <w:tcPr>
            <w:tcW w:type="dxa" w:w="1944"/>
          </w:tcPr>
          <w:p>
            <w:pPr>
              <w:spacing w:after="40"/>
            </w:pPr>
            <w:r/>
            <w:r>
              <w:rPr>
                <w:rFonts w:ascii="Aptos" w:hAnsi="Aptos"/>
                <w:b w:val="0"/>
                <w:sz w:val="16"/>
              </w:rPr>
              <w:t>AI provider layer</w:t>
            </w:r>
          </w:p>
        </w:tc>
        <w:tc>
          <w:tcPr>
            <w:tcW w:type="dxa" w:w="7776"/>
          </w:tcPr>
          <w:p>
            <w:pPr>
              <w:spacing w:after="40"/>
            </w:pPr>
            <w:r/>
            <w:r>
              <w:rPr>
                <w:rFonts w:ascii="Aptos" w:hAnsi="Aptos"/>
                <w:b w:val="0"/>
                <w:sz w:val="16"/>
              </w:rPr>
              <w:t>Configurable OpenAI-compatible provider. The codebase supports Gemini Flash multimodal or Groq models for extraction and reasoning. [CONFIRM the active deployed model before submitting.]</w:t>
            </w:r>
          </w:p>
        </w:tc>
      </w:tr>
      <w:tr>
        <w:tc>
          <w:tcPr>
            <w:tcW w:type="dxa" w:w="1944"/>
            <w:shd w:fill="F5F9FA"/>
          </w:tcPr>
          <w:p>
            <w:pPr>
              <w:spacing w:after="40"/>
            </w:pPr>
            <w:r/>
            <w:r>
              <w:rPr>
                <w:rFonts w:ascii="Aptos" w:hAnsi="Aptos"/>
                <w:b w:val="0"/>
                <w:sz w:val="16"/>
              </w:rPr>
              <w:t>Data &amp; file storage</w:t>
            </w:r>
          </w:p>
        </w:tc>
        <w:tc>
          <w:tcPr>
            <w:tcW w:type="dxa" w:w="7776"/>
            <w:shd w:fill="F5F9FA"/>
          </w:tcPr>
          <w:p>
            <w:pPr>
              <w:spacing w:after="40"/>
            </w:pPr>
            <w:r/>
            <w:r>
              <w:rPr>
                <w:rFonts w:ascii="Aptos" w:hAnsi="Aptos"/>
                <w:b w:val="0"/>
                <w:sz w:val="16"/>
              </w:rPr>
              <w:t>Supabase PostgreSQL for append-only documents, patient snapshots and vector chunks; Cloudinary for original uploaded file storage.</w:t>
            </w:r>
          </w:p>
        </w:tc>
      </w:tr>
      <w:tr>
        <w:tc>
          <w:tcPr>
            <w:tcW w:type="dxa" w:w="1944"/>
          </w:tcPr>
          <w:p>
            <w:pPr>
              <w:spacing w:after="40"/>
            </w:pPr>
            <w:r/>
            <w:r>
              <w:rPr>
                <w:rFonts w:ascii="Aptos" w:hAnsi="Aptos"/>
                <w:b w:val="0"/>
                <w:sz w:val="16"/>
              </w:rPr>
              <w:t>Retrieval</w:t>
            </w:r>
          </w:p>
        </w:tc>
        <w:tc>
          <w:tcPr>
            <w:tcW w:type="dxa" w:w="7776"/>
          </w:tcPr>
          <w:p>
            <w:pPr>
              <w:spacing w:after="40"/>
            </w:pPr>
            <w:r/>
            <w:r>
              <w:rPr>
                <w:rFonts w:ascii="Aptos" w:hAnsi="Aptos"/>
                <w:b w:val="0"/>
                <w:sz w:val="16"/>
              </w:rPr>
              <w:t>RAG pipeline with embeddings: OpenAI text-embedding-3-small when configured, otherwise local ONNX MiniLM; Chroma or Supabase vector-store abstraction.</w:t>
            </w:r>
          </w:p>
        </w:tc>
      </w:tr>
      <w:tr>
        <w:tc>
          <w:tcPr>
            <w:tcW w:type="dxa" w:w="1944"/>
            <w:shd w:fill="F5F9FA"/>
          </w:tcPr>
          <w:p>
            <w:pPr>
              <w:spacing w:after="40"/>
            </w:pPr>
            <w:r/>
            <w:r>
              <w:rPr>
                <w:rFonts w:ascii="Aptos" w:hAnsi="Aptos"/>
                <w:b w:val="0"/>
                <w:sz w:val="16"/>
              </w:rPr>
              <w:t>Deployment</w:t>
            </w:r>
          </w:p>
        </w:tc>
        <w:tc>
          <w:tcPr>
            <w:tcW w:type="dxa" w:w="7776"/>
            <w:shd w:fill="F5F9FA"/>
          </w:tcPr>
          <w:p>
            <w:pPr>
              <w:spacing w:after="40"/>
            </w:pPr>
            <w:r/>
            <w:r>
              <w:rPr>
                <w:rFonts w:ascii="Aptos" w:hAnsi="Aptos"/>
                <w:b w:val="0"/>
                <w:sz w:val="16"/>
              </w:rPr>
              <w:t>React frontend on Vercel; FastAPI backend in a container deployment. Public links appear on page 1.</w:t>
            </w:r>
          </w:p>
        </w:tc>
      </w:tr>
    </w:tbl>
    <w:p>
      <w:pPr>
        <w:pStyle w:val="Heading1"/>
      </w:pPr>
      <w:r>
        <w:t>4. Architecture &amp; Processing Pipeline</w:t>
      </w:r>
    </w:p>
    <w:p>
      <w:r>
        <w:t>Each upload follows a deliberate evidence pipeline rather than passing an entire medical record directly to a generic chatbot:</w:t>
      </w:r>
    </w:p>
    <w:tbl>
      <w:tblPr>
        <w:tblStyle w:val="TableGrid"/>
        <w:tblW w:type="auto" w:w="0"/>
        <w:jc w:val="center"/>
        <w:tblLook w:firstColumn="1" w:firstRow="1" w:lastColumn="0" w:lastRow="0" w:noHBand="0" w:noVBand="1" w:val="04A0"/>
      </w:tblPr>
      <w:tblGrid>
        <w:gridCol w:w="5184"/>
        <w:gridCol w:w="5184"/>
      </w:tblGrid>
      <w:tr>
        <w:tc>
          <w:tcPr>
            <w:tcW w:type="dxa" w:w="1944"/>
            <w:shd w:fill="17324D"/>
          </w:tcPr>
          <w:p>
            <w:pPr>
              <w:spacing w:after="40"/>
            </w:pPr>
            <w:r/>
            <w:r>
              <w:rPr>
                <w:rFonts w:ascii="Aptos" w:hAnsi="Aptos"/>
                <w:b/>
                <w:color w:val="FFFFFF"/>
                <w:sz w:val="17"/>
              </w:rPr>
              <w:t>Stage</w:t>
            </w:r>
          </w:p>
        </w:tc>
        <w:tc>
          <w:tcPr>
            <w:tcW w:type="dxa" w:w="7776"/>
            <w:shd w:fill="17324D"/>
          </w:tcPr>
          <w:p>
            <w:pPr>
              <w:spacing w:after="40"/>
            </w:pPr>
            <w:r/>
            <w:r>
              <w:rPr>
                <w:rFonts w:ascii="Aptos" w:hAnsi="Aptos"/>
                <w:b/>
                <w:color w:val="FFFFFF"/>
                <w:sz w:val="17"/>
              </w:rPr>
              <w:t>Processing and output</w:t>
            </w:r>
          </w:p>
        </w:tc>
      </w:tr>
      <w:tr>
        <w:tc>
          <w:tcPr>
            <w:tcW w:type="dxa" w:w="1944"/>
            <w:shd w:fill="F5F9FA"/>
          </w:tcPr>
          <w:p>
            <w:pPr>
              <w:spacing w:after="40"/>
            </w:pPr>
            <w:r/>
            <w:r>
              <w:rPr>
                <w:rFonts w:ascii="Aptos" w:hAnsi="Aptos"/>
                <w:b w:val="0"/>
                <w:sz w:val="16"/>
              </w:rPr>
              <w:t>Ingest &amp; validate</w:t>
            </w:r>
          </w:p>
        </w:tc>
        <w:tc>
          <w:tcPr>
            <w:tcW w:type="dxa" w:w="7776"/>
            <w:shd w:fill="F5F9FA"/>
          </w:tcPr>
          <w:p>
            <w:pPr>
              <w:spacing w:after="40"/>
            </w:pPr>
            <w:r/>
            <w:r>
              <w:rPr>
                <w:rFonts w:ascii="Aptos" w:hAnsi="Aptos"/>
                <w:b w:val="0"/>
                <w:sz w:val="16"/>
              </w:rPr>
              <w:t>Accept supported medical files, retain original filename, and reject non-medical content where appropriate.</w:t>
            </w:r>
          </w:p>
        </w:tc>
      </w:tr>
      <w:tr>
        <w:tc>
          <w:tcPr>
            <w:tcW w:type="dxa" w:w="1944"/>
          </w:tcPr>
          <w:p>
            <w:pPr>
              <w:spacing w:after="40"/>
            </w:pPr>
            <w:r/>
            <w:r>
              <w:rPr>
                <w:rFonts w:ascii="Aptos" w:hAnsi="Aptos"/>
                <w:b w:val="0"/>
                <w:sz w:val="16"/>
              </w:rPr>
              <w:t>Extract</w:t>
            </w:r>
          </w:p>
        </w:tc>
        <w:tc>
          <w:tcPr>
            <w:tcW w:type="dxa" w:w="7776"/>
          </w:tcPr>
          <w:p>
            <w:pPr>
              <w:spacing w:after="40"/>
            </w:pPr>
            <w:r/>
            <w:r>
              <w:rPr>
                <w:rFonts w:ascii="Aptos" w:hAnsi="Aptos"/>
                <w:b w:val="0"/>
                <w:sz w:val="16"/>
              </w:rPr>
              <w:t>Read text/visual content and request a structured schema covering document type, date, medicines, dose/instructions, lab measurements, allergies and clinical notes.</w:t>
            </w:r>
          </w:p>
        </w:tc>
      </w:tr>
      <w:tr>
        <w:tc>
          <w:tcPr>
            <w:tcW w:type="dxa" w:w="1944"/>
            <w:shd w:fill="F5F9FA"/>
          </w:tcPr>
          <w:p>
            <w:pPr>
              <w:spacing w:after="40"/>
            </w:pPr>
            <w:r/>
            <w:r>
              <w:rPr>
                <w:rFonts w:ascii="Aptos" w:hAnsi="Aptos"/>
                <w:b w:val="0"/>
                <w:sz w:val="16"/>
              </w:rPr>
              <w:t>Normalize &amp; merge</w:t>
            </w:r>
          </w:p>
        </w:tc>
        <w:tc>
          <w:tcPr>
            <w:tcW w:type="dxa" w:w="7776"/>
            <w:shd w:fill="F5F9FA"/>
          </w:tcPr>
          <w:p>
            <w:pPr>
              <w:spacing w:after="40"/>
            </w:pPr>
            <w:r/>
            <w:r>
              <w:rPr>
                <w:rFonts w:ascii="Aptos" w:hAnsi="Aptos"/>
                <w:b w:val="0"/>
                <w:sz w:val="16"/>
              </w:rPr>
              <w:t>Combine newly extracted facts with the existing patient snapshot into a date-ordered timeline; keep source metadata for traceability.</w:t>
            </w:r>
          </w:p>
        </w:tc>
      </w:tr>
      <w:tr>
        <w:tc>
          <w:tcPr>
            <w:tcW w:type="dxa" w:w="1944"/>
          </w:tcPr>
          <w:p>
            <w:pPr>
              <w:spacing w:after="40"/>
            </w:pPr>
            <w:r/>
            <w:r>
              <w:rPr>
                <w:rFonts w:ascii="Aptos" w:hAnsi="Aptos"/>
                <w:b w:val="0"/>
                <w:sz w:val="16"/>
              </w:rPr>
              <w:t>Analyse</w:t>
            </w:r>
          </w:p>
        </w:tc>
        <w:tc>
          <w:tcPr>
            <w:tcW w:type="dxa" w:w="7776"/>
          </w:tcPr>
          <w:p>
            <w:pPr>
              <w:spacing w:after="40"/>
            </w:pPr>
            <w:r/>
            <w:r>
              <w:rPr>
                <w:rFonts w:ascii="Aptos" w:hAnsi="Aptos"/>
                <w:b w:val="0"/>
                <w:sz w:val="16"/>
              </w:rPr>
              <w:t>Run medication duplicate/dose/conflict checks, interaction/allergy reasoning and deterministic longitudinal lab-trend computation.</w:t>
            </w:r>
          </w:p>
        </w:tc>
      </w:tr>
      <w:tr>
        <w:tc>
          <w:tcPr>
            <w:tcW w:type="dxa" w:w="1944"/>
            <w:shd w:fill="F5F9FA"/>
          </w:tcPr>
          <w:p>
            <w:pPr>
              <w:spacing w:after="40"/>
            </w:pPr>
            <w:r/>
            <w:r>
              <w:rPr>
                <w:rFonts w:ascii="Aptos" w:hAnsi="Aptos"/>
                <w:b w:val="0"/>
                <w:sz w:val="16"/>
              </w:rPr>
              <w:t>Index &amp; retrieve</w:t>
            </w:r>
          </w:p>
        </w:tc>
        <w:tc>
          <w:tcPr>
            <w:tcW w:type="dxa" w:w="7776"/>
            <w:shd w:fill="F5F9FA"/>
          </w:tcPr>
          <w:p>
            <w:pPr>
              <w:spacing w:after="40"/>
            </w:pPr>
            <w:r/>
            <w:r>
              <w:rPr>
                <w:rFonts w:ascii="Aptos" w:hAnsi="Aptos"/>
                <w:b w:val="0"/>
                <w:sz w:val="16"/>
              </w:rPr>
              <w:t>Chunk clinical facts by type, embed them, and retrieve the most relevant evidence for a user question.</w:t>
            </w:r>
          </w:p>
        </w:tc>
      </w:tr>
      <w:tr>
        <w:tc>
          <w:tcPr>
            <w:tcW w:type="dxa" w:w="1944"/>
          </w:tcPr>
          <w:p>
            <w:pPr>
              <w:spacing w:after="40"/>
            </w:pPr>
            <w:r/>
            <w:r>
              <w:rPr>
                <w:rFonts w:ascii="Aptos" w:hAnsi="Aptos"/>
                <w:b w:val="0"/>
                <w:sz w:val="16"/>
              </w:rPr>
              <w:t>Explain safely</w:t>
            </w:r>
          </w:p>
        </w:tc>
        <w:tc>
          <w:tcPr>
            <w:tcW w:type="dxa" w:w="7776"/>
          </w:tcPr>
          <w:p>
            <w:pPr>
              <w:spacing w:after="40"/>
            </w:pPr>
            <w:r/>
            <w:r>
              <w:rPr>
                <w:rFonts w:ascii="Aptos" w:hAnsi="Aptos"/>
                <w:b w:val="0"/>
                <w:sz w:val="16"/>
              </w:rPr>
              <w:t>Generate a concise answer with sources, confidence and a clinician/pharmacist recommendation when the context warrants it.</w:t>
            </w:r>
          </w:p>
        </w:tc>
      </w:tr>
    </w:tbl>
    <w:tbl>
      <w:tblPr>
        <w:tblW w:type="auto" w:w="0"/>
        <w:jc w:val="center"/>
        <w:tblLayout w:type="fixed"/>
        <w:tblLook w:firstColumn="1" w:firstRow="1" w:lastColumn="0" w:lastRow="0" w:noHBand="0" w:noVBand="1" w:val="04A0"/>
      </w:tblPr>
      <w:tblGrid>
        <w:gridCol w:w="10080"/>
      </w:tblGrid>
      <w:tr>
        <w:tc>
          <w:tcPr>
            <w:tcW w:type="dxa" w:w="10368"/>
            <w:shd w:fill="F3F6F8"/>
            <w:tcBorders>
              <w:top w:val="single" w:sz="6" w:color="D7E2E8"/>
              <w:left w:val="single" w:sz="6" w:color="D7E2E8"/>
              <w:bottom w:val="single" w:sz="6" w:color="D7E2E8"/>
              <w:right w:val="single" w:sz="6" w:color="D7E2E8"/>
            </w:tcBorders>
            <w:vAlign w:val="center"/>
          </w:tcPr>
          <w:p>
            <w:pPr>
              <w:spacing w:before="190" w:after="190"/>
              <w:jc w:val="center"/>
            </w:pPr>
            <w:r>
              <w:rPr>
                <w:b/>
                <w:color w:val="64748B"/>
                <w:sz w:val="18"/>
              </w:rPr>
              <w:t>[INSERT SCREENSHOT 2 — Architecture diagram or Dashboard showing the unified record]</w:t>
            </w:r>
          </w:p>
        </w:tc>
      </w:tr>
    </w:tbl>
    <w:p>
      <w:r>
        <w:br w:type="page"/>
      </w:r>
    </w:p>
    <w:p>
      <w:pPr>
        <w:pStyle w:val="Heading1"/>
      </w:pPr>
      <w:r>
        <w:t>5. How AI Is Integrated</w:t>
      </w:r>
    </w:p>
    <w:p>
      <w:r>
        <w:t>AI is the core processing engine of MediMind. It is not a standalone chat feature layered over static records. The application uses AI at four connected stages:</w:t>
      </w:r>
    </w:p>
    <w:p>
      <w:pPr>
        <w:pStyle w:val="ListBullet"/>
        <w:spacing w:after="40"/>
      </w:pPr>
      <w:r>
        <w:t>Multimodal structured extraction — language/vision models convert varied real-world document layouts into a consistent JSON representation of medicines, dosage instructions, tests, dates, allergies and notes.</w:t>
      </w:r>
    </w:p>
    <w:p>
      <w:pPr>
        <w:pStyle w:val="ListBullet"/>
        <w:spacing w:after="40"/>
      </w:pPr>
      <w:r>
        <w:t>Cross-document reasoning — the merged timeline and retrieval layer let the system compare facts across visits, including a historic allergy against a later prescription.</w:t>
      </w:r>
    </w:p>
    <w:p>
      <w:pPr>
        <w:pStyle w:val="ListBullet"/>
        <w:spacing w:after="40"/>
      </w:pPr>
      <w:r>
        <w:t>Clinical-language explanation — AI converts selected evidence into readable explanations while the UI exposes source references, confidence and a safety recommendation.</w:t>
      </w:r>
    </w:p>
    <w:p>
      <w:pPr>
        <w:pStyle w:val="ListBullet"/>
        <w:spacing w:after="40"/>
      </w:pPr>
      <w:r>
        <w:t>Follow-up conversations — a query-rewrite layer turns references such as “was that safe?” into a self-contained question before retrieval, preserving context across turns.</w:t>
      </w:r>
    </w:p>
    <w:p>
      <w:pPr>
        <w:pStyle w:val="Heading2"/>
      </w:pPr>
      <w:r>
        <w:t>Safety, Confidence &amp; Boundaries</w:t>
      </w:r>
    </w:p>
    <w:tbl>
      <w:tblPr>
        <w:tblStyle w:val="TableGrid"/>
        <w:tblW w:type="auto" w:w="0"/>
        <w:jc w:val="center"/>
        <w:tblLook w:firstColumn="1" w:firstRow="1" w:lastColumn="0" w:lastRow="0" w:noHBand="0" w:noVBand="1" w:val="04A0"/>
      </w:tblPr>
      <w:tblGrid>
        <w:gridCol w:w="5184"/>
        <w:gridCol w:w="5184"/>
      </w:tblGrid>
      <w:tr>
        <w:tc>
          <w:tcPr>
            <w:tcW w:type="dxa" w:w="1944"/>
            <w:shd w:fill="17324D"/>
          </w:tcPr>
          <w:p>
            <w:pPr>
              <w:spacing w:after="40"/>
            </w:pPr>
            <w:r/>
            <w:r>
              <w:rPr>
                <w:rFonts w:ascii="Aptos" w:hAnsi="Aptos"/>
                <w:b/>
                <w:color w:val="FFFFFF"/>
                <w:sz w:val="17"/>
              </w:rPr>
              <w:t>Control</w:t>
            </w:r>
          </w:p>
        </w:tc>
        <w:tc>
          <w:tcPr>
            <w:tcW w:type="dxa" w:w="7776"/>
            <w:shd w:fill="17324D"/>
          </w:tcPr>
          <w:p>
            <w:pPr>
              <w:spacing w:after="40"/>
            </w:pPr>
            <w:r/>
            <w:r>
              <w:rPr>
                <w:rFonts w:ascii="Aptos" w:hAnsi="Aptos"/>
                <w:b/>
                <w:color w:val="FFFFFF"/>
                <w:sz w:val="17"/>
              </w:rPr>
              <w:t>How MediMind applies it</w:t>
            </w:r>
          </w:p>
        </w:tc>
      </w:tr>
      <w:tr>
        <w:tc>
          <w:tcPr>
            <w:tcW w:type="dxa" w:w="1944"/>
            <w:shd w:fill="F5F9FA"/>
          </w:tcPr>
          <w:p>
            <w:pPr>
              <w:spacing w:after="40"/>
            </w:pPr>
            <w:r/>
            <w:r>
              <w:rPr>
                <w:rFonts w:ascii="Aptos" w:hAnsi="Aptos"/>
                <w:b w:val="0"/>
                <w:sz w:val="16"/>
              </w:rPr>
              <w:t>Evidence grounding</w:t>
            </w:r>
          </w:p>
        </w:tc>
        <w:tc>
          <w:tcPr>
            <w:tcW w:type="dxa" w:w="7776"/>
            <w:shd w:fill="F5F9FA"/>
          </w:tcPr>
          <w:p>
            <w:pPr>
              <w:spacing w:after="40"/>
            </w:pPr>
            <w:r/>
            <w:r>
              <w:rPr>
                <w:rFonts w:ascii="Aptos" w:hAnsi="Aptos"/>
                <w:b w:val="0"/>
                <w:sz w:val="16"/>
              </w:rPr>
              <w:t>Q&amp;A retrieves relevant chunks from the user’s own uploaded records; the interface returns source references.</w:t>
            </w:r>
          </w:p>
        </w:tc>
      </w:tr>
      <w:tr>
        <w:tc>
          <w:tcPr>
            <w:tcW w:type="dxa" w:w="1944"/>
          </w:tcPr>
          <w:p>
            <w:pPr>
              <w:spacing w:after="40"/>
            </w:pPr>
            <w:r/>
            <w:r>
              <w:rPr>
                <w:rFonts w:ascii="Aptos" w:hAnsi="Aptos"/>
                <w:b w:val="0"/>
                <w:sz w:val="16"/>
              </w:rPr>
              <w:t>Confidence</w:t>
            </w:r>
          </w:p>
        </w:tc>
        <w:tc>
          <w:tcPr>
            <w:tcW w:type="dxa" w:w="7776"/>
          </w:tcPr>
          <w:p>
            <w:pPr>
              <w:spacing w:after="40"/>
            </w:pPr>
            <w:r/>
            <w:r>
              <w:rPr>
                <w:rFonts w:ascii="Aptos" w:hAnsi="Aptos"/>
                <w:b w:val="0"/>
                <w:sz w:val="16"/>
              </w:rPr>
              <w:t>Each answer includes a confidence value. The confidence communicates evidence quality, not clinical certainty.</w:t>
            </w:r>
          </w:p>
        </w:tc>
      </w:tr>
      <w:tr>
        <w:tc>
          <w:tcPr>
            <w:tcW w:type="dxa" w:w="1944"/>
            <w:shd w:fill="F5F9FA"/>
          </w:tcPr>
          <w:p>
            <w:pPr>
              <w:spacing w:after="40"/>
            </w:pPr>
            <w:r/>
            <w:r>
              <w:rPr>
                <w:rFonts w:ascii="Aptos" w:hAnsi="Aptos"/>
                <w:b w:val="0"/>
                <w:sz w:val="16"/>
              </w:rPr>
              <w:t>Escalation</w:t>
            </w:r>
          </w:p>
        </w:tc>
        <w:tc>
          <w:tcPr>
            <w:tcW w:type="dxa" w:w="7776"/>
            <w:shd w:fill="F5F9FA"/>
          </w:tcPr>
          <w:p>
            <w:pPr>
              <w:spacing w:after="40"/>
            </w:pPr>
            <w:r/>
            <w:r>
              <w:rPr>
                <w:rFonts w:ascii="Aptos" w:hAnsi="Aptos"/>
                <w:b w:val="0"/>
                <w:sz w:val="16"/>
              </w:rPr>
              <w:t>High-risk or low-confidence flags explicitly advise consulting a doctor or pharmacist.</w:t>
            </w:r>
          </w:p>
        </w:tc>
      </w:tr>
      <w:tr>
        <w:tc>
          <w:tcPr>
            <w:tcW w:type="dxa" w:w="1944"/>
          </w:tcPr>
          <w:p>
            <w:pPr>
              <w:spacing w:after="40"/>
            </w:pPr>
            <w:r/>
            <w:r>
              <w:rPr>
                <w:rFonts w:ascii="Aptos" w:hAnsi="Aptos"/>
                <w:b w:val="0"/>
                <w:sz w:val="16"/>
              </w:rPr>
              <w:t>Non-diagnostic stance</w:t>
            </w:r>
          </w:p>
        </w:tc>
        <w:tc>
          <w:tcPr>
            <w:tcW w:type="dxa" w:w="7776"/>
          </w:tcPr>
          <w:p>
            <w:pPr>
              <w:spacing w:after="40"/>
            </w:pPr>
            <w:r/>
            <w:r>
              <w:rPr>
                <w:rFonts w:ascii="Aptos" w:hAnsi="Aptos"/>
                <w:b w:val="0"/>
                <w:sz w:val="16"/>
              </w:rPr>
              <w:t>The product communicates decision support only; it does not diagnose conditions or replace professional judgment.</w:t>
            </w:r>
          </w:p>
        </w:tc>
      </w:tr>
      <w:tr>
        <w:tc>
          <w:tcPr>
            <w:tcW w:type="dxa" w:w="1944"/>
            <w:shd w:fill="F5F9FA"/>
          </w:tcPr>
          <w:p>
            <w:pPr>
              <w:spacing w:after="40"/>
            </w:pPr>
            <w:r/>
            <w:r>
              <w:rPr>
                <w:rFonts w:ascii="Aptos" w:hAnsi="Aptos"/>
                <w:b w:val="0"/>
                <w:sz w:val="16"/>
              </w:rPr>
              <w:t>Privacy model</w:t>
            </w:r>
          </w:p>
        </w:tc>
        <w:tc>
          <w:tcPr>
            <w:tcW w:type="dxa" w:w="7776"/>
            <w:shd w:fill="F5F9FA"/>
          </w:tcPr>
          <w:p>
            <w:pPr>
              <w:spacing w:after="40"/>
            </w:pPr>
            <w:r/>
            <w:r>
              <w:rPr>
                <w:rFonts w:ascii="Aptos" w:hAnsi="Aptos"/>
                <w:b w:val="0"/>
                <w:sz w:val="16"/>
              </w:rPr>
              <w:t>No account is required. An anonymous user ID and token scope each browser workspace; data is separated by user ID in persistence and storage paths.</w:t>
            </w:r>
          </w:p>
        </w:tc>
      </w:tr>
    </w:tbl>
    <w:p>
      <w:pPr>
        <w:pStyle w:val="Heading1"/>
      </w:pPr>
      <w:r>
        <w:t>6. Core Features</w:t>
      </w:r>
    </w:p>
    <w:tbl>
      <w:tblPr>
        <w:tblStyle w:val="TableGrid"/>
        <w:tblW w:type="auto" w:w="0"/>
        <w:jc w:val="center"/>
        <w:tblLook w:firstColumn="1" w:firstRow="1" w:lastColumn="0" w:lastRow="0" w:noHBand="0" w:noVBand="1" w:val="04A0"/>
      </w:tblPr>
      <w:tblGrid>
        <w:gridCol w:w="5184"/>
        <w:gridCol w:w="5184"/>
      </w:tblGrid>
      <w:tr>
        <w:tc>
          <w:tcPr>
            <w:tcW w:type="dxa" w:w="2880"/>
            <w:shd w:fill="17324D"/>
          </w:tcPr>
          <w:p>
            <w:pPr>
              <w:spacing w:after="40"/>
            </w:pPr>
            <w:r/>
            <w:r>
              <w:rPr>
                <w:rFonts w:ascii="Aptos" w:hAnsi="Aptos"/>
                <w:b/>
                <w:color w:val="FFFFFF"/>
                <w:sz w:val="17"/>
              </w:rPr>
              <w:t>Feature</w:t>
            </w:r>
          </w:p>
        </w:tc>
        <w:tc>
          <w:tcPr>
            <w:tcW w:type="dxa" w:w="6840"/>
            <w:shd w:fill="17324D"/>
          </w:tcPr>
          <w:p>
            <w:pPr>
              <w:spacing w:after="40"/>
            </w:pPr>
            <w:r/>
            <w:r>
              <w:rPr>
                <w:rFonts w:ascii="Aptos" w:hAnsi="Aptos"/>
                <w:b/>
                <w:color w:val="FFFFFF"/>
                <w:sz w:val="17"/>
              </w:rPr>
              <w:t>Round 1 requirement addressed</w:t>
            </w:r>
          </w:p>
        </w:tc>
      </w:tr>
      <w:tr>
        <w:tc>
          <w:tcPr>
            <w:tcW w:type="dxa" w:w="2880"/>
            <w:shd w:fill="F5F9FA"/>
          </w:tcPr>
          <w:p>
            <w:pPr>
              <w:spacing w:after="40"/>
            </w:pPr>
            <w:r/>
            <w:r>
              <w:rPr>
                <w:rFonts w:ascii="Aptos" w:hAnsi="Aptos"/>
                <w:b w:val="0"/>
                <w:sz w:val="16"/>
              </w:rPr>
              <w:t>Multi-document timeline</w:t>
            </w:r>
          </w:p>
        </w:tc>
        <w:tc>
          <w:tcPr>
            <w:tcW w:type="dxa" w:w="6840"/>
            <w:shd w:fill="F5F9FA"/>
          </w:tcPr>
          <w:p>
            <w:pPr>
              <w:spacing w:after="40"/>
            </w:pPr>
            <w:r/>
            <w:r>
              <w:rPr>
                <w:rFonts w:ascii="Aptos" w:hAnsi="Aptos"/>
                <w:b w:val="0"/>
                <w:sz w:val="16"/>
              </w:rPr>
              <w:t>Extracts and merges data from different visits/providers into one chronological patient view.</w:t>
            </w:r>
          </w:p>
        </w:tc>
      </w:tr>
      <w:tr>
        <w:tc>
          <w:tcPr>
            <w:tcW w:type="dxa" w:w="2880"/>
          </w:tcPr>
          <w:p>
            <w:pPr>
              <w:spacing w:after="40"/>
            </w:pPr>
            <w:r/>
            <w:r>
              <w:rPr>
                <w:rFonts w:ascii="Aptos" w:hAnsi="Aptos"/>
                <w:b w:val="0"/>
                <w:sz w:val="16"/>
              </w:rPr>
              <w:t>Prescription cross-check</w:t>
            </w:r>
          </w:p>
        </w:tc>
        <w:tc>
          <w:tcPr>
            <w:tcW w:type="dxa" w:w="6840"/>
          </w:tcPr>
          <w:p>
            <w:pPr>
              <w:spacing w:after="40"/>
            </w:pPr>
            <w:r/>
            <w:r>
              <w:rPr>
                <w:rFonts w:ascii="Aptos" w:hAnsi="Aptos"/>
                <w:b w:val="0"/>
                <w:sz w:val="16"/>
              </w:rPr>
              <w:t>Surfaces interactions, duplicate active ingredients, conflicting dose instructions and allergy conflicts.</w:t>
            </w:r>
          </w:p>
        </w:tc>
      </w:tr>
      <w:tr>
        <w:tc>
          <w:tcPr>
            <w:tcW w:type="dxa" w:w="2880"/>
            <w:shd w:fill="F5F9FA"/>
          </w:tcPr>
          <w:p>
            <w:pPr>
              <w:spacing w:after="40"/>
            </w:pPr>
            <w:r/>
            <w:r>
              <w:rPr>
                <w:rFonts w:ascii="Aptos" w:hAnsi="Aptos"/>
                <w:b w:val="0"/>
                <w:sz w:val="16"/>
              </w:rPr>
              <w:t>Lab trend analysis</w:t>
            </w:r>
          </w:p>
        </w:tc>
        <w:tc>
          <w:tcPr>
            <w:tcW w:type="dxa" w:w="6840"/>
            <w:shd w:fill="F5F9FA"/>
          </w:tcPr>
          <w:p>
            <w:pPr>
              <w:spacing w:after="40"/>
            </w:pPr>
            <w:r/>
            <w:r>
              <w:rPr>
                <w:rFonts w:ascii="Aptos" w:hAnsi="Aptos"/>
                <w:b w:val="0"/>
                <w:sz w:val="16"/>
              </w:rPr>
              <w:t>Calculates direction, reference-range crossing and approaching-threshold signals, then gives a plain-language interpretation.</w:t>
            </w:r>
          </w:p>
        </w:tc>
      </w:tr>
      <w:tr>
        <w:tc>
          <w:tcPr>
            <w:tcW w:type="dxa" w:w="2880"/>
          </w:tcPr>
          <w:p>
            <w:pPr>
              <w:spacing w:after="40"/>
            </w:pPr>
            <w:r/>
            <w:r>
              <w:rPr>
                <w:rFonts w:ascii="Aptos" w:hAnsi="Aptos"/>
                <w:b w:val="0"/>
                <w:sz w:val="16"/>
              </w:rPr>
              <w:t>Multi-document Q&amp;A</w:t>
            </w:r>
          </w:p>
        </w:tc>
        <w:tc>
          <w:tcPr>
            <w:tcW w:type="dxa" w:w="6840"/>
          </w:tcPr>
          <w:p>
            <w:pPr>
              <w:spacing w:after="40"/>
            </w:pPr>
            <w:r/>
            <w:r>
              <w:rPr>
                <w:rFonts w:ascii="Aptos" w:hAnsi="Aptos"/>
                <w:b w:val="0"/>
                <w:sz w:val="16"/>
              </w:rPr>
              <w:t>Answers questions from the full uploaded record and supports continued conversations.</w:t>
            </w:r>
          </w:p>
        </w:tc>
      </w:tr>
      <w:tr>
        <w:tc>
          <w:tcPr>
            <w:tcW w:type="dxa" w:w="2880"/>
            <w:shd w:fill="F5F9FA"/>
          </w:tcPr>
          <w:p>
            <w:pPr>
              <w:spacing w:after="40"/>
            </w:pPr>
            <w:r/>
            <w:r>
              <w:rPr>
                <w:rFonts w:ascii="Aptos" w:hAnsi="Aptos"/>
                <w:b w:val="0"/>
                <w:sz w:val="16"/>
              </w:rPr>
              <w:t>End-to-end UI</w:t>
            </w:r>
          </w:p>
        </w:tc>
        <w:tc>
          <w:tcPr>
            <w:tcW w:type="dxa" w:w="6840"/>
            <w:shd w:fill="F5F9FA"/>
          </w:tcPr>
          <w:p>
            <w:pPr>
              <w:spacing w:after="40"/>
            </w:pPr>
            <w:r/>
            <w:r>
              <w:rPr>
                <w:rFonts w:ascii="Aptos" w:hAnsi="Aptos"/>
                <w:b w:val="0"/>
                <w:sz w:val="16"/>
              </w:rPr>
              <w:t>The complete upload → processing → review → question flow runs within the public frontend.</w:t>
            </w:r>
          </w:p>
        </w:tc>
      </w:tr>
    </w:tbl>
    <w:tbl>
      <w:tblPr>
        <w:tblW w:type="auto" w:w="0"/>
        <w:jc w:val="center"/>
        <w:tblLayout w:type="fixed"/>
        <w:tblLook w:firstColumn="1" w:firstRow="1" w:lastColumn="0" w:lastRow="0" w:noHBand="0" w:noVBand="1" w:val="04A0"/>
      </w:tblPr>
      <w:tblGrid>
        <w:gridCol w:w="10080"/>
      </w:tblGrid>
      <w:tr>
        <w:tc>
          <w:tcPr>
            <w:tcW w:type="dxa" w:w="10368"/>
            <w:shd w:fill="F3F6F8"/>
            <w:tcBorders>
              <w:top w:val="single" w:sz="6" w:color="D7E2E8"/>
              <w:left w:val="single" w:sz="6" w:color="D7E2E8"/>
              <w:bottom w:val="single" w:sz="6" w:color="D7E2E8"/>
              <w:right w:val="single" w:sz="6" w:color="D7E2E8"/>
            </w:tcBorders>
            <w:vAlign w:val="center"/>
          </w:tcPr>
          <w:p>
            <w:pPr>
              <w:spacing w:before="168" w:after="168"/>
              <w:jc w:val="center"/>
            </w:pPr>
            <w:r>
              <w:rPr>
                <w:b/>
                <w:color w:val="64748B"/>
                <w:sz w:val="18"/>
              </w:rPr>
              <w:t>[INSERT SCREENSHOT 3 — Safety Alerts page with a judge-data flag and its source]</w:t>
            </w:r>
          </w:p>
        </w:tc>
      </w:tr>
    </w:tbl>
    <w:p>
      <w:r>
        <w:br w:type="page"/>
      </w:r>
    </w:p>
    <w:p>
      <w:pPr>
        <w:pStyle w:val="Heading1"/>
      </w:pPr>
      <w:r>
        <w:t>7. Challenges &amp; Engineering Responses</w:t>
      </w:r>
    </w:p>
    <w:tbl>
      <w:tblPr>
        <w:tblStyle w:val="TableGrid"/>
        <w:tblW w:type="auto" w:w="0"/>
        <w:jc w:val="center"/>
        <w:tblLook w:firstColumn="1" w:firstRow="1" w:lastColumn="0" w:lastRow="0" w:noHBand="0" w:noVBand="1" w:val="04A0"/>
      </w:tblPr>
      <w:tblGrid>
        <w:gridCol w:w="5184"/>
        <w:gridCol w:w="5184"/>
      </w:tblGrid>
      <w:tr>
        <w:tc>
          <w:tcPr>
            <w:tcW w:type="dxa" w:w="2376"/>
            <w:shd w:fill="17324D"/>
          </w:tcPr>
          <w:p>
            <w:pPr>
              <w:spacing w:after="40"/>
            </w:pPr>
            <w:r/>
            <w:r>
              <w:rPr>
                <w:rFonts w:ascii="Aptos" w:hAnsi="Aptos"/>
                <w:b/>
                <w:color w:val="FFFFFF"/>
                <w:sz w:val="17"/>
              </w:rPr>
              <w:t>Challenge</w:t>
            </w:r>
          </w:p>
        </w:tc>
        <w:tc>
          <w:tcPr>
            <w:tcW w:type="dxa" w:w="7344"/>
            <w:shd w:fill="17324D"/>
          </w:tcPr>
          <w:p>
            <w:pPr>
              <w:spacing w:after="40"/>
            </w:pPr>
            <w:r/>
            <w:r>
              <w:rPr>
                <w:rFonts w:ascii="Aptos" w:hAnsi="Aptos"/>
                <w:b/>
                <w:color w:val="FFFFFF"/>
                <w:sz w:val="17"/>
              </w:rPr>
              <w:t>Response</w:t>
            </w:r>
          </w:p>
        </w:tc>
      </w:tr>
      <w:tr>
        <w:tc>
          <w:tcPr>
            <w:tcW w:type="dxa" w:w="2376"/>
            <w:shd w:fill="F5F9FA"/>
          </w:tcPr>
          <w:p>
            <w:pPr>
              <w:spacing w:after="40"/>
            </w:pPr>
            <w:r/>
            <w:r>
              <w:rPr>
                <w:rFonts w:ascii="Aptos" w:hAnsi="Aptos"/>
                <w:b w:val="0"/>
                <w:sz w:val="16"/>
              </w:rPr>
              <w:t>Messy, heterogeneous documents</w:t>
            </w:r>
          </w:p>
        </w:tc>
        <w:tc>
          <w:tcPr>
            <w:tcW w:type="dxa" w:w="7344"/>
            <w:shd w:fill="F5F9FA"/>
          </w:tcPr>
          <w:p>
            <w:pPr>
              <w:spacing w:after="40"/>
            </w:pPr>
            <w:r/>
            <w:r>
              <w:rPr>
                <w:rFonts w:ascii="Aptos" w:hAnsi="Aptos"/>
                <w:b w:val="0"/>
                <w:sz w:val="16"/>
              </w:rPr>
              <w:t>Use PDF/image reading plus schema-guided multimodal extraction. The output is normalized before it reaches the patient timeline.</w:t>
            </w:r>
          </w:p>
        </w:tc>
      </w:tr>
      <w:tr>
        <w:tc>
          <w:tcPr>
            <w:tcW w:type="dxa" w:w="2376"/>
          </w:tcPr>
          <w:p>
            <w:pPr>
              <w:spacing w:after="40"/>
            </w:pPr>
            <w:r/>
            <w:r>
              <w:rPr>
                <w:rFonts w:ascii="Aptos" w:hAnsi="Aptos"/>
                <w:b w:val="0"/>
                <w:sz w:val="16"/>
              </w:rPr>
              <w:t>Partial upload failures</w:t>
            </w:r>
          </w:p>
        </w:tc>
        <w:tc>
          <w:tcPr>
            <w:tcW w:type="dxa" w:w="7344"/>
          </w:tcPr>
          <w:p>
            <w:pPr>
              <w:spacing w:after="40"/>
            </w:pPr>
            <w:r/>
            <w:r>
              <w:rPr>
                <w:rFonts w:ascii="Aptos" w:hAnsi="Aptos"/>
                <w:b w:val="0"/>
                <w:sz w:val="16"/>
              </w:rPr>
              <w:t>Jobs track each file independently; a failed or unreadable document does not discard successfully processed documents.</w:t>
            </w:r>
          </w:p>
        </w:tc>
      </w:tr>
      <w:tr>
        <w:tc>
          <w:tcPr>
            <w:tcW w:type="dxa" w:w="2376"/>
            <w:shd w:fill="F5F9FA"/>
          </w:tcPr>
          <w:p>
            <w:pPr>
              <w:spacing w:after="40"/>
            </w:pPr>
            <w:r/>
            <w:r>
              <w:rPr>
                <w:rFonts w:ascii="Aptos" w:hAnsi="Aptos"/>
                <w:b w:val="0"/>
                <w:sz w:val="16"/>
              </w:rPr>
              <w:t>Meaningful lab comparison</w:t>
            </w:r>
          </w:p>
        </w:tc>
        <w:tc>
          <w:tcPr>
            <w:tcW w:type="dxa" w:w="7344"/>
            <w:shd w:fill="F5F9FA"/>
          </w:tcPr>
          <w:p>
            <w:pPr>
              <w:spacing w:after="40"/>
            </w:pPr>
            <w:r/>
            <w:r>
              <w:rPr>
                <w:rFonts w:ascii="Aptos" w:hAnsi="Aptos"/>
                <w:b w:val="0"/>
                <w:sz w:val="16"/>
              </w:rPr>
              <w:t>A deterministic Python trend engine parses dates and values, assesses direction/range crossings and produces structured trend signals before language explanation.</w:t>
            </w:r>
          </w:p>
        </w:tc>
      </w:tr>
      <w:tr>
        <w:tc>
          <w:tcPr>
            <w:tcW w:type="dxa" w:w="2376"/>
          </w:tcPr>
          <w:p>
            <w:pPr>
              <w:spacing w:after="40"/>
            </w:pPr>
            <w:r/>
            <w:r>
              <w:rPr>
                <w:rFonts w:ascii="Aptos" w:hAnsi="Aptos"/>
                <w:b w:val="0"/>
                <w:sz w:val="16"/>
              </w:rPr>
              <w:t>Medication ambiguity</w:t>
            </w:r>
          </w:p>
        </w:tc>
        <w:tc>
          <w:tcPr>
            <w:tcW w:type="dxa" w:w="7344"/>
          </w:tcPr>
          <w:p>
            <w:pPr>
              <w:spacing w:after="40"/>
            </w:pPr>
            <w:r/>
            <w:r>
              <w:rPr>
                <w:rFonts w:ascii="Aptos" w:hAnsi="Aptos"/>
                <w:b w:val="0"/>
                <w:sz w:val="16"/>
              </w:rPr>
              <w:t>Safety checks combine deterministic duplicate matching with AI-assisted interpretation of interaction, allergy and dosing context.</w:t>
            </w:r>
          </w:p>
        </w:tc>
      </w:tr>
      <w:tr>
        <w:tc>
          <w:tcPr>
            <w:tcW w:type="dxa" w:w="2376"/>
            <w:shd w:fill="F5F9FA"/>
          </w:tcPr>
          <w:p>
            <w:pPr>
              <w:spacing w:after="40"/>
            </w:pPr>
            <w:r/>
            <w:r>
              <w:rPr>
                <w:rFonts w:ascii="Aptos" w:hAnsi="Aptos"/>
                <w:b w:val="0"/>
                <w:sz w:val="16"/>
              </w:rPr>
              <w:t>Unsafe overclaiming</w:t>
            </w:r>
          </w:p>
        </w:tc>
        <w:tc>
          <w:tcPr>
            <w:tcW w:type="dxa" w:w="7344"/>
            <w:shd w:fill="F5F9FA"/>
          </w:tcPr>
          <w:p>
            <w:pPr>
              <w:spacing w:after="40"/>
            </w:pPr>
            <w:r/>
            <w:r>
              <w:rPr>
                <w:rFonts w:ascii="Aptos" w:hAnsi="Aptos"/>
                <w:b w:val="0"/>
                <w:sz w:val="16"/>
              </w:rPr>
              <w:t>Confidence, citations, high-risk escalation and a consistent non-diagnosis message are built into the product flow.</w:t>
            </w:r>
          </w:p>
        </w:tc>
      </w:tr>
      <w:tr>
        <w:tc>
          <w:tcPr>
            <w:tcW w:type="dxa" w:w="2376"/>
          </w:tcPr>
          <w:p>
            <w:pPr>
              <w:spacing w:after="40"/>
            </w:pPr>
            <w:r/>
            <w:r>
              <w:rPr>
                <w:rFonts w:ascii="Aptos" w:hAnsi="Aptos"/>
                <w:b w:val="0"/>
                <w:sz w:val="16"/>
              </w:rPr>
              <w:t>Scalable deployment</w:t>
            </w:r>
          </w:p>
        </w:tc>
        <w:tc>
          <w:tcPr>
            <w:tcW w:type="dxa" w:w="7344"/>
          </w:tcPr>
          <w:p>
            <w:pPr>
              <w:spacing w:after="40"/>
            </w:pPr>
            <w:r/>
            <w:r>
              <w:rPr>
                <w:rFonts w:ascii="Aptos" w:hAnsi="Aptos"/>
                <w:b w:val="0"/>
                <w:sz w:val="16"/>
              </w:rPr>
              <w:t>The backend supports background jobs, bounded upload concurrency and persistent Supabase vector chunks, avoiding dependence on local container storage.</w:t>
            </w:r>
          </w:p>
        </w:tc>
      </w:tr>
    </w:tbl>
    <w:p>
      <w:pPr>
        <w:pStyle w:val="Heading1"/>
      </w:pPr>
      <w:r>
        <w:t>8. Originality &amp; Impact</w:t>
      </w:r>
    </w:p>
    <w:p>
      <w:r>
        <w:t>MediMind’s differentiation is its patient-facing longitudinal safety workflow. Instead of summarizing one document or offering an ungrounded medical chatbot, it converts several noisy reports into a structured record, runs targeted medication and trend checks, and makes the underlying documents usable in follow-up questions. This makes fragmented clinical information easier to review while keeping the user in control and directing important decisions back to qualified professionals.</w:t>
      </w:r>
    </w:p>
    <w:p>
      <w:pPr>
        <w:pStyle w:val="Heading1"/>
      </w:pPr>
      <w:r>
        <w:t>9. Submission Readiness</w:t>
      </w:r>
    </w:p>
    <w:p>
      <w:pPr>
        <w:pStyle w:val="ListBullet"/>
        <w:spacing w:after="40"/>
      </w:pPr>
      <w:r>
        <w:t>Public app link tested: https://medimind-murex-nu.vercel.app/</w:t>
      </w:r>
    </w:p>
    <w:p>
      <w:pPr>
        <w:pStyle w:val="ListBullet"/>
        <w:spacing w:after="40"/>
      </w:pPr>
      <w:r>
        <w:t>Public backend health response verified: service “MediMind”, status “ok”.</w:t>
      </w:r>
    </w:p>
    <w:p>
      <w:pPr>
        <w:pStyle w:val="ListBullet"/>
        <w:spacing w:after="40"/>
      </w:pPr>
      <w:r>
        <w:t>[BEFORE SUBMITTING] Replace all bracketed placeholders with team details, active model/provider, and 3–4 screenshots from the live app using the judge dataset.</w:t>
      </w:r>
    </w:p>
    <w:p>
      <w:pPr>
        <w:pStyle w:val="ListBullet"/>
        <w:spacing w:after="40"/>
      </w:pPr>
      <w:r>
        <w:t>[BEFORE PRESENTING] Record the exact medication, dose conflict, lab metric and allergy/interaction that appear in the provided dataset. Use those real values in the demo rather than generic examples.</w:t>
      </w:r>
    </w:p>
    <w:tbl>
      <w:tblPr>
        <w:tblW w:type="auto" w:w="0"/>
        <w:tblLayout w:type="fixed"/>
        <w:tblLook w:firstColumn="1" w:firstRow="1" w:lastColumn="0" w:lastRow="0" w:noHBand="0" w:noVBand="1" w:val="04A0"/>
      </w:tblPr>
      <w:tblGrid>
        <w:gridCol w:w="10368"/>
      </w:tblGrid>
      <w:tr>
        <w:tc>
          <w:tcPr>
            <w:tcW w:type="dxa" w:w="10368"/>
            <w:shd w:fill="FFF4E5"/>
            <w:tcBorders>
              <w:top w:val="single" w:sz="6" w:color="B9DDE1"/>
              <w:left w:val="single" w:sz="6" w:color="B9DDE1"/>
              <w:bottom w:val="single" w:sz="6" w:color="B9DDE1"/>
              <w:right w:val="single" w:sz="6" w:color="B9DDE1"/>
            </w:tcBorders>
          </w:tcPr>
          <w:p>
            <w:pPr>
              <w:spacing w:after="40"/>
            </w:pPr>
            <w:r>
              <w:rPr>
                <w:b/>
                <w:color w:val="17324D"/>
              </w:rPr>
              <w:t xml:space="preserve">IMPORTANT  </w:t>
            </w:r>
            <w:r>
              <w:t>Do not include patient-identifying information outside the supplied competition data. Keep this document to four pages when exported to PDF; re-check pagination after inserting screenshots.</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MediMind • Round 1 Submission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MEDIMIND  |  YGC – AI COMPETITION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dimind-murex-nu.vercel.app/" TargetMode="External"/><Relationship Id="rId12" Type="http://schemas.openxmlformats.org/officeDocument/2006/relationships/hyperlink" Target="https://medimind-20473.containers.snapdeplo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