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52"/>
        </w:rPr>
        <w:t>MediMind</w:t>
      </w:r>
    </w:p>
    <w:p>
      <w:pPr>
        <w:jc w:val="center"/>
      </w:pPr>
      <w:r>
        <w:rPr>
          <w:b/>
          <w:color w:val="087E8B"/>
          <w:sz w:val="26"/>
        </w:rPr>
        <w:t>Round 1 Demo Transcript &amp; Preparation Guide</w:t>
      </w:r>
    </w:p>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USE THIS DOCUMENT  </w:t>
            </w:r>
            <w:r>
              <w:t>A 4–5 minute live-demo script, a preparation runbook, backup plan and likely judge questions. Replace each [BRACKETED ITEM] with the exact facts visible from the judge-provided dataset.</w:t>
            </w:r>
          </w:p>
        </w:tc>
      </w:tr>
    </w:tbl>
    <w:p>
      <w:pPr>
        <w:pStyle w:val="Heading1"/>
      </w:pPr>
      <w:r>
        <w:t>A. One-Time Preparation (complete before judges join)</w:t>
      </w:r>
    </w:p>
    <w:tbl>
      <w:tblPr>
        <w:tblStyle w:val="TableGrid"/>
        <w:tblW w:type="auto" w:w="0"/>
        <w:jc w:val="center"/>
        <w:tblLook w:firstColumn="1" w:firstRow="1" w:lastColumn="0" w:lastRow="0" w:noHBand="0" w:noVBand="1" w:val="04A0"/>
      </w:tblPr>
      <w:tblGrid>
        <w:gridCol w:w="3456"/>
        <w:gridCol w:w="3456"/>
        <w:gridCol w:w="3456"/>
      </w:tblGrid>
      <w:tr>
        <w:tc>
          <w:tcPr>
            <w:tcW w:type="dxa" w:w="1224"/>
            <w:shd w:fill="17324D"/>
          </w:tcPr>
          <w:p>
            <w:pPr>
              <w:spacing w:after="40"/>
            </w:pPr>
            <w:r/>
            <w:r>
              <w:rPr>
                <w:rFonts w:ascii="Aptos" w:hAnsi="Aptos"/>
                <w:b/>
                <w:color w:val="FFFFFF"/>
                <w:sz w:val="17"/>
              </w:rPr>
              <w:t>When</w:t>
            </w:r>
          </w:p>
        </w:tc>
        <w:tc>
          <w:tcPr>
            <w:tcW w:type="dxa" w:w="7992"/>
            <w:shd w:fill="17324D"/>
          </w:tcPr>
          <w:p>
            <w:pPr>
              <w:spacing w:after="40"/>
            </w:pPr>
            <w:r/>
            <w:r>
              <w:rPr>
                <w:rFonts w:ascii="Aptos" w:hAnsi="Aptos"/>
                <w:b/>
                <w:color w:val="FFFFFF"/>
                <w:sz w:val="17"/>
              </w:rPr>
              <w:t>Action</w:t>
            </w:r>
          </w:p>
        </w:tc>
        <w:tc>
          <w:tcPr>
            <w:tcW w:type="dxa" w:w="648"/>
            <w:shd w:fill="17324D"/>
          </w:tcPr>
          <w:p>
            <w:pPr>
              <w:spacing w:after="40"/>
            </w:pPr>
            <w:r/>
            <w:r>
              <w:rPr>
                <w:rFonts w:ascii="Aptos" w:hAnsi="Aptos"/>
                <w:b/>
                <w:color w:val="FFFFFF"/>
                <w:sz w:val="17"/>
              </w:rPr>
              <w:t>Done</w:t>
            </w:r>
          </w:p>
        </w:tc>
      </w:tr>
      <w:tr>
        <w:tc>
          <w:tcPr>
            <w:tcW w:type="dxa" w:w="1224"/>
            <w:shd w:fill="F5F9FA"/>
          </w:tcPr>
          <w:p>
            <w:pPr>
              <w:spacing w:after="40"/>
            </w:pPr>
            <w:r/>
            <w:r>
              <w:rPr>
                <w:rFonts w:ascii="Aptos" w:hAnsi="Aptos"/>
                <w:b w:val="0"/>
                <w:sz w:val="16"/>
              </w:rPr>
              <w:t>24 hours before</w:t>
            </w:r>
          </w:p>
        </w:tc>
        <w:tc>
          <w:tcPr>
            <w:tcW w:type="dxa" w:w="7992"/>
            <w:shd w:fill="F5F9FA"/>
          </w:tcPr>
          <w:p>
            <w:pPr>
              <w:spacing w:after="40"/>
            </w:pPr>
            <w:r/>
            <w:r>
              <w:rPr>
                <w:rFonts w:ascii="Aptos" w:hAnsi="Aptos"/>
                <w:b w:val="0"/>
                <w:sz w:val="16"/>
              </w:rPr>
              <w:t>Verify frontend and backend links from an incognito/private browser. Confirm the frontend can create an anonymous workspace and upload files.</w:t>
            </w:r>
          </w:p>
        </w:tc>
        <w:tc>
          <w:tcPr>
            <w:tcW w:type="dxa" w:w="648"/>
            <w:shd w:fill="F5F9FA"/>
          </w:tcPr>
          <w:p>
            <w:pPr>
              <w:spacing w:after="40"/>
            </w:pPr>
            <w:r/>
            <w:r>
              <w:rPr>
                <w:rFonts w:ascii="Aptos" w:hAnsi="Aptos"/>
                <w:b w:val="0"/>
                <w:sz w:val="16"/>
              </w:rPr>
              <w:t>☐</w:t>
            </w:r>
          </w:p>
        </w:tc>
      </w:tr>
      <w:tr>
        <w:tc>
          <w:tcPr>
            <w:tcW w:type="dxa" w:w="1224"/>
          </w:tcPr>
          <w:p>
            <w:pPr>
              <w:spacing w:after="40"/>
            </w:pPr>
            <w:r/>
            <w:r>
              <w:rPr>
                <w:rFonts w:ascii="Aptos" w:hAnsi="Aptos"/>
                <w:b w:val="0"/>
                <w:sz w:val="16"/>
              </w:rPr>
              <w:t>24 hours before</w:t>
            </w:r>
          </w:p>
        </w:tc>
        <w:tc>
          <w:tcPr>
            <w:tcW w:type="dxa" w:w="7992"/>
          </w:tcPr>
          <w:p>
            <w:pPr>
              <w:spacing w:after="40"/>
            </w:pPr>
            <w:r/>
            <w:r>
              <w:rPr>
                <w:rFonts w:ascii="Aptos" w:hAnsi="Aptos"/>
                <w:b w:val="0"/>
                <w:sz w:val="16"/>
              </w:rPr>
              <w:t>Process the judge dataset once in a separate demo workspace. Identify: [MEDICATION/INTERACTION], [DUPLICATE OR DOSE CONFLICT], [LAB METRIC + DATES], [ALLERGY/CONTRADICTION].</w:t>
            </w:r>
          </w:p>
        </w:tc>
        <w:tc>
          <w:tcPr>
            <w:tcW w:type="dxa" w:w="648"/>
          </w:tcPr>
          <w:p>
            <w:pPr>
              <w:spacing w:after="40"/>
            </w:pPr>
            <w:r/>
            <w:r>
              <w:rPr>
                <w:rFonts w:ascii="Aptos" w:hAnsi="Aptos"/>
                <w:b w:val="0"/>
                <w:sz w:val="16"/>
              </w:rPr>
              <w:t>☐</w:t>
            </w:r>
          </w:p>
        </w:tc>
      </w:tr>
      <w:tr>
        <w:tc>
          <w:tcPr>
            <w:tcW w:type="dxa" w:w="1224"/>
            <w:shd w:fill="F5F9FA"/>
          </w:tcPr>
          <w:p>
            <w:pPr>
              <w:spacing w:after="40"/>
            </w:pPr>
            <w:r/>
            <w:r>
              <w:rPr>
                <w:rFonts w:ascii="Aptos" w:hAnsi="Aptos"/>
                <w:b w:val="0"/>
                <w:sz w:val="16"/>
              </w:rPr>
              <w:t>24 hours before</w:t>
            </w:r>
          </w:p>
        </w:tc>
        <w:tc>
          <w:tcPr>
            <w:tcW w:type="dxa" w:w="7992"/>
            <w:shd w:fill="F5F9FA"/>
          </w:tcPr>
          <w:p>
            <w:pPr>
              <w:spacing w:after="40"/>
            </w:pPr>
            <w:r/>
            <w:r>
              <w:rPr>
                <w:rFonts w:ascii="Aptos" w:hAnsi="Aptos"/>
                <w:b w:val="0"/>
                <w:sz w:val="16"/>
              </w:rPr>
              <w:t>Prepare a clean browser profile or clear the MediMind workspace. Ensure no personal/real patient data is shown.</w:t>
            </w:r>
          </w:p>
        </w:tc>
        <w:tc>
          <w:tcPr>
            <w:tcW w:type="dxa" w:w="648"/>
            <w:shd w:fill="F5F9FA"/>
          </w:tcPr>
          <w:p>
            <w:pPr>
              <w:spacing w:after="40"/>
            </w:pPr>
            <w:r/>
            <w:r>
              <w:rPr>
                <w:rFonts w:ascii="Aptos" w:hAnsi="Aptos"/>
                <w:b w:val="0"/>
                <w:sz w:val="16"/>
              </w:rPr>
              <w:t>☐</w:t>
            </w:r>
          </w:p>
        </w:tc>
      </w:tr>
      <w:tr>
        <w:tc>
          <w:tcPr>
            <w:tcW w:type="dxa" w:w="1224"/>
          </w:tcPr>
          <w:p>
            <w:pPr>
              <w:spacing w:after="40"/>
            </w:pPr>
            <w:r/>
            <w:r>
              <w:rPr>
                <w:rFonts w:ascii="Aptos" w:hAnsi="Aptos"/>
                <w:b w:val="0"/>
                <w:sz w:val="16"/>
              </w:rPr>
              <w:t>Before demo</w:t>
            </w:r>
          </w:p>
        </w:tc>
        <w:tc>
          <w:tcPr>
            <w:tcW w:type="dxa" w:w="7992"/>
          </w:tcPr>
          <w:p>
            <w:pPr>
              <w:spacing w:after="40"/>
            </w:pPr>
            <w:r/>
            <w:r>
              <w:rPr>
                <w:rFonts w:ascii="Aptos" w:hAnsi="Aptos"/>
                <w:b w:val="0"/>
                <w:sz w:val="16"/>
              </w:rPr>
              <w:t>Open the frontend in one tab, the uploaded judge files folder in a second tab, and a local backup slide/video/screenshots in a third tab. Disable notifications.</w:t>
            </w:r>
          </w:p>
        </w:tc>
        <w:tc>
          <w:tcPr>
            <w:tcW w:type="dxa" w:w="648"/>
          </w:tcPr>
          <w:p>
            <w:pPr>
              <w:spacing w:after="40"/>
            </w:pPr>
            <w:r/>
            <w:r>
              <w:rPr>
                <w:rFonts w:ascii="Aptos" w:hAnsi="Aptos"/>
                <w:b w:val="0"/>
                <w:sz w:val="16"/>
              </w:rPr>
              <w:t>☐</w:t>
            </w:r>
          </w:p>
        </w:tc>
      </w:tr>
      <w:tr>
        <w:tc>
          <w:tcPr>
            <w:tcW w:type="dxa" w:w="1224"/>
            <w:shd w:fill="F5F9FA"/>
          </w:tcPr>
          <w:p>
            <w:pPr>
              <w:spacing w:after="40"/>
            </w:pPr>
            <w:r/>
            <w:r>
              <w:rPr>
                <w:rFonts w:ascii="Aptos" w:hAnsi="Aptos"/>
                <w:b w:val="0"/>
                <w:sz w:val="16"/>
              </w:rPr>
              <w:t>Before demo</w:t>
            </w:r>
          </w:p>
        </w:tc>
        <w:tc>
          <w:tcPr>
            <w:tcW w:type="dxa" w:w="7992"/>
            <w:shd w:fill="F5F9FA"/>
          </w:tcPr>
          <w:p>
            <w:pPr>
              <w:spacing w:after="40"/>
            </w:pPr>
            <w:r/>
            <w:r>
              <w:rPr>
                <w:rFonts w:ascii="Aptos" w:hAnsi="Aptos"/>
                <w:b w:val="0"/>
                <w:sz w:val="16"/>
              </w:rPr>
              <w:t>Use stable internet, connect charger, enlarge browser zoom to 110–125%, and use a readable display resolution.</w:t>
            </w:r>
          </w:p>
        </w:tc>
        <w:tc>
          <w:tcPr>
            <w:tcW w:type="dxa" w:w="648"/>
            <w:shd w:fill="F5F9FA"/>
          </w:tcPr>
          <w:p>
            <w:pPr>
              <w:spacing w:after="40"/>
            </w:pPr>
            <w:r/>
            <w:r>
              <w:rPr>
                <w:rFonts w:ascii="Aptos" w:hAnsi="Aptos"/>
                <w:b w:val="0"/>
                <w:sz w:val="16"/>
              </w:rPr>
              <w:t>☐</w:t>
            </w:r>
          </w:p>
        </w:tc>
      </w:tr>
      <w:tr>
        <w:tc>
          <w:tcPr>
            <w:tcW w:type="dxa" w:w="1224"/>
          </w:tcPr>
          <w:p>
            <w:pPr>
              <w:spacing w:after="40"/>
            </w:pPr>
            <w:r/>
            <w:r>
              <w:rPr>
                <w:rFonts w:ascii="Aptos" w:hAnsi="Aptos"/>
                <w:b w:val="0"/>
                <w:sz w:val="16"/>
              </w:rPr>
              <w:t>Before demo</w:t>
            </w:r>
          </w:p>
        </w:tc>
        <w:tc>
          <w:tcPr>
            <w:tcW w:type="dxa" w:w="7992"/>
          </w:tcPr>
          <w:p>
            <w:pPr>
              <w:spacing w:after="40"/>
            </w:pPr>
            <w:r/>
            <w:r>
              <w:rPr>
                <w:rFonts w:ascii="Aptos" w:hAnsi="Aptos"/>
                <w:b w:val="0"/>
                <w:sz w:val="16"/>
              </w:rPr>
              <w:t>Practise the full script twice with a timer. Target 4:30, leaving 30 seconds for processing/network delay.</w:t>
            </w:r>
          </w:p>
        </w:tc>
        <w:tc>
          <w:tcPr>
            <w:tcW w:type="dxa" w:w="648"/>
          </w:tcPr>
          <w:p>
            <w:pPr>
              <w:spacing w:after="40"/>
            </w:pPr>
            <w:r/>
            <w:r>
              <w:rPr>
                <w:rFonts w:ascii="Aptos" w:hAnsi="Aptos"/>
                <w:b w:val="0"/>
                <w:sz w:val="16"/>
              </w:rPr>
              <w:t>☐</w:t>
            </w:r>
          </w:p>
        </w:tc>
      </w:tr>
    </w:tbl>
    <w:p>
      <w:pPr>
        <w:pStyle w:val="Heading1"/>
      </w:pPr>
      <w:r>
        <w:t>B. Fill These Evidence Cards Before Speaking</w:t>
      </w:r>
    </w:p>
    <w:tbl>
      <w:tblPr>
        <w:tblStyle w:val="TableGrid"/>
        <w:tblW w:type="auto" w:w="0"/>
        <w:jc w:val="center"/>
        <w:tblLook w:firstColumn="1" w:firstRow="1" w:lastColumn="0" w:lastRow="0" w:noHBand="0" w:noVBand="1" w:val="04A0"/>
      </w:tblPr>
      <w:tblGrid>
        <w:gridCol w:w="5184"/>
        <w:gridCol w:w="5184"/>
      </w:tblGrid>
      <w:tr>
        <w:tc>
          <w:tcPr>
            <w:tcW w:type="dxa" w:w="2088"/>
            <w:shd w:fill="17324D"/>
          </w:tcPr>
          <w:p>
            <w:pPr>
              <w:spacing w:after="40"/>
            </w:pPr>
            <w:r/>
            <w:r>
              <w:rPr>
                <w:rFonts w:ascii="Aptos" w:hAnsi="Aptos"/>
                <w:b/>
                <w:color w:val="FFFFFF"/>
                <w:sz w:val="17"/>
              </w:rPr>
              <w:t>Demo proof point</w:t>
            </w:r>
          </w:p>
        </w:tc>
        <w:tc>
          <w:tcPr>
            <w:tcW w:type="dxa" w:w="7776"/>
            <w:shd w:fill="17324D"/>
          </w:tcPr>
          <w:p>
            <w:pPr>
              <w:spacing w:after="40"/>
            </w:pPr>
            <w:r/>
            <w:r>
              <w:rPr>
                <w:rFonts w:ascii="Aptos" w:hAnsi="Aptos"/>
                <w:b/>
                <w:color w:val="FFFFFF"/>
                <w:sz w:val="17"/>
              </w:rPr>
              <w:t>Exact live evidence to write down</w:t>
            </w:r>
          </w:p>
        </w:tc>
      </w:tr>
      <w:tr>
        <w:tc>
          <w:tcPr>
            <w:tcW w:type="dxa" w:w="2088"/>
            <w:shd w:fill="F5F9FA"/>
          </w:tcPr>
          <w:p>
            <w:pPr>
              <w:spacing w:after="40"/>
            </w:pPr>
            <w:r/>
            <w:r>
              <w:rPr>
                <w:rFonts w:ascii="Aptos" w:hAnsi="Aptos"/>
                <w:b w:val="0"/>
                <w:sz w:val="16"/>
              </w:rPr>
              <w:t>Documents</w:t>
            </w:r>
          </w:p>
        </w:tc>
        <w:tc>
          <w:tcPr>
            <w:tcW w:type="dxa" w:w="7776"/>
            <w:shd w:fill="F5F9FA"/>
          </w:tcPr>
          <w:p>
            <w:pPr>
              <w:spacing w:after="40"/>
            </w:pPr>
            <w:r/>
            <w:r>
              <w:rPr>
                <w:rFonts w:ascii="Aptos" w:hAnsi="Aptos"/>
                <w:b w:val="0"/>
                <w:sz w:val="16"/>
              </w:rPr>
              <w:t>[FILE 1 — type/date] | [FILE 2 — type/date] | [FILE 3 — type/date]</w:t>
            </w:r>
          </w:p>
        </w:tc>
      </w:tr>
      <w:tr>
        <w:tc>
          <w:tcPr>
            <w:tcW w:type="dxa" w:w="2088"/>
          </w:tcPr>
          <w:p>
            <w:pPr>
              <w:spacing w:after="40"/>
            </w:pPr>
            <w:r/>
            <w:r>
              <w:rPr>
                <w:rFonts w:ascii="Aptos" w:hAnsi="Aptos"/>
                <w:b w:val="0"/>
                <w:sz w:val="16"/>
              </w:rPr>
              <w:t>Safety flag</w:t>
            </w:r>
          </w:p>
        </w:tc>
        <w:tc>
          <w:tcPr>
            <w:tcW w:type="dxa" w:w="7776"/>
          </w:tcPr>
          <w:p>
            <w:pPr>
              <w:spacing w:after="40"/>
            </w:pPr>
            <w:r/>
            <w:r>
              <w:rPr>
                <w:rFonts w:ascii="Aptos" w:hAnsi="Aptos"/>
                <w:b w:val="0"/>
                <w:sz w:val="16"/>
              </w:rPr>
              <w:t>[MEDICINE A] + [MEDICINE B] / [duplicate or conflict] — severity: [shown severity]</w:t>
            </w:r>
          </w:p>
        </w:tc>
      </w:tr>
      <w:tr>
        <w:tc>
          <w:tcPr>
            <w:tcW w:type="dxa" w:w="2088"/>
            <w:shd w:fill="F5F9FA"/>
          </w:tcPr>
          <w:p>
            <w:pPr>
              <w:spacing w:after="40"/>
            </w:pPr>
            <w:r/>
            <w:r>
              <w:rPr>
                <w:rFonts w:ascii="Aptos" w:hAnsi="Aptos"/>
                <w:b w:val="0"/>
                <w:sz w:val="16"/>
              </w:rPr>
              <w:t>Lab trend</w:t>
            </w:r>
          </w:p>
        </w:tc>
        <w:tc>
          <w:tcPr>
            <w:tcW w:type="dxa" w:w="7776"/>
            <w:shd w:fill="F5F9FA"/>
          </w:tcPr>
          <w:p>
            <w:pPr>
              <w:spacing w:after="40"/>
            </w:pPr>
            <w:r/>
            <w:r>
              <w:rPr>
                <w:rFonts w:ascii="Aptos" w:hAnsi="Aptos"/>
                <w:b w:val="0"/>
                <w:sz w:val="16"/>
              </w:rPr>
              <w:t>[TEST] changed from [VALUE + DATE] to [VALUE + DATE]; displayed interpretation: [short wording]</w:t>
            </w:r>
          </w:p>
        </w:tc>
      </w:tr>
      <w:tr>
        <w:tc>
          <w:tcPr>
            <w:tcW w:type="dxa" w:w="2088"/>
          </w:tcPr>
          <w:p>
            <w:pPr>
              <w:spacing w:after="40"/>
            </w:pPr>
            <w:r/>
            <w:r>
              <w:rPr>
                <w:rFonts w:ascii="Aptos" w:hAnsi="Aptos"/>
                <w:b w:val="0"/>
                <w:sz w:val="16"/>
              </w:rPr>
              <w:t>Allergy reasoning Q&amp;A</w:t>
            </w:r>
          </w:p>
        </w:tc>
        <w:tc>
          <w:tcPr>
            <w:tcW w:type="dxa" w:w="7776"/>
          </w:tcPr>
          <w:p>
            <w:pPr>
              <w:spacing w:after="40"/>
            </w:pPr>
            <w:r/>
            <w:r>
              <w:rPr>
                <w:rFonts w:ascii="Aptos" w:hAnsi="Aptos"/>
                <w:b w:val="0"/>
                <w:sz w:val="16"/>
              </w:rPr>
              <w:t>Question: “Did [NEW MEDICINE] get prescribed despite the allergy noted in [DATE]?”  Result: [actual grounded answer + confidence]</w:t>
            </w:r>
          </w:p>
        </w:tc>
      </w:tr>
      <w:tr>
        <w:tc>
          <w:tcPr>
            <w:tcW w:type="dxa" w:w="2088"/>
            <w:shd w:fill="F5F9FA"/>
          </w:tcPr>
          <w:p>
            <w:pPr>
              <w:spacing w:after="40"/>
            </w:pPr>
            <w:r/>
            <w:r>
              <w:rPr>
                <w:rFonts w:ascii="Aptos" w:hAnsi="Aptos"/>
                <w:b w:val="0"/>
                <w:sz w:val="16"/>
              </w:rPr>
              <w:t>Sources</w:t>
            </w:r>
          </w:p>
        </w:tc>
        <w:tc>
          <w:tcPr>
            <w:tcW w:type="dxa" w:w="7776"/>
            <w:shd w:fill="F5F9FA"/>
          </w:tcPr>
          <w:p>
            <w:pPr>
              <w:spacing w:after="40"/>
            </w:pPr>
            <w:r/>
            <w:r>
              <w:rPr>
                <w:rFonts w:ascii="Aptos" w:hAnsi="Aptos"/>
                <w:b w:val="0"/>
                <w:sz w:val="16"/>
              </w:rPr>
              <w:t>[Source filename/page 1] and [source filename/page 2] shown in answer</w:t>
            </w:r>
          </w:p>
        </w:tc>
      </w:tr>
      <w:tr>
        <w:tc>
          <w:tcPr>
            <w:tcW w:type="dxa" w:w="2088"/>
          </w:tcPr>
          <w:p>
            <w:pPr>
              <w:spacing w:after="40"/>
            </w:pPr>
            <w:r/>
            <w:r>
              <w:rPr>
                <w:rFonts w:ascii="Aptos" w:hAnsi="Aptos"/>
                <w:b w:val="0"/>
                <w:sz w:val="16"/>
              </w:rPr>
              <w:t>Safety message</w:t>
            </w:r>
          </w:p>
        </w:tc>
        <w:tc>
          <w:tcPr>
            <w:tcW w:type="dxa" w:w="7776"/>
          </w:tcPr>
          <w:p>
            <w:pPr>
              <w:spacing w:after="40"/>
            </w:pPr>
            <w:r/>
            <w:r>
              <w:rPr>
                <w:rFonts w:ascii="Aptos" w:hAnsi="Aptos"/>
                <w:b w:val="0"/>
                <w:sz w:val="16"/>
              </w:rPr>
              <w:t>[Exact consultation recommendation shown in UI]</w:t>
            </w:r>
          </w:p>
        </w:tc>
      </w:tr>
    </w:tbl>
    <w:tbl>
      <w:tblPr>
        <w:tblW w:type="auto" w:w="0"/>
        <w:tblLayout w:type="fixed"/>
        <w:tblLook w:firstColumn="1" w:firstRow="1" w:lastColumn="0" w:lastRow="0" w:noHBand="0" w:noVBand="1" w:val="04A0"/>
      </w:tblPr>
      <w:tblGrid>
        <w:gridCol w:w="10368"/>
      </w:tblGrid>
      <w:tr>
        <w:tc>
          <w:tcPr>
            <w:tcW w:type="dxa" w:w="10368"/>
            <w:shd w:fill="FFF4E5"/>
            <w:tcBorders>
              <w:top w:val="single" w:sz="6" w:color="B9DDE1"/>
              <w:left w:val="single" w:sz="6" w:color="B9DDE1"/>
              <w:bottom w:val="single" w:sz="6" w:color="B9DDE1"/>
              <w:right w:val="single" w:sz="6" w:color="B9DDE1"/>
            </w:tcBorders>
          </w:tcPr>
          <w:p>
            <w:pPr>
              <w:spacing w:after="40"/>
            </w:pPr>
            <w:r>
              <w:rPr>
                <w:b/>
                <w:color w:val="17324D"/>
              </w:rPr>
              <w:t xml:space="preserve">DEMO RULE  </w:t>
            </w:r>
            <w:r>
              <w:t>Never invent a result. If the dataset exposes a different safety flag than expected, narrate what is actually on screen and use the corresponding prepared evidence card.</w:t>
            </w:r>
          </w:p>
        </w:tc>
      </w:tr>
    </w:tbl>
    <w:p>
      <w:r>
        <w:br w:type="page"/>
      </w:r>
    </w:p>
    <w:p>
      <w:pPr>
        <w:pStyle w:val="Heading1"/>
      </w:pPr>
      <w:r>
        <w:t>C. Timed Live Demo Transcript (target: 4 minutes 40 seconds)</w:t>
      </w:r>
    </w:p>
    <w:p>
      <w:r>
        <w:t>Presenter notes are in italics-style brackets. Speak naturally—do not read the bracketed stage directions aloud.</w:t>
      </w:r>
    </w:p>
    <w:tbl>
      <w:tblPr>
        <w:tblStyle w:val="TableGrid"/>
        <w:tblW w:type="auto" w:w="0"/>
        <w:jc w:val="center"/>
        <w:tblLook w:firstColumn="1" w:firstRow="1" w:lastColumn="0" w:lastRow="0" w:noHBand="0" w:noVBand="1" w:val="04A0"/>
      </w:tblPr>
      <w:tblGrid>
        <w:gridCol w:w="3456"/>
        <w:gridCol w:w="3456"/>
        <w:gridCol w:w="3456"/>
      </w:tblGrid>
      <w:tr>
        <w:tc>
          <w:tcPr>
            <w:tcW w:type="dxa" w:w="1080"/>
            <w:shd w:fill="17324D"/>
          </w:tcPr>
          <w:p>
            <w:pPr>
              <w:spacing w:after="40"/>
            </w:pPr>
            <w:r/>
            <w:r>
              <w:rPr>
                <w:rFonts w:ascii="Aptos" w:hAnsi="Aptos"/>
                <w:b/>
                <w:color w:val="FFFFFF"/>
                <w:sz w:val="17"/>
              </w:rPr>
              <w:t>Time</w:t>
            </w:r>
          </w:p>
        </w:tc>
        <w:tc>
          <w:tcPr>
            <w:tcW w:type="dxa" w:w="2520"/>
            <w:shd w:fill="17324D"/>
          </w:tcPr>
          <w:p>
            <w:pPr>
              <w:spacing w:after="40"/>
            </w:pPr>
            <w:r/>
            <w:r>
              <w:rPr>
                <w:rFonts w:ascii="Aptos" w:hAnsi="Aptos"/>
                <w:b/>
                <w:color w:val="FFFFFF"/>
                <w:sz w:val="17"/>
              </w:rPr>
              <w:t>Screen / action</w:t>
            </w:r>
          </w:p>
        </w:tc>
        <w:tc>
          <w:tcPr>
            <w:tcW w:type="dxa" w:w="6768"/>
            <w:shd w:fill="17324D"/>
          </w:tcPr>
          <w:p>
            <w:pPr>
              <w:spacing w:after="40"/>
            </w:pPr>
            <w:r/>
            <w:r>
              <w:rPr>
                <w:rFonts w:ascii="Aptos" w:hAnsi="Aptos"/>
                <w:b/>
                <w:color w:val="FFFFFF"/>
                <w:sz w:val="17"/>
              </w:rPr>
              <w:t>Say this</w:t>
            </w:r>
          </w:p>
        </w:tc>
      </w:tr>
      <w:tr>
        <w:tc>
          <w:tcPr>
            <w:tcW w:type="dxa" w:w="1080"/>
            <w:shd w:fill="F5F9FA"/>
          </w:tcPr>
          <w:p>
            <w:pPr>
              <w:spacing w:after="40"/>
            </w:pPr>
            <w:r/>
            <w:r>
              <w:rPr>
                <w:rFonts w:ascii="Aptos" w:hAnsi="Aptos"/>
                <w:b w:val="0"/>
                <w:sz w:val="16"/>
              </w:rPr>
              <w:t>0:00–0:25</w:t>
            </w:r>
          </w:p>
        </w:tc>
        <w:tc>
          <w:tcPr>
            <w:tcW w:type="dxa" w:w="2520"/>
            <w:shd w:fill="F5F9FA"/>
          </w:tcPr>
          <w:p>
            <w:pPr>
              <w:spacing w:after="40"/>
            </w:pPr>
            <w:r/>
            <w:r>
              <w:rPr>
                <w:rFonts w:ascii="Aptos" w:hAnsi="Aptos"/>
                <w:b w:val="0"/>
                <w:sz w:val="16"/>
              </w:rPr>
              <w:t>Open landing page / dashboard.</w:t>
            </w:r>
          </w:p>
        </w:tc>
        <w:tc>
          <w:tcPr>
            <w:tcW w:type="dxa" w:w="6768"/>
            <w:shd w:fill="F5F9FA"/>
          </w:tcPr>
          <w:p>
            <w:pPr>
              <w:spacing w:after="40"/>
            </w:pPr>
            <w:r/>
            <w:r>
              <w:rPr>
                <w:rFonts w:ascii="Aptos" w:hAnsi="Aptos"/>
                <w:b w:val="0"/>
                <w:sz w:val="16"/>
              </w:rPr>
              <w:t>“Good [morning/afternoon]. We are [TEAM NAME], and this is MediMind. Patients often receive lab reports, prescriptions and discharge summaries from different visits, but the safety context is scattered. MediMind turns those documents into one traceable medical timeline and helps surface issues that should be reviewed with a doctor or pharmacist.”</w:t>
            </w:r>
          </w:p>
        </w:tc>
      </w:tr>
      <w:tr>
        <w:tc>
          <w:tcPr>
            <w:tcW w:type="dxa" w:w="1080"/>
          </w:tcPr>
          <w:p>
            <w:pPr>
              <w:spacing w:after="40"/>
            </w:pPr>
            <w:r/>
            <w:r>
              <w:rPr>
                <w:rFonts w:ascii="Aptos" w:hAnsi="Aptos"/>
                <w:b w:val="0"/>
                <w:sz w:val="16"/>
              </w:rPr>
              <w:t>0:25–0:45</w:t>
            </w:r>
          </w:p>
        </w:tc>
        <w:tc>
          <w:tcPr>
            <w:tcW w:type="dxa" w:w="2520"/>
          </w:tcPr>
          <w:p>
            <w:pPr>
              <w:spacing w:after="40"/>
            </w:pPr>
            <w:r/>
            <w:r>
              <w:rPr>
                <w:rFonts w:ascii="Aptos" w:hAnsi="Aptos"/>
                <w:b w:val="0"/>
                <w:sz w:val="16"/>
              </w:rPr>
              <w:t>Click Upload. Show supported formats and upload [3–5] judge documents together.</w:t>
            </w:r>
          </w:p>
        </w:tc>
        <w:tc>
          <w:tcPr>
            <w:tcW w:type="dxa" w:w="6768"/>
          </w:tcPr>
          <w:p>
            <w:pPr>
              <w:spacing w:after="40"/>
            </w:pPr>
            <w:r/>
            <w:r>
              <w:rPr>
                <w:rFonts w:ascii="Aptos" w:hAnsi="Aptos"/>
                <w:b w:val="0"/>
                <w:sz w:val="16"/>
              </w:rPr>
              <w:t>“This is the complete user workflow. I am uploading the judge-provided [prescription, lab report and discharge summary]. MediMind accepts common PDF and image formats. Each file has its own progress state, so the user can see that it is being read, extracted and saved.”</w:t>
            </w:r>
          </w:p>
        </w:tc>
      </w:tr>
      <w:tr>
        <w:tc>
          <w:tcPr>
            <w:tcW w:type="dxa" w:w="1080"/>
            <w:shd w:fill="F5F9FA"/>
          </w:tcPr>
          <w:p>
            <w:pPr>
              <w:spacing w:after="40"/>
            </w:pPr>
            <w:r/>
            <w:r>
              <w:rPr>
                <w:rFonts w:ascii="Aptos" w:hAnsi="Aptos"/>
                <w:b w:val="0"/>
                <w:sz w:val="16"/>
              </w:rPr>
              <w:t>0:45–1:10</w:t>
            </w:r>
          </w:p>
        </w:tc>
        <w:tc>
          <w:tcPr>
            <w:tcW w:type="dxa" w:w="2520"/>
            <w:shd w:fill="F5F9FA"/>
          </w:tcPr>
          <w:p>
            <w:pPr>
              <w:spacing w:after="40"/>
            </w:pPr>
            <w:r/>
            <w:r>
              <w:rPr>
                <w:rFonts w:ascii="Aptos" w:hAnsi="Aptos"/>
                <w:b w:val="0"/>
                <w:sz w:val="16"/>
              </w:rPr>
              <w:t>Let processing state show briefly; then proceed to already processed demo workspace if necessary.</w:t>
            </w:r>
          </w:p>
        </w:tc>
        <w:tc>
          <w:tcPr>
            <w:tcW w:type="dxa" w:w="6768"/>
            <w:shd w:fill="F5F9FA"/>
          </w:tcPr>
          <w:p>
            <w:pPr>
              <w:spacing w:after="40"/>
            </w:pPr>
            <w:r/>
            <w:r>
              <w:rPr>
                <w:rFonts w:ascii="Aptos" w:hAnsi="Aptos"/>
                <w:b w:val="0"/>
                <w:sz w:val="16"/>
              </w:rPr>
              <w:t>“Behind this screen, the document reader extracts structured facts—document dates, medicines and dosage instructions, laboratory measurements, allergies and clinical notes. It then merges those facts with the prior record rather than treating each report in isolation.”</w:t>
            </w:r>
          </w:p>
        </w:tc>
      </w:tr>
      <w:tr>
        <w:tc>
          <w:tcPr>
            <w:tcW w:type="dxa" w:w="1080"/>
          </w:tcPr>
          <w:p>
            <w:pPr>
              <w:spacing w:after="40"/>
            </w:pPr>
            <w:r/>
            <w:r>
              <w:rPr>
                <w:rFonts w:ascii="Aptos" w:hAnsi="Aptos"/>
                <w:b w:val="0"/>
                <w:sz w:val="16"/>
              </w:rPr>
              <w:t>1:10–1:35</w:t>
            </w:r>
          </w:p>
        </w:tc>
        <w:tc>
          <w:tcPr>
            <w:tcW w:type="dxa" w:w="2520"/>
          </w:tcPr>
          <w:p>
            <w:pPr>
              <w:spacing w:after="40"/>
            </w:pPr>
            <w:r/>
            <w:r>
              <w:rPr>
                <w:rFonts w:ascii="Aptos" w:hAnsi="Aptos"/>
                <w:b w:val="0"/>
                <w:sz w:val="16"/>
              </w:rPr>
              <w:t>Open Dashboard / History. Point to dates, visits or document cards.</w:t>
            </w:r>
          </w:p>
        </w:tc>
        <w:tc>
          <w:tcPr>
            <w:tcW w:type="dxa" w:w="6768"/>
          </w:tcPr>
          <w:p>
            <w:pPr>
              <w:spacing w:after="40"/>
            </w:pPr>
            <w:r/>
            <w:r>
              <w:rPr>
                <w:rFonts w:ascii="Aptos" w:hAnsi="Aptos"/>
                <w:b w:val="0"/>
                <w:sz w:val="16"/>
              </w:rPr>
              <w:t>“Here is the merged patient history. Instead of searching separate files, the user can navigate a chronological record with each item tied back to its source document. This is the foundation for cross-visit safety checking and questions.”</w:t>
            </w:r>
          </w:p>
        </w:tc>
      </w:tr>
      <w:tr>
        <w:tc>
          <w:tcPr>
            <w:tcW w:type="dxa" w:w="1080"/>
            <w:shd w:fill="F5F9FA"/>
          </w:tcPr>
          <w:p>
            <w:pPr>
              <w:spacing w:after="40"/>
            </w:pPr>
            <w:r/>
            <w:r>
              <w:rPr>
                <w:rFonts w:ascii="Aptos" w:hAnsi="Aptos"/>
                <w:b w:val="0"/>
                <w:sz w:val="16"/>
              </w:rPr>
              <w:t>1:35–2:05</w:t>
            </w:r>
          </w:p>
        </w:tc>
        <w:tc>
          <w:tcPr>
            <w:tcW w:type="dxa" w:w="2520"/>
            <w:shd w:fill="F5F9FA"/>
          </w:tcPr>
          <w:p>
            <w:pPr>
              <w:spacing w:after="40"/>
            </w:pPr>
            <w:r/>
            <w:r>
              <w:rPr>
                <w:rFonts w:ascii="Aptos" w:hAnsi="Aptos"/>
                <w:b w:val="0"/>
                <w:sz w:val="16"/>
              </w:rPr>
              <w:t>Open Medicines, then Safety Alerts. Point to one real judge-dataset flag.</w:t>
            </w:r>
          </w:p>
        </w:tc>
        <w:tc>
          <w:tcPr>
            <w:tcW w:type="dxa" w:w="6768"/>
            <w:shd w:fill="F5F9FA"/>
          </w:tcPr>
          <w:p>
            <w:pPr>
              <w:spacing w:after="40"/>
            </w:pPr>
            <w:r/>
            <w:r>
              <w:rPr>
                <w:rFonts w:ascii="Aptos" w:hAnsi="Aptos"/>
                <w:b w:val="0"/>
                <w:sz w:val="16"/>
              </w:rPr>
              <w:t>“Now I will show the cross-check. MediMind compares medications by active ingredient and checks for interactions, duplicates, conflicting instructions and allergy conflicts. In this dataset it flags [READ THE REAL FLAG: e.g., MEDICINE A and MEDICINE B / conflicting dose]. This is not presented as a diagnosis—the UI clearly asks the user to consult a doctor or pharmacist for significant findings.”</w:t>
            </w:r>
          </w:p>
        </w:tc>
      </w:tr>
      <w:tr>
        <w:tc>
          <w:tcPr>
            <w:tcW w:type="dxa" w:w="1080"/>
          </w:tcPr>
          <w:p>
            <w:pPr>
              <w:spacing w:after="40"/>
            </w:pPr>
            <w:r/>
            <w:r>
              <w:rPr>
                <w:rFonts w:ascii="Aptos" w:hAnsi="Aptos"/>
                <w:b w:val="0"/>
                <w:sz w:val="16"/>
              </w:rPr>
              <w:t>2:05–2:35</w:t>
            </w:r>
          </w:p>
        </w:tc>
        <w:tc>
          <w:tcPr>
            <w:tcW w:type="dxa" w:w="2520"/>
          </w:tcPr>
          <w:p>
            <w:pPr>
              <w:spacing w:after="40"/>
            </w:pPr>
            <w:r/>
            <w:r>
              <w:rPr>
                <w:rFonts w:ascii="Aptos" w:hAnsi="Aptos"/>
                <w:b w:val="0"/>
                <w:sz w:val="16"/>
              </w:rPr>
              <w:t>Open Lab Trends. Point to real trend and range/threshold.</w:t>
            </w:r>
          </w:p>
        </w:tc>
        <w:tc>
          <w:tcPr>
            <w:tcW w:type="dxa" w:w="6768"/>
          </w:tcPr>
          <w:p>
            <w:pPr>
              <w:spacing w:after="40"/>
            </w:pPr>
            <w:r/>
            <w:r>
              <w:rPr>
                <w:rFonts w:ascii="Aptos" w:hAnsi="Aptos"/>
                <w:b w:val="0"/>
                <w:sz w:val="16"/>
              </w:rPr>
              <w:t>“The lab view compares the same test across time. For [TEST], the record changes from [VALUE] on [DATE] to [VALUE] on [DATE]. The trend engine detects [direction / range crossing / approaching threshold], and MediMind explains that change in plain language so the user knows what to discuss with a clinician.”</w:t>
            </w:r>
          </w:p>
        </w:tc>
      </w:tr>
      <w:tr>
        <w:tc>
          <w:tcPr>
            <w:tcW w:type="dxa" w:w="1080"/>
            <w:shd w:fill="F5F9FA"/>
          </w:tcPr>
          <w:p>
            <w:pPr>
              <w:spacing w:after="40"/>
            </w:pPr>
            <w:r/>
            <w:r>
              <w:rPr>
                <w:rFonts w:ascii="Aptos" w:hAnsi="Aptos"/>
                <w:b w:val="0"/>
                <w:sz w:val="16"/>
              </w:rPr>
              <w:t>2:35–3:30</w:t>
            </w:r>
          </w:p>
        </w:tc>
        <w:tc>
          <w:tcPr>
            <w:tcW w:type="dxa" w:w="2520"/>
            <w:shd w:fill="F5F9FA"/>
          </w:tcPr>
          <w:p>
            <w:pPr>
              <w:spacing w:after="40"/>
            </w:pPr>
            <w:r/>
            <w:r>
              <w:rPr>
                <w:rFonts w:ascii="Aptos" w:hAnsi="Aptos"/>
                <w:b w:val="0"/>
                <w:sz w:val="16"/>
              </w:rPr>
              <w:t>Open Ask AI. Enter prepared allergy/contradiction question. Show answer, confidence and sources.</w:t>
            </w:r>
          </w:p>
        </w:tc>
        <w:tc>
          <w:tcPr>
            <w:tcW w:type="dxa" w:w="6768"/>
            <w:shd w:fill="F5F9FA"/>
          </w:tcPr>
          <w:p>
            <w:pPr>
              <w:spacing w:after="40"/>
            </w:pPr>
            <w:r/>
            <w:r>
              <w:rPr>
                <w:rFonts w:ascii="Aptos" w:hAnsi="Aptos"/>
                <w:b w:val="0"/>
                <w:sz w:val="16"/>
              </w:rPr>
              <w:t>“The final capability is reasoning across documents. I will ask: ‘Did [NEW MEDICINE] get prescribed despite the allergy noted in [DATE]?’ MediMind retrieves relevant record evidence, answers from those uploaded documents, displays a confidence score of [CONFIDENCE], and cites [SOURCE FILE/PAGE]. This is grounded record assistance—not open-internet medical advice.”</w:t>
            </w:r>
          </w:p>
        </w:tc>
      </w:tr>
      <w:tr>
        <w:tc>
          <w:tcPr>
            <w:tcW w:type="dxa" w:w="1080"/>
          </w:tcPr>
          <w:p>
            <w:pPr>
              <w:spacing w:after="40"/>
            </w:pPr>
            <w:r/>
            <w:r>
              <w:rPr>
                <w:rFonts w:ascii="Aptos" w:hAnsi="Aptos"/>
                <w:b w:val="0"/>
                <w:sz w:val="16"/>
              </w:rPr>
              <w:t>3:30–4:00</w:t>
            </w:r>
          </w:p>
        </w:tc>
        <w:tc>
          <w:tcPr>
            <w:tcW w:type="dxa" w:w="2520"/>
          </w:tcPr>
          <w:p>
            <w:pPr>
              <w:spacing w:after="40"/>
            </w:pPr>
            <w:r/>
            <w:r>
              <w:rPr>
                <w:rFonts w:ascii="Aptos" w:hAnsi="Aptos"/>
                <w:b w:val="0"/>
                <w:sz w:val="16"/>
              </w:rPr>
              <w:t>Point to answer safety/consultation advice; optionally open Conversations.</w:t>
            </w:r>
          </w:p>
        </w:tc>
        <w:tc>
          <w:tcPr>
            <w:tcW w:type="dxa" w:w="6768"/>
          </w:tcPr>
          <w:p>
            <w:pPr>
              <w:spacing w:after="40"/>
            </w:pPr>
            <w:r/>
            <w:r>
              <w:rPr>
                <w:rFonts w:ascii="Aptos" w:hAnsi="Aptos"/>
                <w:b w:val="0"/>
                <w:sz w:val="16"/>
              </w:rPr>
              <w:t>“If the evidence is incomplete or potentially high-risk, MediMind recommends professional review. Users can also continue in Conversations; follow-up questions are rewritten into a complete query so references like ‘was that safe?’ retain their context.”</w:t>
            </w:r>
          </w:p>
        </w:tc>
      </w:tr>
      <w:tr>
        <w:tc>
          <w:tcPr>
            <w:tcW w:type="dxa" w:w="1080"/>
            <w:shd w:fill="F5F9FA"/>
          </w:tcPr>
          <w:p>
            <w:pPr>
              <w:spacing w:after="40"/>
            </w:pPr>
            <w:r/>
            <w:r>
              <w:rPr>
                <w:rFonts w:ascii="Aptos" w:hAnsi="Aptos"/>
                <w:b w:val="0"/>
                <w:sz w:val="16"/>
              </w:rPr>
              <w:t>4:00–4:35</w:t>
            </w:r>
          </w:p>
        </w:tc>
        <w:tc>
          <w:tcPr>
            <w:tcW w:type="dxa" w:w="2520"/>
            <w:shd w:fill="F5F9FA"/>
          </w:tcPr>
          <w:p>
            <w:pPr>
              <w:spacing w:after="40"/>
            </w:pPr>
            <w:r/>
            <w:r>
              <w:rPr>
                <w:rFonts w:ascii="Aptos" w:hAnsi="Aptos"/>
                <w:b w:val="0"/>
                <w:sz w:val="16"/>
              </w:rPr>
              <w:t>Show architecture slide or stay on app.</w:t>
            </w:r>
          </w:p>
        </w:tc>
        <w:tc>
          <w:tcPr>
            <w:tcW w:type="dxa" w:w="6768"/>
            <w:shd w:fill="F5F9FA"/>
          </w:tcPr>
          <w:p>
            <w:pPr>
              <w:spacing w:after="40"/>
            </w:pPr>
            <w:r/>
            <w:r>
              <w:rPr>
                <w:rFonts w:ascii="Aptos" w:hAnsi="Aptos"/>
                <w:b w:val="0"/>
                <w:sz w:val="16"/>
              </w:rPr>
              <w:t>“Technically, the frontend is React, TypeScript, Vite and Tailwind, with a FastAPI backend. A multimodal LLM performs schema-guided extraction; structured timeline data feeds deterministic lab-trend checks, medication safety analysis and a retrieval-augmented question-answering layer. Supabase and Cloudinary provide persistent record and file storage.”</w:t>
            </w:r>
          </w:p>
        </w:tc>
      </w:tr>
      <w:tr>
        <w:tc>
          <w:tcPr>
            <w:tcW w:type="dxa" w:w="1080"/>
          </w:tcPr>
          <w:p>
            <w:pPr>
              <w:spacing w:after="40"/>
            </w:pPr>
            <w:r/>
            <w:r>
              <w:rPr>
                <w:rFonts w:ascii="Aptos" w:hAnsi="Aptos"/>
                <w:b w:val="0"/>
                <w:sz w:val="16"/>
              </w:rPr>
              <w:t>4:35–4:50</w:t>
            </w:r>
          </w:p>
        </w:tc>
        <w:tc>
          <w:tcPr>
            <w:tcW w:type="dxa" w:w="2520"/>
          </w:tcPr>
          <w:p>
            <w:pPr>
              <w:spacing w:after="40"/>
            </w:pPr>
            <w:r/>
            <w:r>
              <w:rPr>
                <w:rFonts w:ascii="Aptos" w:hAnsi="Aptos"/>
                <w:b w:val="0"/>
                <w:sz w:val="16"/>
              </w:rPr>
              <w:t>Return to Dashboard or final slide.</w:t>
            </w:r>
          </w:p>
        </w:tc>
        <w:tc>
          <w:tcPr>
            <w:tcW w:type="dxa" w:w="6768"/>
          </w:tcPr>
          <w:p>
            <w:pPr>
              <w:spacing w:after="40"/>
            </w:pPr>
            <w:r/>
            <w:r>
              <w:rPr>
                <w:rFonts w:ascii="Aptos" w:hAnsi="Aptos"/>
                <w:b w:val="0"/>
                <w:sz w:val="16"/>
              </w:rPr>
              <w:t>“MediMind’s value is making fragmented patient records reviewable, explainable and safer to discuss with a professional—without claiming to replace one. Thank you; we welcome your questions.”</w:t>
            </w:r>
          </w:p>
        </w:tc>
      </w:tr>
    </w:tbl>
    <w:p>
      <w:r>
        <w:br w:type="page"/>
      </w:r>
    </w:p>
    <w:p>
      <w:pPr>
        <w:pStyle w:val="Heading1"/>
      </w:pPr>
      <w:r>
        <w:t>D. Demo Route Map &amp; Backup Plan</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7324D"/>
          </w:tcPr>
          <w:p>
            <w:pPr>
              <w:spacing w:after="40"/>
            </w:pPr>
            <w:r/>
            <w:r>
              <w:rPr>
                <w:rFonts w:ascii="Aptos" w:hAnsi="Aptos"/>
                <w:b/>
                <w:color w:val="FFFFFF"/>
                <w:sz w:val="17"/>
              </w:rPr>
              <w:t>Moment</w:t>
            </w:r>
          </w:p>
        </w:tc>
        <w:tc>
          <w:tcPr>
            <w:tcW w:type="dxa" w:w="3384"/>
            <w:shd w:fill="17324D"/>
          </w:tcPr>
          <w:p>
            <w:pPr>
              <w:spacing w:after="40"/>
            </w:pPr>
            <w:r/>
            <w:r>
              <w:rPr>
                <w:rFonts w:ascii="Aptos" w:hAnsi="Aptos"/>
                <w:b/>
                <w:color w:val="FFFFFF"/>
                <w:sz w:val="17"/>
              </w:rPr>
              <w:t>Primary live route</w:t>
            </w:r>
          </w:p>
        </w:tc>
        <w:tc>
          <w:tcPr>
            <w:tcW w:type="dxa" w:w="5184"/>
            <w:shd w:fill="17324D"/>
          </w:tcPr>
          <w:p>
            <w:pPr>
              <w:spacing w:after="40"/>
            </w:pPr>
            <w:r/>
            <w:r>
              <w:rPr>
                <w:rFonts w:ascii="Aptos" w:hAnsi="Aptos"/>
                <w:b/>
                <w:color w:val="FFFFFF"/>
                <w:sz w:val="17"/>
              </w:rPr>
              <w:t>Fallback if live processing is slow</w:t>
            </w:r>
          </w:p>
        </w:tc>
      </w:tr>
      <w:tr>
        <w:tc>
          <w:tcPr>
            <w:tcW w:type="dxa" w:w="1800"/>
            <w:shd w:fill="F5F9FA"/>
          </w:tcPr>
          <w:p>
            <w:pPr>
              <w:spacing w:after="40"/>
            </w:pPr>
            <w:r/>
            <w:r>
              <w:rPr>
                <w:rFonts w:ascii="Aptos" w:hAnsi="Aptos"/>
                <w:b w:val="0"/>
                <w:sz w:val="16"/>
              </w:rPr>
              <w:t>Upload</w:t>
            </w:r>
          </w:p>
        </w:tc>
        <w:tc>
          <w:tcPr>
            <w:tcW w:type="dxa" w:w="3384"/>
            <w:shd w:fill="F5F9FA"/>
          </w:tcPr>
          <w:p>
            <w:pPr>
              <w:spacing w:after="40"/>
            </w:pPr>
            <w:r/>
            <w:r>
              <w:rPr>
                <w:rFonts w:ascii="Aptos" w:hAnsi="Aptos"/>
                <w:b w:val="0"/>
                <w:sz w:val="16"/>
              </w:rPr>
              <w:t>/upload</w:t>
            </w:r>
          </w:p>
        </w:tc>
        <w:tc>
          <w:tcPr>
            <w:tcW w:type="dxa" w:w="5184"/>
            <w:shd w:fill="F5F9FA"/>
          </w:tcPr>
          <w:p>
            <w:pPr>
              <w:spacing w:after="40"/>
            </w:pPr>
            <w:r/>
            <w:r>
              <w:rPr>
                <w:rFonts w:ascii="Aptos" w:hAnsi="Aptos"/>
                <w:b w:val="0"/>
                <w:sz w:val="16"/>
              </w:rPr>
              <w:t>Show a pre-processed workspace and explain that the same judge files were uploaded; retain a screenshot of per-file processing states.</w:t>
            </w:r>
          </w:p>
        </w:tc>
      </w:tr>
      <w:tr>
        <w:tc>
          <w:tcPr>
            <w:tcW w:type="dxa" w:w="1800"/>
          </w:tcPr>
          <w:p>
            <w:pPr>
              <w:spacing w:after="40"/>
            </w:pPr>
            <w:r/>
            <w:r>
              <w:rPr>
                <w:rFonts w:ascii="Aptos" w:hAnsi="Aptos"/>
                <w:b w:val="0"/>
                <w:sz w:val="16"/>
              </w:rPr>
              <w:t>Timeline</w:t>
            </w:r>
          </w:p>
        </w:tc>
        <w:tc>
          <w:tcPr>
            <w:tcW w:type="dxa" w:w="3384"/>
          </w:tcPr>
          <w:p>
            <w:pPr>
              <w:spacing w:after="40"/>
            </w:pPr>
            <w:r/>
            <w:r>
              <w:rPr>
                <w:rFonts w:ascii="Aptos" w:hAnsi="Aptos"/>
                <w:b w:val="0"/>
                <w:sz w:val="16"/>
              </w:rPr>
              <w:t>/history or /dashboard</w:t>
            </w:r>
          </w:p>
        </w:tc>
        <w:tc>
          <w:tcPr>
            <w:tcW w:type="dxa" w:w="5184"/>
          </w:tcPr>
          <w:p>
            <w:pPr>
              <w:spacing w:after="40"/>
            </w:pPr>
            <w:r/>
            <w:r>
              <w:rPr>
                <w:rFonts w:ascii="Aptos" w:hAnsi="Aptos"/>
                <w:b w:val="0"/>
                <w:sz w:val="16"/>
              </w:rPr>
              <w:t>Show a screenshot of timeline with source file names and dates.</w:t>
            </w:r>
          </w:p>
        </w:tc>
      </w:tr>
      <w:tr>
        <w:tc>
          <w:tcPr>
            <w:tcW w:type="dxa" w:w="1800"/>
            <w:shd w:fill="F5F9FA"/>
          </w:tcPr>
          <w:p>
            <w:pPr>
              <w:spacing w:after="40"/>
            </w:pPr>
            <w:r/>
            <w:r>
              <w:rPr>
                <w:rFonts w:ascii="Aptos" w:hAnsi="Aptos"/>
                <w:b w:val="0"/>
                <w:sz w:val="16"/>
              </w:rPr>
              <w:t>Medication safety</w:t>
            </w:r>
          </w:p>
        </w:tc>
        <w:tc>
          <w:tcPr>
            <w:tcW w:type="dxa" w:w="3384"/>
            <w:shd w:fill="F5F9FA"/>
          </w:tcPr>
          <w:p>
            <w:pPr>
              <w:spacing w:after="40"/>
            </w:pPr>
            <w:r/>
            <w:r>
              <w:rPr>
                <w:rFonts w:ascii="Aptos" w:hAnsi="Aptos"/>
                <w:b w:val="0"/>
                <w:sz w:val="16"/>
              </w:rPr>
              <w:t>/safety or /cross-check</w:t>
            </w:r>
          </w:p>
        </w:tc>
        <w:tc>
          <w:tcPr>
            <w:tcW w:type="dxa" w:w="5184"/>
            <w:shd w:fill="F5F9FA"/>
          </w:tcPr>
          <w:p>
            <w:pPr>
              <w:spacing w:after="40"/>
            </w:pPr>
            <w:r/>
            <w:r>
              <w:rPr>
                <w:rFonts w:ascii="Aptos" w:hAnsi="Aptos"/>
                <w:b w:val="0"/>
                <w:sz w:val="16"/>
              </w:rPr>
              <w:t>Show a prepared Safety Alerts screenshot using the judge dataset.</w:t>
            </w:r>
          </w:p>
        </w:tc>
      </w:tr>
      <w:tr>
        <w:tc>
          <w:tcPr>
            <w:tcW w:type="dxa" w:w="1800"/>
          </w:tcPr>
          <w:p>
            <w:pPr>
              <w:spacing w:after="40"/>
            </w:pPr>
            <w:r/>
            <w:r>
              <w:rPr>
                <w:rFonts w:ascii="Aptos" w:hAnsi="Aptos"/>
                <w:b w:val="0"/>
                <w:sz w:val="16"/>
              </w:rPr>
              <w:t>Lab trends</w:t>
            </w:r>
          </w:p>
        </w:tc>
        <w:tc>
          <w:tcPr>
            <w:tcW w:type="dxa" w:w="3384"/>
          </w:tcPr>
          <w:p>
            <w:pPr>
              <w:spacing w:after="40"/>
            </w:pPr>
            <w:r/>
            <w:r>
              <w:rPr>
                <w:rFonts w:ascii="Aptos" w:hAnsi="Aptos"/>
                <w:b w:val="0"/>
                <w:sz w:val="16"/>
              </w:rPr>
              <w:t>/labs or /lab-trends</w:t>
            </w:r>
          </w:p>
        </w:tc>
        <w:tc>
          <w:tcPr>
            <w:tcW w:type="dxa" w:w="5184"/>
          </w:tcPr>
          <w:p>
            <w:pPr>
              <w:spacing w:after="40"/>
            </w:pPr>
            <w:r/>
            <w:r>
              <w:rPr>
                <w:rFonts w:ascii="Aptos" w:hAnsi="Aptos"/>
                <w:b w:val="0"/>
                <w:sz w:val="16"/>
              </w:rPr>
              <w:t>Show a prepared Lab Trends screenshot with the metric and two dates highlighted.</w:t>
            </w:r>
          </w:p>
        </w:tc>
      </w:tr>
      <w:tr>
        <w:tc>
          <w:tcPr>
            <w:tcW w:type="dxa" w:w="1800"/>
            <w:shd w:fill="F5F9FA"/>
          </w:tcPr>
          <w:p>
            <w:pPr>
              <w:spacing w:after="40"/>
            </w:pPr>
            <w:r/>
            <w:r>
              <w:rPr>
                <w:rFonts w:ascii="Aptos" w:hAnsi="Aptos"/>
                <w:b w:val="0"/>
                <w:sz w:val="16"/>
              </w:rPr>
              <w:t>Question answering</w:t>
            </w:r>
          </w:p>
        </w:tc>
        <w:tc>
          <w:tcPr>
            <w:tcW w:type="dxa" w:w="3384"/>
            <w:shd w:fill="F5F9FA"/>
          </w:tcPr>
          <w:p>
            <w:pPr>
              <w:spacing w:after="40"/>
            </w:pPr>
            <w:r/>
            <w:r>
              <w:rPr>
                <w:rFonts w:ascii="Aptos" w:hAnsi="Aptos"/>
                <w:b w:val="0"/>
                <w:sz w:val="16"/>
              </w:rPr>
              <w:t>/ask or /qa</w:t>
            </w:r>
          </w:p>
        </w:tc>
        <w:tc>
          <w:tcPr>
            <w:tcW w:type="dxa" w:w="5184"/>
            <w:shd w:fill="F5F9FA"/>
          </w:tcPr>
          <w:p>
            <w:pPr>
              <w:spacing w:after="40"/>
            </w:pPr>
            <w:r/>
            <w:r>
              <w:rPr>
                <w:rFonts w:ascii="Aptos" w:hAnsi="Aptos"/>
                <w:b w:val="0"/>
                <w:sz w:val="16"/>
              </w:rPr>
              <w:t>Use a screenshot/video of the exact question, cited answer, confidence and disclaimer. Do not fabricate a new answer.</w:t>
            </w:r>
          </w:p>
        </w:tc>
      </w:tr>
      <w:tr>
        <w:tc>
          <w:tcPr>
            <w:tcW w:type="dxa" w:w="1800"/>
          </w:tcPr>
          <w:p>
            <w:pPr>
              <w:spacing w:after="40"/>
            </w:pPr>
            <w:r/>
            <w:r>
              <w:rPr>
                <w:rFonts w:ascii="Aptos" w:hAnsi="Aptos"/>
                <w:b w:val="0"/>
                <w:sz w:val="16"/>
              </w:rPr>
              <w:t>Conversation</w:t>
            </w:r>
          </w:p>
        </w:tc>
        <w:tc>
          <w:tcPr>
            <w:tcW w:type="dxa" w:w="3384"/>
          </w:tcPr>
          <w:p>
            <w:pPr>
              <w:spacing w:after="40"/>
            </w:pPr>
            <w:r/>
            <w:r>
              <w:rPr>
                <w:rFonts w:ascii="Aptos" w:hAnsi="Aptos"/>
                <w:b w:val="0"/>
                <w:sz w:val="16"/>
              </w:rPr>
              <w:t>/conversations or /sessions</w:t>
            </w:r>
          </w:p>
        </w:tc>
        <w:tc>
          <w:tcPr>
            <w:tcW w:type="dxa" w:w="5184"/>
          </w:tcPr>
          <w:p>
            <w:pPr>
              <w:spacing w:after="40"/>
            </w:pPr>
            <w:r/>
            <w:r>
              <w:rPr>
                <w:rFonts w:ascii="Aptos" w:hAnsi="Aptos"/>
                <w:b w:val="0"/>
                <w:sz w:val="16"/>
              </w:rPr>
              <w:t>Explain query rewriting with screenshot; this is optional if time is tight.</w:t>
            </w:r>
          </w:p>
        </w:tc>
      </w:tr>
    </w:tbl>
    <w:p>
      <w:pPr>
        <w:pStyle w:val="Heading2"/>
      </w:pPr>
      <w:r>
        <w:t>If Something Fails During the Presentation</w:t>
      </w:r>
    </w:p>
    <w:p>
      <w:pPr>
        <w:pStyle w:val="ListBullet"/>
        <w:spacing w:after="40"/>
      </w:pPr>
      <w:r>
        <w:t>Upload is slow: “The processing pipeline is still reading this file. To respect the panel’s time, I will switch to this prepared workspace, which contains the same judge dataset after processing.”</w:t>
      </w:r>
    </w:p>
    <w:p>
      <w:pPr>
        <w:pStyle w:val="ListBullet"/>
        <w:spacing w:after="40"/>
      </w:pPr>
      <w:r>
        <w:t>Backend/API is unavailable: show screenshots/video in the same flow order, then explain the live public app and API links are included in the submission.</w:t>
      </w:r>
    </w:p>
    <w:p>
      <w:pPr>
        <w:pStyle w:val="ListBullet"/>
        <w:spacing w:after="40"/>
      </w:pPr>
      <w:r>
        <w:t>Q&amp;A returns low confidence: do not hide it. Say: “This is the safety behaviour we designed for: the system makes uncertainty explicit and asks the user to consult a professional rather than overclaim.”</w:t>
      </w:r>
    </w:p>
    <w:p>
      <w:pPr>
        <w:pStyle w:val="ListBullet"/>
        <w:spacing w:after="40"/>
      </w:pPr>
      <w:r>
        <w:t>Unexpected result differs from rehearsal: read what is visible, show source evidence, and avoid claiming a medical conclusion beyond the screen.</w:t>
      </w:r>
    </w:p>
    <w:p>
      <w:pPr>
        <w:pStyle w:val="Heading1"/>
      </w:pPr>
      <w:r>
        <w:t>E. Technical Explanation in 30 Seconds</w:t>
      </w:r>
    </w:p>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MEMORISE THIS  </w:t>
            </w:r>
            <w:r>
              <w:t>“Documents are parsed into structured clinical facts with a multimodal LLM. Those facts are normalized into a patient timeline. Deterministic code tracks lab values over time, while medicine checks look for duplicates, conflicting instructions, interactions and allergy context. For questions, retrieval selects the most relevant chunks from the uploaded records, and the AI returns a sourced answer with confidence and safety escalation.”</w:t>
            </w:r>
          </w:p>
        </w:tc>
      </w:tr>
    </w:tbl>
    <w:p>
      <w:pPr>
        <w:pStyle w:val="Heading1"/>
      </w:pPr>
      <w:r>
        <w:t>F. Likely Judge Questions — Suggested Answers</w:t>
      </w:r>
    </w:p>
    <w:tbl>
      <w:tblPr>
        <w:tblStyle w:val="TableGrid"/>
        <w:tblW w:type="auto" w:w="0"/>
        <w:jc w:val="center"/>
        <w:tblLook w:firstColumn="1" w:firstRow="1" w:lastColumn="0" w:lastRow="0" w:noHBand="0" w:noVBand="1" w:val="04A0"/>
      </w:tblPr>
      <w:tblGrid>
        <w:gridCol w:w="5184"/>
        <w:gridCol w:w="5184"/>
      </w:tblGrid>
      <w:tr>
        <w:tc>
          <w:tcPr>
            <w:tcW w:type="dxa" w:w="3312"/>
            <w:shd w:fill="17324D"/>
          </w:tcPr>
          <w:p>
            <w:pPr>
              <w:spacing w:after="40"/>
            </w:pPr>
            <w:r/>
            <w:r>
              <w:rPr>
                <w:rFonts w:ascii="Aptos" w:hAnsi="Aptos"/>
                <w:b/>
                <w:color w:val="FFFFFF"/>
                <w:sz w:val="17"/>
              </w:rPr>
              <w:t>Question</w:t>
            </w:r>
          </w:p>
        </w:tc>
        <w:tc>
          <w:tcPr>
            <w:tcW w:type="dxa" w:w="7056"/>
            <w:shd w:fill="17324D"/>
          </w:tcPr>
          <w:p>
            <w:pPr>
              <w:spacing w:after="40"/>
            </w:pPr>
            <w:r/>
            <w:r>
              <w:rPr>
                <w:rFonts w:ascii="Aptos" w:hAnsi="Aptos"/>
                <w:b/>
                <w:color w:val="FFFFFF"/>
                <w:sz w:val="17"/>
              </w:rPr>
              <w:t>Suggested concise response</w:t>
            </w:r>
          </w:p>
        </w:tc>
      </w:tr>
      <w:tr>
        <w:tc>
          <w:tcPr>
            <w:tcW w:type="dxa" w:w="3312"/>
            <w:shd w:fill="F5F9FA"/>
          </w:tcPr>
          <w:p>
            <w:pPr>
              <w:spacing w:after="40"/>
            </w:pPr>
            <w:r/>
            <w:r>
              <w:rPr>
                <w:rFonts w:ascii="Aptos" w:hAnsi="Aptos"/>
                <w:b w:val="0"/>
                <w:sz w:val="16"/>
              </w:rPr>
              <w:t>How is AI central rather than just a chatbot?</w:t>
            </w:r>
          </w:p>
        </w:tc>
        <w:tc>
          <w:tcPr>
            <w:tcW w:type="dxa" w:w="7056"/>
            <w:shd w:fill="F5F9FA"/>
          </w:tcPr>
          <w:p>
            <w:pPr>
              <w:spacing w:after="40"/>
            </w:pPr>
            <w:r/>
            <w:r>
              <w:rPr>
                <w:rFonts w:ascii="Aptos" w:hAnsi="Aptos"/>
                <w:b w:val="0"/>
                <w:sz w:val="16"/>
              </w:rPr>
              <w:t>AI extracts structured medical facts from varied layouts, reasons across visits, and explains sourced evidence. The downstream timeline, checks and Q&amp;A all depend on that structured AI understanding.</w:t>
            </w:r>
          </w:p>
        </w:tc>
      </w:tr>
      <w:tr>
        <w:tc>
          <w:tcPr>
            <w:tcW w:type="dxa" w:w="3312"/>
          </w:tcPr>
          <w:p>
            <w:pPr>
              <w:spacing w:after="40"/>
            </w:pPr>
            <w:r/>
            <w:r>
              <w:rPr>
                <w:rFonts w:ascii="Aptos" w:hAnsi="Aptos"/>
                <w:b w:val="0"/>
                <w:sz w:val="16"/>
              </w:rPr>
              <w:t>How do you reduce hallucinations?</w:t>
            </w:r>
          </w:p>
        </w:tc>
        <w:tc>
          <w:tcPr>
            <w:tcW w:type="dxa" w:w="7056"/>
          </w:tcPr>
          <w:p>
            <w:pPr>
              <w:spacing w:after="40"/>
            </w:pPr>
            <w:r/>
            <w:r>
              <w:rPr>
                <w:rFonts w:ascii="Aptos" w:hAnsi="Aptos"/>
                <w:b w:val="0"/>
                <w:sz w:val="16"/>
              </w:rPr>
              <w:t>We retrieve evidence from the user’s own uploaded record, show source references, expose confidence, and instruct professional consultation for high-risk or low-confidence results. We do not position the app as diagnostic.</w:t>
            </w:r>
          </w:p>
        </w:tc>
      </w:tr>
      <w:tr>
        <w:tc>
          <w:tcPr>
            <w:tcW w:type="dxa" w:w="3312"/>
            <w:shd w:fill="F5F9FA"/>
          </w:tcPr>
          <w:p>
            <w:pPr>
              <w:spacing w:after="40"/>
            </w:pPr>
            <w:r/>
            <w:r>
              <w:rPr>
                <w:rFonts w:ascii="Aptos" w:hAnsi="Aptos"/>
                <w:b w:val="0"/>
                <w:sz w:val="16"/>
              </w:rPr>
              <w:t>How do you handle a poor-quality document?</w:t>
            </w:r>
          </w:p>
        </w:tc>
        <w:tc>
          <w:tcPr>
            <w:tcW w:type="dxa" w:w="7056"/>
            <w:shd w:fill="F5F9FA"/>
          </w:tcPr>
          <w:p>
            <w:pPr>
              <w:spacing w:after="40"/>
            </w:pPr>
            <w:r/>
            <w:r>
              <w:rPr>
                <w:rFonts w:ascii="Aptos" w:hAnsi="Aptos"/>
                <w:b w:val="0"/>
                <w:sz w:val="16"/>
              </w:rPr>
              <w:t>Files are processed independently with progress and failure feedback. A bad file does not discard other successfully processed documents; users can retry or provide a clearer scan.</w:t>
            </w:r>
          </w:p>
        </w:tc>
      </w:tr>
      <w:tr>
        <w:tc>
          <w:tcPr>
            <w:tcW w:type="dxa" w:w="3312"/>
          </w:tcPr>
          <w:p>
            <w:pPr>
              <w:spacing w:after="40"/>
            </w:pPr>
            <w:r/>
            <w:r>
              <w:rPr>
                <w:rFonts w:ascii="Aptos" w:hAnsi="Aptos"/>
                <w:b w:val="0"/>
                <w:sz w:val="16"/>
              </w:rPr>
              <w:t>What is deterministic versus AI-driven?</w:t>
            </w:r>
          </w:p>
        </w:tc>
        <w:tc>
          <w:tcPr>
            <w:tcW w:type="dxa" w:w="7056"/>
          </w:tcPr>
          <w:p>
            <w:pPr>
              <w:spacing w:after="40"/>
            </w:pPr>
            <w:r/>
            <w:r>
              <w:rPr>
                <w:rFonts w:ascii="Aptos" w:hAnsi="Aptos"/>
                <w:b w:val="0"/>
                <w:sz w:val="16"/>
              </w:rPr>
              <w:t>Structured extraction and explanations use the model; lab direction/range checks are computed by a deterministic Python trend engine. Safety uses targeted checks plus contextual AI reasoning.</w:t>
            </w:r>
          </w:p>
        </w:tc>
      </w:tr>
      <w:tr>
        <w:tc>
          <w:tcPr>
            <w:tcW w:type="dxa" w:w="3312"/>
            <w:shd w:fill="F5F9FA"/>
          </w:tcPr>
          <w:p>
            <w:pPr>
              <w:spacing w:after="40"/>
            </w:pPr>
            <w:r/>
            <w:r>
              <w:rPr>
                <w:rFonts w:ascii="Aptos" w:hAnsi="Aptos"/>
                <w:b w:val="0"/>
                <w:sz w:val="16"/>
              </w:rPr>
              <w:t>How is privacy addressed?</w:t>
            </w:r>
          </w:p>
        </w:tc>
        <w:tc>
          <w:tcPr>
            <w:tcW w:type="dxa" w:w="7056"/>
            <w:shd w:fill="F5F9FA"/>
          </w:tcPr>
          <w:p>
            <w:pPr>
              <w:spacing w:after="40"/>
            </w:pPr>
            <w:r/>
            <w:r>
              <w:rPr>
                <w:rFonts w:ascii="Aptos" w:hAnsi="Aptos"/>
                <w:b w:val="0"/>
                <w:sz w:val="16"/>
              </w:rPr>
              <w:t>No account is required for the demo flow. An anonymous browser workspace is issued and subsequent API access is scoped to that user ID; persistent data is segregated by user ID.</w:t>
            </w:r>
          </w:p>
        </w:tc>
      </w:tr>
      <w:tr>
        <w:tc>
          <w:tcPr>
            <w:tcW w:type="dxa" w:w="3312"/>
          </w:tcPr>
          <w:p>
            <w:pPr>
              <w:spacing w:after="40"/>
            </w:pPr>
            <w:r/>
            <w:r>
              <w:rPr>
                <w:rFonts w:ascii="Aptos" w:hAnsi="Aptos"/>
                <w:b w:val="0"/>
                <w:sz w:val="16"/>
              </w:rPr>
              <w:t>What would you add next?</w:t>
            </w:r>
          </w:p>
        </w:tc>
        <w:tc>
          <w:tcPr>
            <w:tcW w:type="dxa" w:w="7056"/>
          </w:tcPr>
          <w:p>
            <w:pPr>
              <w:spacing w:after="40"/>
            </w:pPr>
            <w:r/>
            <w:r>
              <w:rPr>
                <w:rFonts w:ascii="Aptos" w:hAnsi="Aptos"/>
                <w:b w:val="0"/>
                <w:sz w:val="16"/>
              </w:rPr>
              <w:t>Clinical terminology normalization, stronger medication knowledge integrations, human review workflows, multilingual support, and privacy/compliance hardening for production use.</w:t>
            </w:r>
          </w:p>
        </w:tc>
      </w:tr>
    </w:tbl>
    <w:p>
      <w:r>
        <w:br w:type="page"/>
      </w:r>
    </w:p>
    <w:p>
      <w:pPr>
        <w:pStyle w:val="Heading1"/>
      </w:pPr>
      <w:r>
        <w:t>G. Final Presenter Checklist</w:t>
      </w:r>
    </w:p>
    <w:p>
      <w:pPr>
        <w:pStyle w:val="ListBullet"/>
        <w:spacing w:after="40"/>
      </w:pPr>
      <w:r>
        <w:t>Use the judge-provided documents and confirm which exact findings will appear before the demo.</w:t>
      </w:r>
    </w:p>
    <w:p>
      <w:pPr>
        <w:pStyle w:val="ListBullet"/>
        <w:spacing w:after="40"/>
      </w:pPr>
      <w:r>
        <w:t>Keep the demo fresh: use a clean anonymous workspace or preloaded judge-data workspace only.</w:t>
      </w:r>
    </w:p>
    <w:p>
      <w:pPr>
        <w:pStyle w:val="ListBullet"/>
        <w:spacing w:after="40"/>
      </w:pPr>
      <w:r>
        <w:t>Have the public frontend URL ready: https://medimind-murex-nu.vercel.app/</w:t>
      </w:r>
    </w:p>
    <w:p>
      <w:pPr>
        <w:pStyle w:val="ListBullet"/>
        <w:spacing w:after="40"/>
      </w:pPr>
      <w:r>
        <w:t>Have the backend health/API URL ready: https://medimind-20473.containers.snapdeploy.app/ and /docs.</w:t>
      </w:r>
    </w:p>
    <w:p>
      <w:pPr>
        <w:pStyle w:val="ListBullet"/>
        <w:spacing w:after="40"/>
      </w:pPr>
      <w:r>
        <w:t>Keep the Technical Summary PDF, architecture diagram and screenshots accessible offline.</w:t>
      </w:r>
    </w:p>
    <w:p>
      <w:pPr>
        <w:pStyle w:val="ListBullet"/>
        <w:spacing w:after="40"/>
      </w:pPr>
      <w:r>
        <w:t>Rehearse names, dates, medication names, the exact lab trend, confidence score and cited source filenames.</w:t>
      </w:r>
    </w:p>
    <w:p>
      <w:pPr>
        <w:pStyle w:val="ListBullet"/>
        <w:spacing w:after="40"/>
      </w:pPr>
      <w:r>
        <w:t>Do not make diagnostic claims or interpret a safety flag as a confirmed medical outcome.</w:t>
      </w:r>
    </w:p>
    <w:p>
      <w:pPr>
        <w:pStyle w:val="ListBullet"/>
        <w:spacing w:after="40"/>
      </w:pPr>
      <w:r>
        <w:t>End on impact: unified timeline + transparent safety support + doctor/pharmacist escalation.</w:t>
      </w:r>
    </w:p>
    <w:tbl>
      <w:tblPr>
        <w:tblW w:type="auto" w:w="0"/>
        <w:jc w:val="center"/>
        <w:tblLayout w:type="fixed"/>
        <w:tblLook w:firstColumn="1" w:firstRow="1" w:lastColumn="0" w:lastRow="0" w:noHBand="0" w:noVBand="1" w:val="04A0"/>
      </w:tblPr>
      <w:tblGrid>
        <w:gridCol w:w="10080"/>
      </w:tblGrid>
      <w:tr>
        <w:tc>
          <w:tcPr>
            <w:tcW w:type="dxa" w:w="10368"/>
            <w:shd w:fill="F3F6F8"/>
            <w:tcBorders>
              <w:top w:val="single" w:sz="6" w:color="D7E2E8"/>
              <w:left w:val="single" w:sz="6" w:color="D7E2E8"/>
              <w:bottom w:val="single" w:sz="6" w:color="D7E2E8"/>
              <w:right w:val="single" w:sz="6" w:color="D7E2E8"/>
            </w:tcBorders>
            <w:vAlign w:val="center"/>
          </w:tcPr>
          <w:p>
            <w:pPr>
              <w:spacing w:before="336" w:after="336"/>
              <w:jc w:val="center"/>
            </w:pPr>
            <w:r>
              <w:rPr>
                <w:b/>
                <w:color w:val="64748B"/>
                <w:sz w:val="18"/>
              </w:rPr>
              <w:t>[INSERT OPTIONAL SCREENSHOT — exact Ask AI answer with confidence, cited source, and consultation recommendation]</w:t>
            </w:r>
          </w:p>
        </w:tc>
      </w:tr>
    </w:tbl>
    <w:p>
      <w:pPr>
        <w:pStyle w:val="Heading1"/>
      </w:pPr>
      <w:r>
        <w:t>H. Presenter Fill-In Card (print or keep beside your laptop)</w:t>
      </w:r>
    </w:p>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TEAM / PRODUCT  </w:t>
            </w:r>
            <w:r>
              <w:t>“We are [TEAM], and this is MediMind.”</w:t>
            </w:r>
          </w:p>
        </w:tc>
      </w:tr>
    </w:tbl>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ONE SAFETY FLAG  </w:t>
            </w:r>
            <w:r>
              <w:t>“The system flags [EXACT FLAG] because [SOURCE CONTEXT]. The user should consult [doctor/pharmacist].”</w:t>
            </w:r>
          </w:p>
        </w:tc>
      </w:tr>
    </w:tbl>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ONE LAB TREND  </w:t>
            </w:r>
            <w:r>
              <w:t>“[TEST] moved from [VALUE/DATE] to [VALUE/DATE]; the UI shows [EXPLANATION].”</w:t>
            </w:r>
          </w:p>
        </w:tc>
      </w:tr>
    </w:tbl>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ONE Q&amp;A PROOF  </w:t>
            </w:r>
            <w:r>
              <w:t>“Question: [QUESTION]. Confidence: [X%]. Sources: [FILE/PAGE].”</w:t>
            </w:r>
          </w:p>
        </w:tc>
      </w:tr>
    </w:tbl>
    <w:tbl>
      <w:tblPr>
        <w:tblW w:type="auto" w:w="0"/>
        <w:tblLayout w:type="fixed"/>
        <w:tblLook w:firstColumn="1" w:firstRow="1" w:lastColumn="0" w:lastRow="0" w:noHBand="0" w:noVBand="1" w:val="04A0"/>
      </w:tblPr>
      <w:tblGrid>
        <w:gridCol w:w="10368"/>
      </w:tblGrid>
      <w:tr>
        <w:tc>
          <w:tcPr>
            <w:tcW w:type="dxa" w:w="10368"/>
            <w:shd w:fill="EAF4F5"/>
            <w:tcBorders>
              <w:top w:val="single" w:sz="6" w:color="B9DDE1"/>
              <w:left w:val="single" w:sz="6" w:color="B9DDE1"/>
              <w:bottom w:val="single" w:sz="6" w:color="B9DDE1"/>
              <w:right w:val="single" w:sz="6" w:color="B9DDE1"/>
            </w:tcBorders>
          </w:tcPr>
          <w:p>
            <w:pPr>
              <w:spacing w:after="40"/>
            </w:pPr>
            <w:r>
              <w:rPr>
                <w:b/>
                <w:color w:val="17324D"/>
              </w:rPr>
              <w:t xml:space="preserve">CLOSING  </w:t>
            </w:r>
            <w:r>
              <w:t>“MediMind makes fragmented records reviewable, explainable and safer to discuss with a professional.”</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MediMind • Round 1 Submission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MEDIMIND  |  YGC – AI COMPETITION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