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2022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lab5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и создать merge request в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ветке обновить Readme.md с помощью следующих материалов: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UML-диаграммы классов для компонента/модуля, связывающего GUI и бизнес-логику и компонента/модуля GUI (для выбранного технологического стека и паттерна – Controller, Presenter, ViewModel и др.);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UML-диаграмма классов для технологического UI ко всем функциям системы (консольное приложение);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Так же, подготовить программный код в папке src: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Программная реализация технологического UI (избегайте дублирования кода – технологический UI должен работать с тем же компонентом бизнес логики, с которым позже будет работать полноценный GUI);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C84E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F85E56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Mh7oWW6GMmobV9+l8CjsDfZ3VA==">AMUW2mWY1RRPoL58YskGgOD4P/z3GjKIe4jAydGa6ak4GFCKHHASJ3RPCC3Q/r0k/P+dUwMfZcamGnb17sFddbIfwo3CEEyyT1YFH2G8TfkG/2lSnrk2k5l54HnR1ChOPLJ0JVSj8E06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2021-03-11T19:07:00Z</dcterms:created>
  <dc:creator>Бекасов Денис</dc:creator>
</cp:coreProperties>
</file>