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65" w:rsidRPr="002A2FFF" w:rsidRDefault="002A2FFF" w:rsidP="002A2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FFF">
        <w:rPr>
          <w:rFonts w:ascii="Times New Roman" w:hAnsi="Times New Roman" w:cs="Times New Roman"/>
          <w:b/>
          <w:sz w:val="28"/>
          <w:szCs w:val="28"/>
        </w:rPr>
        <w:t>Вопросы к рубежному контролю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Принципиальное отличие представления работы предприятий методом финансовой двойной записи от способов, принятых в технике и естественных науках.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Необходимость расчёта результатов деятельности предприятий в отношениях с собственниками и кредиторами.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Разновидности активов, пассивов и потоков средств в деятельности предприятий.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Последовательность движения средств предприятий от момента создания до расчёта финансово-экономических результатов</w:t>
      </w:r>
      <w:r w:rsidR="00B4763A"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(по модели ориентированного графа со счетами и потоками средств)</w:t>
      </w: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Механизм формирования дебетовых и кредитовых остатков счетов.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Номенклатура счетов с кредитовыми остатками.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Механизм формирования счетов расчётов.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Принципиальные причины равенства сумм дебетовых и кредитовых остатков счетов.</w:t>
      </w:r>
    </w:p>
    <w:p w:rsidR="002A2FFF" w:rsidRPr="00C52F39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Процедура закрытия счетов при расчёте финансово-экономических результатов</w:t>
      </w:r>
      <w:r w:rsidR="00B4763A"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</w:p>
    <w:p w:rsidR="002A2FFF" w:rsidRPr="00C52F39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Причина, по которым в методе финансовой двойной записи не используются отрицательные чи</w:t>
      </w:r>
      <w:bookmarkStart w:id="0" w:name="_GoBack"/>
      <w:bookmarkEnd w:id="0"/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сла.</w:t>
      </w:r>
    </w:p>
    <w:p w:rsidR="002609BC" w:rsidRPr="00C52F39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bookmarkStart w:id="1" w:name="_Hlk115901062"/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Какие средства остаются у предприятия после уплаты налогов, кроме нераспределённой прибыли</w:t>
      </w:r>
      <w:bookmarkEnd w:id="1"/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решений об уплате налогов, когда платить, а когда – нет.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 которым предприятия должны брать средства в долг, и каковы выгоды использования заёмных средств?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условиям должно удовлетворять предприятие, чтобы кредитор предоставил кредит?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больше рискует, кредитор или инвестор, и почему?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Амортизация – это доход или расход?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сценарий функционирования предприятия и возможные причины возникновения дефицита денежных средств в отсутствие убытков.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сценарий функционирования предприятия и возможные причины возникновения убытков в отсутствие дефицита денежных средств.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при расчёте прибыли против выручки записывается</w:t>
      </w:r>
      <w:r w:rsidR="00B47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вся сумма приобретённых основных средств, а лишь её часть- амортизационные отчисления?</w:t>
      </w:r>
    </w:p>
    <w:p w:rsidR="00B4763A" w:rsidRPr="00C52F39" w:rsidRDefault="00B4763A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C52F39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Убыток – это  актив или пассив?</w:t>
      </w:r>
    </w:p>
    <w:sectPr w:rsidR="00B4763A" w:rsidRPr="00C52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A79A9"/>
    <w:multiLevelType w:val="hybridMultilevel"/>
    <w:tmpl w:val="AACAAA18"/>
    <w:lvl w:ilvl="0" w:tplc="E2A212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BD"/>
    <w:rsid w:val="001A14BD"/>
    <w:rsid w:val="002609BC"/>
    <w:rsid w:val="002A2FFF"/>
    <w:rsid w:val="002F0C65"/>
    <w:rsid w:val="00446D3B"/>
    <w:rsid w:val="00B4763A"/>
    <w:rsid w:val="00C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94239-F694-4C78-8F02-FF88D4EF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Arseny Pronin</cp:lastModifiedBy>
  <cp:revision>4</cp:revision>
  <dcterms:created xsi:type="dcterms:W3CDTF">2020-11-29T15:03:00Z</dcterms:created>
  <dcterms:modified xsi:type="dcterms:W3CDTF">2022-10-05T19:34:00Z</dcterms:modified>
</cp:coreProperties>
</file>