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– MANDATOS (PROPIETARIOS) – PUENTEVALL ROOMS SL</w:t>
      </w:r>
    </w:p>
    <w:p>
      <w:pPr>
        <w:pStyle w:val="Heading1"/>
      </w:pPr>
      <w:r>
        <w:t>1. OBJETIVO</w:t>
      </w:r>
    </w:p>
    <w:p>
      <w:r>
        <w:t>Definir el modelo funcional, contractual y contable del módulo de Mandatos (Propietarios) en el ERP EPR 2.0.</w:t>
      </w:r>
    </w:p>
    <w:p>
      <w:pPr>
        <w:pStyle w:val="Heading1"/>
      </w:pPr>
      <w:r>
        <w:t>2. MODELO CONTRACTUAL</w:t>
      </w:r>
    </w:p>
    <w:p>
      <w:r>
        <w:t>La contraparte será PUENTEVALL ROOMS SL.</w:t>
      </w:r>
    </w:p>
    <w:p>
      <w:r>
        <w:t>El contrato es de naturaleza mercantil y no constituye arrendamiento.</w:t>
      </w:r>
    </w:p>
    <w:p>
      <w:r>
        <w:t>El administrador de la sociedad será el firmante del contrato.</w:t>
      </w:r>
    </w:p>
    <w:p>
      <w:pPr>
        <w:pStyle w:val="Heading1"/>
      </w:pPr>
      <w:r>
        <w:t>3. ELEMENTOS CLAVE DEL CONTRATO</w:t>
      </w:r>
    </w:p>
    <w:p>
      <w:r>
        <w:t>Gestión integral del inmueble.</w:t>
      </w:r>
    </w:p>
    <w:p>
      <w:r>
        <w:t>Ingreso mínimo garantizado.</w:t>
      </w:r>
    </w:p>
    <w:p>
      <w:r>
        <w:t>Fianza entregada al propietario.</w:t>
      </w:r>
    </w:p>
    <w:p>
      <w:r>
        <w:t>Duración y prórrogas.</w:t>
      </w:r>
    </w:p>
    <w:p>
      <w:r>
        <w:t>Inversión y mejoras.</w:t>
      </w:r>
    </w:p>
    <w:p>
      <w:r>
        <w:t>Gastos asumidos por cada parte.</w:t>
      </w:r>
    </w:p>
    <w:p>
      <w:pPr>
        <w:pStyle w:val="Heading1"/>
      </w:pPr>
      <w:r>
        <w:t>4. FIANZAS</w:t>
      </w:r>
    </w:p>
    <w:p>
      <w:r>
        <w:t>Se registra fianza entregada al propietario.</w:t>
      </w:r>
    </w:p>
    <w:p>
      <w:r>
        <w:t>No genera CxP ni CxC.</w:t>
      </w:r>
    </w:p>
    <w:p>
      <w:r>
        <w:t>Se registra salida en Bancos.</w:t>
      </w:r>
    </w:p>
    <w:p>
      <w:r>
        <w:t>Se mantiene como activo del operador.</w:t>
      </w:r>
    </w:p>
    <w:p>
      <w:pPr>
        <w:pStyle w:val="Heading1"/>
      </w:pPr>
      <w:r>
        <w:t>5. CONTABILIZACIÓN</w:t>
      </w:r>
    </w:p>
    <w:p>
      <w:r>
        <w:t>Fianza: Dr Fianza entregada / Cr Banco.</w:t>
      </w:r>
    </w:p>
    <w:p>
      <w:r>
        <w:t>Pagos mensuales: Dr CxP propietario / Cr Banco.</w:t>
      </w:r>
    </w:p>
    <w:p>
      <w:r>
        <w:t>Reconocimiento renta: Dr Gasto / Cr CxP.</w:t>
      </w:r>
    </w:p>
    <w:p>
      <w:pPr>
        <w:pStyle w:val="Heading1"/>
      </w:pPr>
      <w:r>
        <w:t>6. DOCUMENTACIÓN</w:t>
      </w:r>
    </w:p>
    <w:p>
      <w:r>
        <w:t>Contrato generado por ERP.</w:t>
      </w:r>
    </w:p>
    <w:p>
      <w:r>
        <w:t>Incluye cláusula RGPD.</w:t>
      </w:r>
    </w:p>
    <w:p>
      <w:r>
        <w:t>Firmado manualmente y escaneado.</w:t>
      </w:r>
    </w:p>
    <w:p>
      <w:r>
        <w:t>Almacenado en bucket con versionado y hash.</w:t>
      </w:r>
    </w:p>
    <w:p>
      <w:pPr>
        <w:pStyle w:val="Heading1"/>
      </w:pPr>
      <w:r>
        <w:t>7. REGLAS</w:t>
      </w:r>
    </w:p>
    <w:p>
      <w:r>
        <w:t>No se permiten pagos sin obligación registrada.</w:t>
      </w:r>
    </w:p>
    <w:p>
      <w:r>
        <w:t>Contrato debe estar firmado para activación.</w:t>
      </w:r>
    </w:p>
    <w:p>
      <w:r>
        <w:t>Debe existir trazabilidad documental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