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y estructuración de propuesta del proyecto de la asignatura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capstone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esta reunión empezamos los lineamientos iniciales de nuestro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de capstone, en donde se decidió iniciar con una aplicación web y mobile de intercambio de bienes entre estudiantes de Duoc UC sede san bernardo, llamado Duoc Swap.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aplicación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define crear una aplicación web capaz de realizar:</w:t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1) Inicio de sesión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, solamente se puede logear con correo DUOC UC.</w:t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2) Página Inicio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 en la cual los usuarios puedan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ver los productos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 que se ofrecen para regalo o cambio.</w:t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3) Opción de búsqueda y filtros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 por categoría para un mejor manejo al momento de seleccionar un producto.</w:t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4) Publicación de producto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, opción de “permuta” o “regalo”, estado y descripción del objeto.</w:t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5 ) “Mach” de intercambios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8"/>
                <w:szCs w:val="18"/>
                <w:rtl w:val="0"/>
              </w:rPr>
              <w:t xml:space="preserve"> y poder seleccionar entre las opciones con cual deseo hacer el intercambio y confirmar el estado de este.</w:t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6 ) Listas de intercambios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, que permita mostrarnos nombre y objeto permutado.</w:t>
            </w:r>
          </w:p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7) Chat para conversaciones entre usuarios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, lo cual permitirá una vez concretado el intercambio ponerse de acuerdo entre los usuarios para hacer más fácil el intercambio</w:t>
            </w:r>
          </w:p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Lenguajes relacionados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HTML – CSS -Javascript – Python - MYSQL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relacionadas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Boostrap – ORACLE SQL Server – Django – Ionic - Android Studio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la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modelación de BBDD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1"/>
        </w:numPr>
        <w:spacing w:after="120" w:lineRule="auto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llEaIKOJEn4Qsk0+0WOuOzZCA==">CgMxLjA4AHIhMTc2T2NSdjhpeWxkOUw2SUswVUVEVWlxVHBzMFlXbzVR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