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6400800" cy="1063625"/>
            <wp:effectExtent b="0" l="0" r="0" t="0"/>
            <wp:docPr id="15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2f5496"/>
          <w:sz w:val="120"/>
          <w:szCs w:val="120"/>
        </w:rPr>
      </w:pPr>
      <w:r w:rsidDel="00000000" w:rsidR="00000000" w:rsidRPr="00000000">
        <w:rPr>
          <w:b w:val="1"/>
          <w:color w:val="2f5496"/>
          <w:sz w:val="120"/>
          <w:szCs w:val="120"/>
          <w:rtl w:val="0"/>
        </w:rPr>
        <w:t xml:space="preserve">DuocSwap</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Profesor:  Ignacio VillaRoel Sanchez </w:t>
      </w:r>
    </w:p>
    <w:p w:rsidR="00000000" w:rsidDel="00000000" w:rsidP="00000000" w:rsidRDefault="00000000" w:rsidRPr="00000000" w14:paraId="0000001D">
      <w:pPr>
        <w:rPr/>
      </w:pPr>
      <w:r w:rsidDel="00000000" w:rsidR="00000000" w:rsidRPr="00000000">
        <w:rPr>
          <w:rtl w:val="0"/>
        </w:rPr>
        <w:t xml:space="preserve">Asignatura: Capstone</w:t>
      </w:r>
    </w:p>
    <w:p w:rsidR="00000000" w:rsidDel="00000000" w:rsidP="00000000" w:rsidRDefault="00000000" w:rsidRPr="00000000" w14:paraId="0000001E">
      <w:pPr>
        <w:rPr/>
      </w:pPr>
      <w:r w:rsidDel="00000000" w:rsidR="00000000" w:rsidRPr="00000000">
        <w:rPr>
          <w:rtl w:val="0"/>
        </w:rPr>
        <w:t xml:space="preserve">Fecha: 14-11-2024</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bookmarkStart w:colFirst="0" w:colLast="0" w:name="_heading=h.147n2zr" w:id="0"/>
      <w:bookmarkEnd w:id="0"/>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rPr>
          <w:b w:val="1"/>
          <w:color w:val="2f5496"/>
          <w:sz w:val="32"/>
          <w:szCs w:val="32"/>
        </w:rPr>
      </w:pPr>
      <w:r w:rsidDel="00000000" w:rsidR="00000000" w:rsidRPr="00000000">
        <w:rPr>
          <w:b w:val="1"/>
          <w:color w:val="2f5496"/>
          <w:sz w:val="32"/>
          <w:szCs w:val="32"/>
          <w:rtl w:val="0"/>
        </w:rPr>
        <w:t xml:space="preserve">Índice</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240" w:line="259" w:lineRule="auto"/>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3rtrt6c9lbn9">
            <w:r w:rsidDel="00000000" w:rsidR="00000000" w:rsidRPr="00000000">
              <w:rPr>
                <w:rFonts w:ascii="Arial" w:cs="Arial" w:eastAsia="Arial" w:hAnsi="Arial"/>
                <w:b w:val="1"/>
                <w:color w:val="000000"/>
                <w:sz w:val="22"/>
                <w:szCs w:val="22"/>
                <w:rtl w:val="0"/>
              </w:rPr>
              <w:t xml:space="preserve">Encabezado 1</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color w:val="000000"/>
              <w:sz w:val="22"/>
              <w:szCs w:val="22"/>
            </w:rPr>
          </w:pPr>
          <w:hyperlink w:anchor="_heading=h.mx6rhsr1u6h2">
            <w:r w:rsidDel="00000000" w:rsidR="00000000" w:rsidRPr="00000000">
              <w:rPr>
                <w:rFonts w:ascii="Arial" w:cs="Arial" w:eastAsia="Arial" w:hAnsi="Arial"/>
                <w:b w:val="1"/>
                <w:color w:val="000000"/>
                <w:sz w:val="22"/>
                <w:szCs w:val="22"/>
                <w:rtl w:val="0"/>
              </w:rPr>
              <w:t xml:space="preserve">Ajustes al Proyecto APT</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color w:val="000000"/>
              <w:sz w:val="22"/>
              <w:szCs w:val="22"/>
            </w:rPr>
          </w:pPr>
          <w:hyperlink w:anchor="_heading=h.mgdg3zjsmh5g">
            <w:r w:rsidDel="00000000" w:rsidR="00000000" w:rsidRPr="00000000">
              <w:rPr>
                <w:rFonts w:ascii="Arial" w:cs="Arial" w:eastAsia="Arial" w:hAnsi="Arial"/>
                <w:b w:val="1"/>
                <w:color w:val="000000"/>
                <w:sz w:val="22"/>
                <w:szCs w:val="22"/>
                <w:rtl w:val="0"/>
              </w:rPr>
              <w:t xml:space="preserve">Metodología Aplicada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color w:val="000000"/>
              <w:sz w:val="22"/>
              <w:szCs w:val="22"/>
            </w:rPr>
          </w:pPr>
          <w:hyperlink w:anchor="_heading=h.z5snc471xgkk">
            <w:r w:rsidDel="00000000" w:rsidR="00000000" w:rsidRPr="00000000">
              <w:rPr>
                <w:rFonts w:ascii="Arial" w:cs="Arial" w:eastAsia="Arial" w:hAnsi="Arial"/>
                <w:b w:val="1"/>
                <w:color w:val="000000"/>
                <w:sz w:val="22"/>
                <w:szCs w:val="22"/>
                <w:rtl w:val="0"/>
              </w:rPr>
              <w:t xml:space="preserve">Evidencias del Avance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color w:val="000000"/>
              <w:sz w:val="22"/>
              <w:szCs w:val="22"/>
            </w:rPr>
          </w:pPr>
          <w:hyperlink w:anchor="_heading=h.9va4fe2petnw">
            <w:r w:rsidDel="00000000" w:rsidR="00000000" w:rsidRPr="00000000">
              <w:rPr>
                <w:rFonts w:ascii="Arial" w:cs="Arial" w:eastAsia="Arial" w:hAnsi="Arial"/>
                <w:b w:val="1"/>
                <w:color w:val="000000"/>
                <w:sz w:val="22"/>
                <w:szCs w:val="22"/>
                <w:rtl w:val="0"/>
              </w:rPr>
              <w:t xml:space="preserve">Cumplimiento de Indicadores de Calidad</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color w:val="000000"/>
              <w:sz w:val="22"/>
              <w:szCs w:val="22"/>
            </w:rPr>
          </w:pPr>
          <w:hyperlink w:anchor="_heading=h.u665taz1qntc">
            <w:r w:rsidDel="00000000" w:rsidR="00000000" w:rsidRPr="00000000">
              <w:rPr>
                <w:rFonts w:ascii="Arial" w:cs="Arial" w:eastAsia="Arial" w:hAnsi="Arial"/>
                <w:b w:val="1"/>
                <w:color w:val="000000"/>
                <w:sz w:val="22"/>
                <w:szCs w:val="22"/>
                <w:rtl w:val="0"/>
              </w:rPr>
              <w:t xml:space="preserve">Conclusiones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color w:val="000000"/>
              <w:sz w:val="22"/>
              <w:szCs w:val="22"/>
            </w:rPr>
          </w:pPr>
          <w:hyperlink w:anchor="_heading=h.g42xcyb2vqe6">
            <w:r w:rsidDel="00000000" w:rsidR="00000000" w:rsidRPr="00000000">
              <w:rPr>
                <w:rFonts w:ascii="Arial" w:cs="Arial" w:eastAsia="Arial" w:hAnsi="Arial"/>
                <w:b w:val="1"/>
                <w:color w:val="000000"/>
                <w:sz w:val="22"/>
                <w:szCs w:val="22"/>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heading=h.3rtrt6c9lbn9" w:id="1"/>
      <w:bookmarkEnd w:id="1"/>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jc w:val="center"/>
        <w:rPr>
          <w:b w:val="1"/>
        </w:rPr>
      </w:pPr>
      <w:r w:rsidDel="00000000" w:rsidR="00000000" w:rsidRPr="00000000">
        <w:rPr>
          <w:rtl w:val="0"/>
        </w:rPr>
      </w:r>
    </w:p>
    <w:p w:rsidR="00000000" w:rsidDel="00000000" w:rsidP="00000000" w:rsidRDefault="00000000" w:rsidRPr="00000000" w14:paraId="00000031">
      <w:pPr>
        <w:pStyle w:val="Title"/>
        <w:spacing w:line="360" w:lineRule="auto"/>
        <w:jc w:val="center"/>
        <w:rPr/>
      </w:pPr>
      <w:bookmarkStart w:colFirst="0" w:colLast="0" w:name="_heading=h.9pulonswnety" w:id="2"/>
      <w:bookmarkEnd w:id="2"/>
      <w:r w:rsidDel="00000000" w:rsidR="00000000" w:rsidRPr="00000000">
        <w:rPr>
          <w:rtl w:val="0"/>
        </w:rPr>
        <w:t xml:space="preserve">Evaluación Formativa Fase 2 - Informe de Avance del Proyecto APT</w:t>
      </w:r>
    </w:p>
    <w:p w:rsidR="00000000" w:rsidDel="00000000" w:rsidP="00000000" w:rsidRDefault="00000000" w:rsidRPr="00000000" w14:paraId="00000032">
      <w:pPr>
        <w:spacing w:line="360" w:lineRule="auto"/>
        <w:jc w:val="center"/>
        <w:rPr>
          <w:b w:val="1"/>
        </w:rPr>
      </w:pP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heading=h.mx6rhsr1u6h2" w:id="3"/>
      <w:bookmarkEnd w:id="3"/>
      <w:r w:rsidDel="00000000" w:rsidR="00000000" w:rsidRPr="00000000">
        <w:rPr>
          <w:rtl w:val="0"/>
        </w:rPr>
        <w:t xml:space="preserve">Ajustes al Proyecto APT</w:t>
      </w:r>
    </w:p>
    <w:p w:rsidR="00000000" w:rsidDel="00000000" w:rsidP="00000000" w:rsidRDefault="00000000" w:rsidRPr="00000000" w14:paraId="00000034">
      <w:pPr>
        <w:spacing w:after="240" w:before="240" w:line="360" w:lineRule="auto"/>
        <w:rPr/>
      </w:pPr>
      <w:r w:rsidDel="00000000" w:rsidR="00000000" w:rsidRPr="00000000">
        <w:rPr>
          <w:rtl w:val="0"/>
        </w:rPr>
        <w:t xml:space="preserve">Hasta ahora, el proyecto DuocSwap,  ha seguido en gran medida el plan trazado, aunque hemos tenido que realizar ajustes importantes, especialmente con la actualización de los modelos de la base de datos de MariaDB, Este cambio ha planteado desafíos en la coordinación del equipo y distribución de tareas. Para abordarlos, hemos redistribuido el trabajo entre los miembros del equipo, lo cual ha mejorado la eficiencia y evitado demoras en las etapas críticas del proyecto. Además, hemos tomado en cuenta las sugerencias de la docente y ajustado las fechas de entrega de algunos módulos, como la autenticación y pruebas de seguridad, asegurándonos de cumplir con los estándares de calidad. Estos cambios nos han permitido un avance más firme y fluido en el desarrollo de la plataforma.</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40" w:line="360" w:lineRule="auto"/>
        <w:rPr>
          <w:b w:val="1"/>
          <w:color w:val="2f5496"/>
          <w:sz w:val="32"/>
          <w:szCs w:val="32"/>
        </w:rPr>
      </w:pPr>
      <w:bookmarkStart w:colFirst="0" w:colLast="0" w:name="_heading=h.n0e3zgf29jqd" w:id="4"/>
      <w:bookmarkEnd w:id="4"/>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heading=h.mgdg3zjsmh5g" w:id="5"/>
      <w:bookmarkEnd w:id="5"/>
      <w:r w:rsidDel="00000000" w:rsidR="00000000" w:rsidRPr="00000000">
        <w:rPr>
          <w:rtl w:val="0"/>
        </w:rPr>
        <w:t xml:space="preserve">Metodología Aplicada</w:t>
      </w:r>
    </w:p>
    <w:p w:rsidR="00000000" w:rsidDel="00000000" w:rsidP="00000000" w:rsidRDefault="00000000" w:rsidRPr="00000000" w14:paraId="00000038">
      <w:pPr>
        <w:pStyle w:val="Heading1"/>
        <w:spacing w:line="36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A lo largo del proceso, hemos seguido una metodología tradicional que ha facilitado una estructura clara y ordenada. Este enfoque ha sido fundamental para asegurar que cada fase del proyecto, desde el diseño hasta la implementación, se completara de manera organizada. Sin embargo, hemos aprendido a ser flexibles y a realizar ajustes en la distribución de tareas y plazos según los desafíos presentados, como la migración de la base de datos.</w:t>
      </w:r>
      <w:r w:rsidDel="00000000" w:rsidR="00000000" w:rsidRPr="00000000">
        <w:rPr>
          <w:rtl w:val="0"/>
        </w:rPr>
      </w:r>
    </w:p>
    <w:p w:rsidR="00000000" w:rsidDel="00000000" w:rsidP="00000000" w:rsidRDefault="00000000" w:rsidRPr="00000000" w14:paraId="00000039">
      <w:pPr>
        <w:pStyle w:val="Heading1"/>
        <w:spacing w:line="360" w:lineRule="auto"/>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3A">
      <w:pPr>
        <w:pStyle w:val="Heading1"/>
        <w:spacing w:line="360" w:lineRule="auto"/>
        <w:rPr/>
      </w:pPr>
      <w:r w:rsidDel="00000000" w:rsidR="00000000" w:rsidRPr="00000000">
        <w:rPr>
          <w:rtl w:val="0"/>
        </w:rPr>
        <w:t xml:space="preserve">Evidencias del Avance del Proyecto</w:t>
      </w:r>
    </w:p>
    <w:p w:rsidR="00000000" w:rsidDel="00000000" w:rsidP="00000000" w:rsidRDefault="00000000" w:rsidRPr="00000000" w14:paraId="0000003B">
      <w:pPr>
        <w:spacing w:after="240" w:before="240" w:line="360" w:lineRule="auto"/>
        <w:rPr/>
      </w:pPr>
      <w:r w:rsidDel="00000000" w:rsidR="00000000" w:rsidRPr="00000000">
        <w:rPr>
          <w:rtl w:val="0"/>
        </w:rPr>
        <w:t xml:space="preserve">Hasta el momento, hemos documentado y completado los siguientes elementos clave:</w:t>
      </w:r>
    </w:p>
    <w:p w:rsidR="00000000" w:rsidDel="00000000" w:rsidP="00000000" w:rsidRDefault="00000000" w:rsidRPr="00000000" w14:paraId="0000003C">
      <w:pPr>
        <w:numPr>
          <w:ilvl w:val="0"/>
          <w:numId w:val="1"/>
        </w:numPr>
        <w:spacing w:after="0" w:afterAutospacing="0" w:before="240" w:line="360" w:lineRule="auto"/>
        <w:ind w:left="720" w:hanging="360"/>
        <w:rPr>
          <w:b w:val="1"/>
        </w:rPr>
      </w:pPr>
      <w:r w:rsidDel="00000000" w:rsidR="00000000" w:rsidRPr="00000000">
        <w:rPr>
          <w:b w:val="1"/>
          <w:rtl w:val="0"/>
        </w:rPr>
        <w:t xml:space="preserve">Documentación de Requerimientos:</w:t>
      </w:r>
      <w:r w:rsidDel="00000000" w:rsidR="00000000" w:rsidRPr="00000000">
        <w:rPr>
          <w:rtl w:val="0"/>
        </w:rPr>
        <w:t xml:space="preserve"> Se han definido los requerimientos necesarios, alineados con las necesidades del usuario y objetivos del proyecto.</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Casos de Uso:</w:t>
      </w:r>
      <w:r w:rsidDel="00000000" w:rsidR="00000000" w:rsidRPr="00000000">
        <w:rPr>
          <w:rtl w:val="0"/>
        </w:rPr>
        <w:t xml:space="preserve"> Casos de uso detallados que definen las interacciones entre usuarios y sistema.</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Mockups:</w:t>
      </w:r>
      <w:r w:rsidDel="00000000" w:rsidR="00000000" w:rsidRPr="00000000">
        <w:rPr>
          <w:rtl w:val="0"/>
        </w:rPr>
        <w:t xml:space="preserve"> Diseños preliminares de la interfaz que facilitan la retroalimentación sobre la experiencia de usuario.</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Acta de Constitución del Proyecto:</w:t>
      </w:r>
      <w:r w:rsidDel="00000000" w:rsidR="00000000" w:rsidRPr="00000000">
        <w:rPr>
          <w:rtl w:val="0"/>
        </w:rPr>
        <w:t xml:space="preserve"> Formaliza el alcance, los objetivos y las partes involucradas.</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Informes de ERS y DAS:</w:t>
      </w:r>
      <w:r w:rsidDel="00000000" w:rsidR="00000000" w:rsidRPr="00000000">
        <w:rPr>
          <w:rtl w:val="0"/>
        </w:rPr>
        <w:t xml:space="preserve"> Informes de especificación de requerimientos y diseño de arquitectura, brindando una base estructurada.</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Diagramas de Actividad y de Secuencia:</w:t>
      </w:r>
      <w:r w:rsidDel="00000000" w:rsidR="00000000" w:rsidRPr="00000000">
        <w:rPr>
          <w:rtl w:val="0"/>
        </w:rPr>
        <w:t xml:space="preserve"> Representan flujos de trabajo y la interacción entre los componentes del sistema.</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Modelo Relacional de Base de Datos: </w:t>
      </w:r>
      <w:r w:rsidDel="00000000" w:rsidR="00000000" w:rsidRPr="00000000">
        <w:rPr>
          <w:rtl w:val="0"/>
        </w:rPr>
        <w:t xml:space="preserve">Estructura y relaciones de la base de datos, asegurando integridad y eficiencia.</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Modelo de Clases: </w:t>
      </w:r>
      <w:r w:rsidDel="00000000" w:rsidR="00000000" w:rsidRPr="00000000">
        <w:rPr>
          <w:rtl w:val="0"/>
        </w:rPr>
        <w:t xml:space="preserve">Representa las entidades y relaciones en el sistema, siguiendo un diseño orientado a objetos.</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Diagramas de Componentes y Despliegue:</w:t>
      </w:r>
      <w:r w:rsidDel="00000000" w:rsidR="00000000" w:rsidRPr="00000000">
        <w:rPr>
          <w:rtl w:val="0"/>
        </w:rPr>
        <w:t xml:space="preserve"> Muestran la organización y disposición de los componentes en la infraestructura.</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b w:val="1"/>
        </w:rPr>
      </w:pPr>
      <w:r w:rsidDel="00000000" w:rsidR="00000000" w:rsidRPr="00000000">
        <w:rPr>
          <w:b w:val="1"/>
          <w:rtl w:val="0"/>
        </w:rPr>
        <w:t xml:space="preserve">Matriz RACI y Matriz de Riesgo:</w:t>
      </w:r>
      <w:r w:rsidDel="00000000" w:rsidR="00000000" w:rsidRPr="00000000">
        <w:rPr>
          <w:rtl w:val="0"/>
        </w:rPr>
        <w:t xml:space="preserve"> Define responsabilidades y estrategias de mitigación de riesgos.</w:t>
      </w:r>
    </w:p>
    <w:p w:rsidR="00000000" w:rsidDel="00000000" w:rsidP="00000000" w:rsidRDefault="00000000" w:rsidRPr="00000000" w14:paraId="00000046">
      <w:pPr>
        <w:numPr>
          <w:ilvl w:val="0"/>
          <w:numId w:val="1"/>
        </w:numPr>
        <w:spacing w:after="240" w:before="0" w:beforeAutospacing="0" w:line="360" w:lineRule="auto"/>
        <w:ind w:left="720" w:hanging="360"/>
        <w:rPr>
          <w:b w:val="1"/>
        </w:rPr>
      </w:pPr>
      <w:r w:rsidDel="00000000" w:rsidR="00000000" w:rsidRPr="00000000">
        <w:rPr>
          <w:b w:val="1"/>
          <w:rtl w:val="0"/>
        </w:rPr>
        <w:t xml:space="preserve">Carta Gantt: </w:t>
      </w:r>
      <w:r w:rsidDel="00000000" w:rsidR="00000000" w:rsidRPr="00000000">
        <w:rPr>
          <w:rtl w:val="0"/>
        </w:rPr>
        <w:t xml:space="preserve">Progreso del proyecto dentro del tiempo estimado.</w:t>
      </w:r>
    </w:p>
    <w:p w:rsidR="00000000" w:rsidDel="00000000" w:rsidP="00000000" w:rsidRDefault="00000000" w:rsidRPr="00000000" w14:paraId="00000047">
      <w:pPr>
        <w:spacing w:after="240" w:before="240" w:line="360" w:lineRule="auto"/>
        <w:ind w:left="720" w:firstLine="0"/>
        <w:rPr/>
      </w:pPr>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heading=h.9va4fe2petnw" w:id="6"/>
      <w:bookmarkEnd w:id="6"/>
      <w:r w:rsidDel="00000000" w:rsidR="00000000" w:rsidRPr="00000000">
        <w:rPr>
          <w:rtl w:val="0"/>
        </w:rPr>
        <w:t xml:space="preserve">Cumplimiento de Indicadores de Calidad</w:t>
      </w:r>
    </w:p>
    <w:p w:rsidR="00000000" w:rsidDel="00000000" w:rsidP="00000000" w:rsidRDefault="00000000" w:rsidRPr="00000000" w14:paraId="00000049">
      <w:pPr>
        <w:spacing w:after="240" w:before="240" w:line="360" w:lineRule="auto"/>
        <w:rPr/>
      </w:pPr>
      <w:r w:rsidDel="00000000" w:rsidR="00000000" w:rsidRPr="00000000">
        <w:rPr>
          <w:rtl w:val="0"/>
        </w:rPr>
        <w:t xml:space="preserve">El informe se ajusta a los indicadores de calidad requeridos para la presentación de este avance. Todas las secciones se redactaron siguiendo normas ortográficas y técnicas de redacción, y la documentación técnica se presenta organizada. El sistema está diseñado para satisfacer los requisitos de escalabilidad, seguridad y eficiencia, elementos esenciales para el éxito del proyecto.</w:t>
      </w:r>
    </w:p>
    <w:p w:rsidR="00000000" w:rsidDel="00000000" w:rsidP="00000000" w:rsidRDefault="00000000" w:rsidRPr="00000000" w14:paraId="0000004A">
      <w:pPr>
        <w:pStyle w:val="Heading1"/>
        <w:spacing w:line="360" w:lineRule="auto"/>
        <w:rPr/>
      </w:pPr>
      <w:bookmarkStart w:colFirst="0" w:colLast="0" w:name="_heading=h.u665taz1qntc" w:id="7"/>
      <w:bookmarkEnd w:id="7"/>
      <w:r w:rsidDel="00000000" w:rsidR="00000000" w:rsidRPr="00000000">
        <w:rPr>
          <w:rtl w:val="0"/>
        </w:rPr>
        <w:t xml:space="preserve">Conclusiones</w:t>
      </w:r>
    </w:p>
    <w:p w:rsidR="00000000" w:rsidDel="00000000" w:rsidP="00000000" w:rsidRDefault="00000000" w:rsidRPr="00000000" w14:paraId="0000004B">
      <w:pPr>
        <w:spacing w:after="240" w:before="240" w:line="360" w:lineRule="auto"/>
        <w:rPr/>
      </w:pPr>
      <w:r w:rsidDel="00000000" w:rsidR="00000000" w:rsidRPr="00000000">
        <w:rPr>
          <w:rtl w:val="0"/>
        </w:rPr>
        <w:t xml:space="preserve">El desarrollo del proyecto DuocSwap ha sido una experiencia de aprendizaje muy valiosa. He aprendido que, si bien una buena planificación es fundamental, también lo es la flexibilidad frente a situaciones imprevistas. Los desafíos en la gestión del tiempo y la coordinación del equipo no siempre han sido fáciles, pero han reforzado nuestras estrategias de trabajo en equipo. Al redistribuir tareas y ajustar los plazos, logramos mantener el ritmo y cumplir los objetivos propuestos. La arquitectura modular que implementamos ha sido clave para avanzar de manera efectiva, aunque aún hay áreas que necesitan optimización, como la gestión de transacciones y la experiencia del usuario. Espero con entusiasmo los próximos retos y continuar aportando al éxito de DuocSwap.</w:t>
      </w:r>
    </w:p>
    <w:p w:rsidR="00000000" w:rsidDel="00000000" w:rsidP="00000000" w:rsidRDefault="00000000" w:rsidRPr="00000000" w14:paraId="0000004C">
      <w:pPr>
        <w:pStyle w:val="Heading1"/>
        <w:spacing w:line="360" w:lineRule="auto"/>
        <w:rPr/>
      </w:pPr>
      <w:bookmarkStart w:colFirst="0" w:colLast="0" w:name="_heading=h.kswxzqoq6d9i" w:id="8"/>
      <w:bookmarkEnd w:id="8"/>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heading=h.g42xcyb2vqe6" w:id="9"/>
      <w:bookmarkEnd w:id="9"/>
      <w:r w:rsidDel="00000000" w:rsidR="00000000" w:rsidRPr="00000000">
        <w:rPr>
          <w:rtl w:val="0"/>
        </w:rPr>
        <w:t xml:space="preserve">Reflexión Individuales</w:t>
      </w:r>
    </w:p>
    <w:p w:rsidR="00000000" w:rsidDel="00000000" w:rsidP="00000000" w:rsidRDefault="00000000" w:rsidRPr="00000000" w14:paraId="0000004E">
      <w:pPr>
        <w:spacing w:after="240" w:before="240" w:line="360" w:lineRule="auto"/>
        <w:rPr>
          <w:b w:val="1"/>
          <w:sz w:val="22"/>
          <w:szCs w:val="22"/>
        </w:rPr>
      </w:pPr>
      <w:r w:rsidDel="00000000" w:rsidR="00000000" w:rsidRPr="00000000">
        <w:rPr>
          <w:rtl w:val="0"/>
        </w:rPr>
        <w:t xml:space="preserve">Durante esta fase, he aprendido la importancia de mantener una comunicación constante y clara con el equipo. Los imprevistos nos han impulsado a adaptarnos y modificar los planes según fuera necesario. Además, trabajar con una arquitectura modular me ha dado una nueva perspectiva sobre la fragmentación del proyecto en partes manejables, lo cual ha sido esencial para avanzar en el desarrollo. Estoy ansioso por aplicar lo aprendido en las siguientes etapas del proyecto.</w:t>
      </w:r>
      <w:r w:rsidDel="00000000" w:rsidR="00000000" w:rsidRPr="00000000">
        <w:rPr>
          <w:rtl w:val="0"/>
        </w:rPr>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-609653</wp:posOffset>
          </wp:positionV>
          <wp:extent cx="2566035" cy="426085"/>
          <wp:effectExtent b="0" l="0" r="0" t="0"/>
          <wp:wrapSquare wrapText="bothSides" distB="0" distT="0" distL="114300" distR="114300"/>
          <wp:docPr id="15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rPr>
  </w:style>
  <w:style w:type="paragraph" w:styleId="Sinespaciado">
    <w:name w:val="No Spacing"/>
    <w:link w:val="SinespaciadoCar"/>
    <w:uiPriority w:val="1"/>
    <w:qFormat w:val="1"/>
    <w:rsid w:val="00615A35"/>
    <w:rPr>
      <w:rFonts w:ascii="Arial" w:cs="Times New Roman" w:hAnsi="Arial"/>
      <w:szCs w:val="22"/>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left w:w="108.0" w:type="dxa"/>
        <w:right w:w="108.0" w:type="dxa"/>
      </w:tblCellMar>
    </w:tblPr>
  </w:style>
  <w:style w:type="table" w:styleId="a0" w:customStyle="1">
    <w:basedOn w:val="TableNormal6"/>
    <w:tblPr>
      <w:tblStyleRowBandSize w:val="1"/>
      <w:tblStyleColBandSize w:val="1"/>
      <w:tblCellMar>
        <w:left w:w="115.0" w:type="dxa"/>
        <w:right w:w="115.0" w:type="dxa"/>
      </w:tblCellMar>
    </w:tblPr>
  </w:style>
  <w:style w:type="table" w:styleId="a1" w:customStyle="1">
    <w:basedOn w:val="TableNormal6"/>
    <w:tblPr>
      <w:tblStyleRowBandSize w:val="1"/>
      <w:tblStyleColBandSize w:val="1"/>
      <w:tblCellMar>
        <w:left w:w="115.0" w:type="dxa"/>
        <w:right w:w="115.0" w:type="dxa"/>
      </w:tblCellMar>
    </w:tblPr>
  </w:style>
  <w:style w:type="table" w:styleId="a2" w:customStyle="1">
    <w:basedOn w:val="TableNormal6"/>
    <w:tblPr>
      <w:tblStyleRowBandSize w:val="1"/>
      <w:tblStyleColBandSize w:val="1"/>
      <w:tblCellMar>
        <w:left w:w="115.0" w:type="dxa"/>
        <w:right w:w="115.0" w:type="dxa"/>
      </w:tblCellMar>
    </w:tblPr>
  </w:style>
  <w:style w:type="table" w:styleId="a3" w:customStyle="1">
    <w:basedOn w:val="TableNormal6"/>
    <w:tblPr>
      <w:tblStyleRowBandSize w:val="1"/>
      <w:tblStyleColBandSize w:val="1"/>
      <w:tblCellMar>
        <w:left w:w="115.0" w:type="dxa"/>
        <w:right w:w="115.0" w:type="dxa"/>
      </w:tblCellMar>
    </w:tblPr>
  </w:style>
  <w:style w:type="table" w:styleId="a4" w:customStyle="1">
    <w:basedOn w:val="TableNormal6"/>
    <w:tblPr>
      <w:tblStyleRowBandSize w:val="1"/>
      <w:tblStyleColBandSize w:val="1"/>
      <w:tblCellMar>
        <w:left w:w="115.0" w:type="dxa"/>
        <w:right w:w="115.0" w:type="dxa"/>
      </w:tblCellMar>
    </w:tblPr>
  </w:style>
  <w:style w:type="table" w:styleId="a5" w:customStyle="1">
    <w:basedOn w:val="TableNormal6"/>
    <w:tblPr>
      <w:tblStyleRowBandSize w:val="1"/>
      <w:tblStyleColBandSize w:val="1"/>
      <w:tblCellMar>
        <w:left w:w="108.0" w:type="dxa"/>
        <w:right w:w="108.0" w:type="dxa"/>
      </w:tblCellMar>
    </w:tblPr>
  </w:style>
  <w:style w:type="table" w:styleId="a6" w:customStyle="1">
    <w:basedOn w:val="TableNormal6"/>
    <w:tblPr>
      <w:tblStyleRowBandSize w:val="1"/>
      <w:tblStyleColBandSize w:val="1"/>
      <w:tblCellMar>
        <w:left w:w="108.0" w:type="dxa"/>
        <w:right w:w="108.0" w:type="dxa"/>
      </w:tblCellMar>
    </w:tblPr>
  </w:style>
  <w:style w:type="table" w:styleId="a7" w:customStyle="1">
    <w:basedOn w:val="TableNormal6"/>
    <w:tblPr>
      <w:tblStyleRowBandSize w:val="1"/>
      <w:tblStyleColBandSize w:val="1"/>
      <w:tblCellMar>
        <w:left w:w="108.0" w:type="dxa"/>
        <w:right w:w="108.0" w:type="dxa"/>
      </w:tblCellMar>
    </w:tblPr>
  </w:style>
  <w:style w:type="table" w:styleId="a8" w:customStyle="1">
    <w:basedOn w:val="TableNormal6"/>
    <w:tblPr>
      <w:tblStyleRowBandSize w:val="1"/>
      <w:tblStyleColBandSize w:val="1"/>
      <w:tblCellMar>
        <w:left w:w="108.0" w:type="dxa"/>
        <w:right w:w="108.0" w:type="dxa"/>
      </w:tblCellMar>
    </w:tblPr>
  </w:style>
  <w:style w:type="table" w:styleId="a9" w:customStyle="1">
    <w:basedOn w:val="TableNormal6"/>
    <w:tblPr>
      <w:tblStyleRowBandSize w:val="1"/>
      <w:tblStyleColBandSize w:val="1"/>
      <w:tblCellMar>
        <w:left w:w="115.0" w:type="dxa"/>
        <w:right w:w="115.0" w:type="dxa"/>
      </w:tblCellMar>
    </w:tblPr>
  </w:style>
  <w:style w:type="table" w:styleId="aa" w:customStyle="1">
    <w:basedOn w:val="TableNormal6"/>
    <w:tblPr>
      <w:tblStyleRowBandSize w:val="1"/>
      <w:tblStyleColBandSize w:val="1"/>
      <w:tblCellMar>
        <w:left w:w="115.0" w:type="dxa"/>
        <w:right w:w="115.0" w:type="dxa"/>
      </w:tblCellMar>
    </w:tblPr>
  </w:style>
  <w:style w:type="table" w:styleId="ab" w:customStyle="1">
    <w:basedOn w:val="TableNormal6"/>
    <w:tblPr>
      <w:tblStyleRowBandSize w:val="1"/>
      <w:tblStyleColBandSize w:val="1"/>
      <w:tblCellMar>
        <w:left w:w="115.0" w:type="dxa"/>
        <w:right w:w="115.0" w:type="dxa"/>
      </w:tblCellMar>
    </w:tblPr>
  </w:style>
  <w:style w:type="table" w:styleId="ac" w:customStyle="1">
    <w:basedOn w:val="TableNormal6"/>
    <w:tblPr>
      <w:tblStyleRowBandSize w:val="1"/>
      <w:tblStyleColBandSize w:val="1"/>
      <w:tblCellMar>
        <w:left w:w="115.0" w:type="dxa"/>
        <w:right w:w="115.0" w:type="dxa"/>
      </w:tblCellMar>
    </w:tblPr>
  </w:style>
  <w:style w:type="table" w:styleId="ad" w:customStyle="1">
    <w:basedOn w:val="TableNormal6"/>
    <w:tblPr>
      <w:tblStyleRowBandSize w:val="1"/>
      <w:tblStyleColBandSize w:val="1"/>
      <w:tblCellMar>
        <w:left w:w="108.0" w:type="dxa"/>
        <w:right w:w="108.0" w:type="dxa"/>
      </w:tblCellMar>
    </w:tblPr>
  </w:style>
  <w:style w:type="table" w:styleId="ae" w:customStyle="1">
    <w:basedOn w:val="TableNormal6"/>
    <w:tblPr>
      <w:tblStyleRowBandSize w:val="1"/>
      <w:tblStyleColBandSize w:val="1"/>
      <w:tblCellMar>
        <w:left w:w="108.0" w:type="dxa"/>
        <w:right w:w="108.0" w:type="dxa"/>
      </w:tblCellMar>
    </w:tblPr>
  </w:style>
  <w:style w:type="table" w:styleId="af" w:customStyle="1">
    <w:basedOn w:val="TableNormal6"/>
    <w:tblPr>
      <w:tblStyleRowBandSize w:val="1"/>
      <w:tblStyleColBandSize w:val="1"/>
      <w:tblCellMar>
        <w:left w:w="108.0" w:type="dxa"/>
        <w:right w:w="108.0" w:type="dxa"/>
      </w:tblCellMar>
    </w:tblPr>
  </w:style>
  <w:style w:type="table" w:styleId="af0" w:customStyle="1">
    <w:basedOn w:val="TableNormal6"/>
    <w:tblPr>
      <w:tblStyleRowBandSize w:val="1"/>
      <w:tblStyleColBandSize w:val="1"/>
      <w:tblCellMar>
        <w:left w:w="108.0" w:type="dxa"/>
        <w:right w:w="108.0" w:type="dxa"/>
      </w:tblCellMar>
    </w:tblPr>
  </w:style>
  <w:style w:type="table" w:styleId="af1" w:customStyle="1">
    <w:basedOn w:val="TableNormal6"/>
    <w:tblPr>
      <w:tblStyleRowBandSize w:val="1"/>
      <w:tblStyleColBandSize w:val="1"/>
      <w:tblCellMar>
        <w:left w:w="108.0" w:type="dxa"/>
        <w:right w:w="108.0" w:type="dxa"/>
      </w:tblCellMar>
    </w:tblPr>
  </w:style>
  <w:style w:type="table" w:styleId="af2" w:customStyle="1">
    <w:basedOn w:val="TableNormal6"/>
    <w:tblPr>
      <w:tblStyleRowBandSize w:val="1"/>
      <w:tblStyleColBandSize w:val="1"/>
      <w:tblCellMar>
        <w:left w:w="108.0" w:type="dxa"/>
        <w:right w:w="108.0" w:type="dxa"/>
      </w:tblCellMar>
    </w:tblPr>
  </w:style>
  <w:style w:type="table" w:styleId="af3" w:customStyle="1">
    <w:basedOn w:val="TableNormal6"/>
    <w:tblPr>
      <w:tblStyleRowBandSize w:val="1"/>
      <w:tblStyleColBandSize w:val="1"/>
      <w:tblCellMar>
        <w:left w:w="108.0" w:type="dxa"/>
        <w:right w:w="108.0" w:type="dxa"/>
      </w:tblCellMar>
    </w:tblPr>
  </w:style>
  <w:style w:type="table" w:styleId="af4" w:customStyle="1">
    <w:basedOn w:val="TableNormal6"/>
    <w:tblPr>
      <w:tblStyleRowBandSize w:val="1"/>
      <w:tblStyleColBandSize w:val="1"/>
      <w:tblCellMar>
        <w:left w:w="108.0" w:type="dxa"/>
        <w:right w:w="108.0" w:type="dxa"/>
      </w:tblCellMar>
    </w:tblPr>
  </w:style>
  <w:style w:type="table" w:styleId="af5" w:customStyle="1">
    <w:basedOn w:val="TableNormal6"/>
    <w:tblPr>
      <w:tblStyleRowBandSize w:val="1"/>
      <w:tblStyleColBandSize w:val="1"/>
      <w:tblCellMar>
        <w:left w:w="108.0" w:type="dxa"/>
        <w:right w:w="108.0" w:type="dxa"/>
      </w:tblCellMar>
    </w:tblPr>
  </w:style>
  <w:style w:type="table" w:styleId="af6" w:customStyle="1">
    <w:basedOn w:val="TableNormal6"/>
    <w:tblPr>
      <w:tblStyleRowBandSize w:val="1"/>
      <w:tblStyleColBandSize w:val="1"/>
      <w:tblCellMar>
        <w:left w:w="108.0" w:type="dxa"/>
        <w:right w:w="108.0" w:type="dxa"/>
      </w:tblCellMar>
    </w:tblPr>
  </w:style>
  <w:style w:type="table" w:styleId="af7" w:customStyle="1">
    <w:basedOn w:val="TableNormal6"/>
    <w:tblPr>
      <w:tblStyleRowBandSize w:val="1"/>
      <w:tblStyleColBandSize w:val="1"/>
      <w:tblCellMar>
        <w:left w:w="115.0" w:type="dxa"/>
        <w:right w:w="115.0" w:type="dxa"/>
      </w:tblCellMar>
    </w:tblPr>
  </w:style>
  <w:style w:type="table" w:styleId="af8" w:customStyle="1">
    <w:basedOn w:val="TableNormal6"/>
    <w:tblPr>
      <w:tblStyleRowBandSize w:val="1"/>
      <w:tblStyleColBandSize w:val="1"/>
      <w:tblCellMar>
        <w:left w:w="115.0" w:type="dxa"/>
        <w:right w:w="115.0" w:type="dxa"/>
      </w:tblCellMar>
    </w:tblPr>
  </w:style>
  <w:style w:type="table" w:styleId="af9" w:customStyle="1">
    <w:basedOn w:val="TableNormal6"/>
    <w:tblPr>
      <w:tblStyleRowBandSize w:val="1"/>
      <w:tblStyleColBandSize w:val="1"/>
      <w:tblCellMar>
        <w:left w:w="115.0" w:type="dxa"/>
        <w:right w:w="115.0" w:type="dxa"/>
      </w:tblCellMar>
    </w:tblPr>
  </w:style>
  <w:style w:type="table" w:styleId="afa" w:customStyle="1">
    <w:basedOn w:val="TableNormal6"/>
    <w:tblPr>
      <w:tblStyleRowBandSize w:val="1"/>
      <w:tblStyleColBandSize w:val="1"/>
      <w:tblCellMar>
        <w:left w:w="115.0" w:type="dxa"/>
        <w:right w:w="115.0" w:type="dxa"/>
      </w:tblCellMar>
    </w:tblPr>
  </w:style>
  <w:style w:type="table" w:styleId="afb" w:customStyle="1">
    <w:basedOn w:val="TableNormal6"/>
    <w:tblPr>
      <w:tblStyleRowBandSize w:val="1"/>
      <w:tblStyleColBandSize w:val="1"/>
      <w:tblCellMar>
        <w:left w:w="115.0" w:type="dxa"/>
        <w:right w:w="115.0" w:type="dxa"/>
      </w:tblCellMar>
    </w:tblPr>
  </w:style>
  <w:style w:type="table" w:styleId="afc" w:customStyle="1">
    <w:basedOn w:val="TableNormal6"/>
    <w:tblPr>
      <w:tblStyleRowBandSize w:val="1"/>
      <w:tblStyleColBandSize w:val="1"/>
      <w:tblCellMar>
        <w:left w:w="115.0" w:type="dxa"/>
        <w:right w:w="115.0" w:type="dxa"/>
      </w:tblCellMar>
    </w:tblPr>
  </w:style>
  <w:style w:type="table" w:styleId="afd" w:customStyle="1">
    <w:basedOn w:val="TableNormal6"/>
    <w:tblPr>
      <w:tblStyleRowBandSize w:val="1"/>
      <w:tblStyleColBandSize w:val="1"/>
      <w:tblCellMar>
        <w:left w:w="115.0" w:type="dxa"/>
        <w:right w:w="115.0" w:type="dxa"/>
      </w:tblCellMar>
    </w:tblPr>
  </w:style>
  <w:style w:type="table" w:styleId="afe" w:customStyle="1">
    <w:basedOn w:val="TableNormal6"/>
    <w:tblPr>
      <w:tblStyleRowBandSize w:val="1"/>
      <w:tblStyleColBandSize w:val="1"/>
      <w:tblCellMar>
        <w:left w:w="115.0" w:type="dxa"/>
        <w:right w:w="115.0" w:type="dxa"/>
      </w:tblCellMar>
    </w:tblPr>
  </w:style>
  <w:style w:type="table" w:styleId="aff" w:customStyle="1">
    <w:basedOn w:val="TableNormal6"/>
    <w:tblPr>
      <w:tblStyleRowBandSize w:val="1"/>
      <w:tblStyleColBandSize w:val="1"/>
      <w:tblCellMar>
        <w:left w:w="115.0" w:type="dxa"/>
        <w:right w:w="115.0" w:type="dxa"/>
      </w:tblCellMar>
    </w:tblPr>
  </w:style>
  <w:style w:type="table" w:styleId="aff0" w:customStyle="1">
    <w:basedOn w:val="TableNormal6"/>
    <w:tblPr>
      <w:tblStyleRowBandSize w:val="1"/>
      <w:tblStyleColBandSize w:val="1"/>
      <w:tblCellMar>
        <w:left w:w="115.0" w:type="dxa"/>
        <w:right w:w="115.0" w:type="dxa"/>
      </w:tblCellMar>
    </w:tblPr>
  </w:style>
  <w:style w:type="table" w:styleId="aff1" w:customStyle="1">
    <w:basedOn w:val="TableNormal6"/>
    <w:tblPr>
      <w:tblStyleRowBandSize w:val="1"/>
      <w:tblStyleColBandSize w:val="1"/>
      <w:tblCellMar>
        <w:left w:w="115.0" w:type="dxa"/>
        <w:right w:w="115.0" w:type="dxa"/>
      </w:tblCellMar>
    </w:tblPr>
  </w:style>
  <w:style w:type="table" w:styleId="aff2" w:customStyle="1">
    <w:basedOn w:val="TableNormal6"/>
    <w:tblPr>
      <w:tblStyleRowBandSize w:val="1"/>
      <w:tblStyleColBandSize w:val="1"/>
      <w:tblCellMar>
        <w:left w:w="115.0" w:type="dxa"/>
        <w:right w:w="115.0" w:type="dxa"/>
      </w:tblCellMar>
    </w:tblPr>
  </w:style>
  <w:style w:type="table" w:styleId="aff3" w:customStyle="1">
    <w:basedOn w:val="TableNormal6"/>
    <w:tblPr>
      <w:tblStyleRowBandSize w:val="1"/>
      <w:tblStyleColBandSize w:val="1"/>
      <w:tblCellMar>
        <w:left w:w="115.0" w:type="dxa"/>
        <w:right w:w="115.0" w:type="dxa"/>
      </w:tblCellMar>
    </w:tblPr>
  </w:style>
  <w:style w:type="table" w:styleId="aff4" w:customStyle="1">
    <w:basedOn w:val="TableNormal6"/>
    <w:tblPr>
      <w:tblStyleRowBandSize w:val="1"/>
      <w:tblStyleColBandSize w:val="1"/>
      <w:tblCellMar>
        <w:left w:w="115.0" w:type="dxa"/>
        <w:right w:w="115.0" w:type="dxa"/>
      </w:tblCellMar>
    </w:tblPr>
  </w:style>
  <w:style w:type="table" w:styleId="aff5" w:customStyle="1">
    <w:basedOn w:val="TableNormal6"/>
    <w:tblPr>
      <w:tblStyleRowBandSize w:val="1"/>
      <w:tblStyleColBandSize w:val="1"/>
      <w:tblCellMar>
        <w:left w:w="115.0" w:type="dxa"/>
        <w:right w:w="115.0" w:type="dxa"/>
      </w:tblCellMar>
    </w:tblPr>
  </w:style>
  <w:style w:type="table" w:styleId="aff6" w:customStyle="1">
    <w:basedOn w:val="TableNormal6"/>
    <w:tblPr>
      <w:tblStyleRowBandSize w:val="1"/>
      <w:tblStyleColBandSize w:val="1"/>
      <w:tblCellMar>
        <w:left w:w="115.0" w:type="dxa"/>
        <w:right w:w="115.0" w:type="dxa"/>
      </w:tblCellMar>
    </w:tblPr>
  </w:style>
  <w:style w:type="table" w:styleId="aff7" w:customStyle="1">
    <w:basedOn w:val="TableNormal6"/>
    <w:tblPr>
      <w:tblStyleRowBandSize w:val="1"/>
      <w:tblStyleColBandSize w:val="1"/>
      <w:tblCellMar>
        <w:left w:w="115.0" w:type="dxa"/>
        <w:right w:w="115.0" w:type="dxa"/>
      </w:tblCellMar>
    </w:tblPr>
  </w:style>
  <w:style w:type="table" w:styleId="aff8" w:customStyle="1">
    <w:basedOn w:val="TableNormal6"/>
    <w:tblPr>
      <w:tblStyleRowBandSize w:val="1"/>
      <w:tblStyleColBandSize w:val="1"/>
      <w:tblCellMar>
        <w:left w:w="115.0" w:type="dxa"/>
        <w:right w:w="115.0" w:type="dxa"/>
      </w:tblCellMar>
    </w:tblPr>
  </w:style>
  <w:style w:type="table" w:styleId="aff9" w:customStyle="1">
    <w:basedOn w:val="TableNormal6"/>
    <w:tblPr>
      <w:tblStyleRowBandSize w:val="1"/>
      <w:tblStyleColBandSize w:val="1"/>
      <w:tblCellMar>
        <w:left w:w="115.0" w:type="dxa"/>
        <w:right w:w="115.0" w:type="dxa"/>
      </w:tblCellMar>
    </w:tblPr>
  </w:style>
  <w:style w:type="table" w:styleId="affa" w:customStyle="1">
    <w:basedOn w:val="TableNormal6"/>
    <w:tblPr>
      <w:tblStyleRowBandSize w:val="1"/>
      <w:tblStyleColBandSize w:val="1"/>
      <w:tblCellMar>
        <w:left w:w="115.0" w:type="dxa"/>
        <w:right w:w="115.0" w:type="dxa"/>
      </w:tblCellMar>
    </w:tblPr>
  </w:style>
  <w:style w:type="table" w:styleId="affb" w:customStyle="1">
    <w:basedOn w:val="TableNormal6"/>
    <w:tblPr>
      <w:tblStyleRowBandSize w:val="1"/>
      <w:tblStyleColBandSize w:val="1"/>
      <w:tblCellMar>
        <w:left w:w="115.0" w:type="dxa"/>
        <w:right w:w="115.0" w:type="dxa"/>
      </w:tblCellMar>
    </w:tblPr>
  </w:style>
  <w:style w:type="table" w:styleId="affc" w:customStyle="1">
    <w:basedOn w:val="TableNormal6"/>
    <w:tblPr>
      <w:tblStyleRowBandSize w:val="1"/>
      <w:tblStyleColBandSize w:val="1"/>
      <w:tblCellMar>
        <w:left w:w="115.0" w:type="dxa"/>
        <w:right w:w="115.0" w:type="dxa"/>
      </w:tblCellMar>
    </w:tblPr>
  </w:style>
  <w:style w:type="table" w:styleId="affd" w:customStyle="1">
    <w:basedOn w:val="TableNormal6"/>
    <w:tblPr>
      <w:tblStyleRowBandSize w:val="1"/>
      <w:tblStyleColBandSize w:val="1"/>
      <w:tblCellMar>
        <w:left w:w="115.0" w:type="dxa"/>
        <w:right w:w="115.0" w:type="dxa"/>
      </w:tblCellMar>
    </w:tblPr>
  </w:style>
  <w:style w:type="table" w:styleId="affe" w:customStyle="1">
    <w:basedOn w:val="TableNormal6"/>
    <w:tblPr>
      <w:tblStyleRowBandSize w:val="1"/>
      <w:tblStyleColBandSize w:val="1"/>
      <w:tblCellMar>
        <w:left w:w="115.0" w:type="dxa"/>
        <w:right w:w="115.0" w:type="dxa"/>
      </w:tblCellMar>
    </w:tblPr>
  </w:style>
  <w:style w:type="table" w:styleId="afff" w:customStyle="1">
    <w:basedOn w:val="TableNormal6"/>
    <w:tblPr>
      <w:tblStyleRowBandSize w:val="1"/>
      <w:tblStyleColBandSize w:val="1"/>
      <w:tblCellMar>
        <w:left w:w="115.0" w:type="dxa"/>
        <w:right w:w="115.0" w:type="dxa"/>
      </w:tblCellMar>
    </w:tblPr>
  </w:style>
  <w:style w:type="table" w:styleId="afff0" w:customStyle="1">
    <w:basedOn w:val="TableNormal6"/>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7423F4"/>
    <w:pPr>
      <w:spacing w:line="259" w:lineRule="auto"/>
      <w:outlineLvl w:val="9"/>
    </w:pPr>
    <w:rPr>
      <w:b w:val="0"/>
      <w:lang w:val="es-ES"/>
    </w:rPr>
  </w:style>
  <w:style w:type="character" w:styleId="Textoennegrita">
    <w:name w:val="Strong"/>
    <w:basedOn w:val="Fuentedeprrafopredeter"/>
    <w:uiPriority w:val="22"/>
    <w:qFormat w:val="1"/>
    <w:rsid w:val="00647683"/>
    <w:rPr>
      <w:b w:val="1"/>
      <w:bCs w:val="1"/>
    </w:rPr>
  </w:style>
  <w:style w:type="table" w:styleId="afff1" w:customStyle="1">
    <w:basedOn w:val="TableNormal5"/>
    <w:tblPr>
      <w:tblStyleRowBandSize w:val="1"/>
      <w:tblStyleColBandSize w:val="1"/>
      <w:tblCellMar>
        <w:left w:w="115.0" w:type="dxa"/>
        <w:right w:w="115.0" w:type="dxa"/>
      </w:tblCellMar>
    </w:tblPr>
  </w:style>
  <w:style w:type="table" w:styleId="afff2" w:customStyle="1">
    <w:basedOn w:val="TableNormal5"/>
    <w:tblPr>
      <w:tblStyleRowBandSize w:val="1"/>
      <w:tblStyleColBandSize w:val="1"/>
      <w:tblCellMar>
        <w:left w:w="115.0" w:type="dxa"/>
        <w:right w:w="115.0" w:type="dxa"/>
      </w:tblCellMar>
    </w:tblPr>
  </w:style>
  <w:style w:type="table" w:styleId="afff3" w:customStyle="1">
    <w:basedOn w:val="TableNormal5"/>
    <w:tblPr>
      <w:tblStyleRowBandSize w:val="1"/>
      <w:tblStyleColBandSize w:val="1"/>
      <w:tblCellMar>
        <w:left w:w="115.0" w:type="dxa"/>
        <w:right w:w="115.0" w:type="dxa"/>
      </w:tblCellMar>
    </w:tblPr>
  </w:style>
  <w:style w:type="table" w:styleId="afff4" w:customStyle="1">
    <w:basedOn w:val="TableNormal5"/>
    <w:tblPr>
      <w:tblStyleRowBandSize w:val="1"/>
      <w:tblStyleColBandSize w:val="1"/>
      <w:tblCellMar>
        <w:left w:w="115.0" w:type="dxa"/>
        <w:right w:w="115.0" w:type="dxa"/>
      </w:tblCellMar>
    </w:tblPr>
  </w:style>
  <w:style w:type="table" w:styleId="afff5" w:customStyle="1">
    <w:basedOn w:val="TableNormal5"/>
    <w:tblPr>
      <w:tblStyleRowBandSize w:val="1"/>
      <w:tblStyleColBandSize w:val="1"/>
      <w:tblCellMar>
        <w:left w:w="115.0" w:type="dxa"/>
        <w:right w:w="115.0" w:type="dxa"/>
      </w:tblCellMar>
    </w:tblPr>
  </w:style>
  <w:style w:type="table" w:styleId="afff6" w:customStyle="1">
    <w:basedOn w:val="TableNormal5"/>
    <w:tblPr>
      <w:tblStyleRowBandSize w:val="1"/>
      <w:tblStyleColBandSize w:val="1"/>
      <w:tblCellMar>
        <w:left w:w="115.0" w:type="dxa"/>
        <w:right w:w="115.0" w:type="dxa"/>
      </w:tblCellMar>
    </w:tblPr>
  </w:style>
  <w:style w:type="table" w:styleId="afff7" w:customStyle="1">
    <w:basedOn w:val="TableNormal5"/>
    <w:tblPr>
      <w:tblStyleRowBandSize w:val="1"/>
      <w:tblStyleColBandSize w:val="1"/>
      <w:tblCellMar>
        <w:left w:w="115.0" w:type="dxa"/>
        <w:right w:w="115.0" w:type="dxa"/>
      </w:tblCellMar>
    </w:tblPr>
  </w:style>
  <w:style w:type="table" w:styleId="afff8" w:customStyle="1">
    <w:basedOn w:val="TableNormal5"/>
    <w:tblPr>
      <w:tblStyleRowBandSize w:val="1"/>
      <w:tblStyleColBandSize w:val="1"/>
      <w:tblCellMar>
        <w:left w:w="115.0" w:type="dxa"/>
        <w:right w:w="115.0" w:type="dxa"/>
      </w:tblCellMar>
    </w:tblPr>
  </w:style>
  <w:style w:type="table" w:styleId="afff9" w:customStyle="1">
    <w:basedOn w:val="TableNormal5"/>
    <w:tblPr>
      <w:tblStyleRowBandSize w:val="1"/>
      <w:tblStyleColBandSize w:val="1"/>
      <w:tblCellMar>
        <w:left w:w="115.0" w:type="dxa"/>
        <w:right w:w="115.0" w:type="dxa"/>
      </w:tblCellMar>
    </w:tblPr>
  </w:style>
  <w:style w:type="table" w:styleId="afffa" w:customStyle="1">
    <w:basedOn w:val="TableNormal5"/>
    <w:tblPr>
      <w:tblStyleRowBandSize w:val="1"/>
      <w:tblStyleColBandSize w:val="1"/>
      <w:tblCellMar>
        <w:left w:w="115.0" w:type="dxa"/>
        <w:right w:w="115.0" w:type="dxa"/>
      </w:tblCellMar>
    </w:tblPr>
  </w:style>
  <w:style w:type="table" w:styleId="afffb" w:customStyle="1">
    <w:basedOn w:val="TableNormal5"/>
    <w:tblPr>
      <w:tblStyleRowBandSize w:val="1"/>
      <w:tblStyleColBandSize w:val="1"/>
      <w:tblCellMar>
        <w:left w:w="115.0" w:type="dxa"/>
        <w:right w:w="115.0" w:type="dxa"/>
      </w:tblCellMar>
    </w:tblPr>
  </w:style>
  <w:style w:type="table" w:styleId="afffc" w:customStyle="1">
    <w:basedOn w:val="TableNormal5"/>
    <w:tblPr>
      <w:tblStyleRowBandSize w:val="1"/>
      <w:tblStyleColBandSize w:val="1"/>
      <w:tblCellMar>
        <w:left w:w="115.0" w:type="dxa"/>
        <w:right w:w="115.0" w:type="dxa"/>
      </w:tblCellMar>
    </w:tblPr>
  </w:style>
  <w:style w:type="table" w:styleId="afffd" w:customStyle="1">
    <w:basedOn w:val="TableNormal5"/>
    <w:tblPr>
      <w:tblStyleRowBandSize w:val="1"/>
      <w:tblStyleColBandSize w:val="1"/>
      <w:tblCellMar>
        <w:left w:w="115.0" w:type="dxa"/>
        <w:right w:w="115.0" w:type="dxa"/>
      </w:tblCellMar>
    </w:tblPr>
  </w:style>
  <w:style w:type="table" w:styleId="afffe" w:customStyle="1">
    <w:basedOn w:val="TableNormal5"/>
    <w:tblPr>
      <w:tblStyleRowBandSize w:val="1"/>
      <w:tblStyleColBandSize w:val="1"/>
      <w:tblCellMar>
        <w:left w:w="115.0" w:type="dxa"/>
        <w:right w:w="115.0" w:type="dxa"/>
      </w:tblCellMar>
    </w:tblPr>
  </w:style>
  <w:style w:type="table" w:styleId="affff" w:customStyle="1">
    <w:basedOn w:val="TableNormal5"/>
    <w:tblPr>
      <w:tblStyleRowBandSize w:val="1"/>
      <w:tblStyleColBandSize w:val="1"/>
      <w:tblCellMar>
        <w:left w:w="115.0" w:type="dxa"/>
        <w:right w:w="115.0" w:type="dxa"/>
      </w:tblCellMar>
    </w:tblPr>
  </w:style>
  <w:style w:type="table" w:styleId="affff0" w:customStyle="1">
    <w:basedOn w:val="TableNormal5"/>
    <w:tblPr>
      <w:tblStyleRowBandSize w:val="1"/>
      <w:tblStyleColBandSize w:val="1"/>
      <w:tblCellMar>
        <w:left w:w="115.0" w:type="dxa"/>
        <w:right w:w="115.0" w:type="dxa"/>
      </w:tblCellMar>
    </w:tblPr>
  </w:style>
  <w:style w:type="table" w:styleId="affff1" w:customStyle="1">
    <w:basedOn w:val="TableNormal5"/>
    <w:tblPr>
      <w:tblStyleRowBandSize w:val="1"/>
      <w:tblStyleColBandSize w:val="1"/>
      <w:tblCellMar>
        <w:left w:w="115.0" w:type="dxa"/>
        <w:right w:w="115.0" w:type="dxa"/>
      </w:tblCellMar>
    </w:tblPr>
  </w:style>
  <w:style w:type="table" w:styleId="affff2" w:customStyle="1">
    <w:basedOn w:val="TableNormal5"/>
    <w:tblPr>
      <w:tblStyleRowBandSize w:val="1"/>
      <w:tblStyleColBandSize w:val="1"/>
      <w:tblCellMar>
        <w:left w:w="115.0" w:type="dxa"/>
        <w:right w:w="115.0" w:type="dxa"/>
      </w:tblCellMar>
    </w:tblPr>
  </w:style>
  <w:style w:type="table" w:styleId="affff3" w:customStyle="1">
    <w:basedOn w:val="TableNormal5"/>
    <w:tblPr>
      <w:tblStyleRowBandSize w:val="1"/>
      <w:tblStyleColBandSize w:val="1"/>
      <w:tblCellMar>
        <w:left w:w="115.0" w:type="dxa"/>
        <w:right w:w="115.0" w:type="dxa"/>
      </w:tblCellMar>
    </w:tblPr>
  </w:style>
  <w:style w:type="table" w:styleId="affff4" w:customStyle="1">
    <w:basedOn w:val="TableNormal5"/>
    <w:tblPr>
      <w:tblStyleRowBandSize w:val="1"/>
      <w:tblStyleColBandSize w:val="1"/>
      <w:tblCellMar>
        <w:left w:w="115.0" w:type="dxa"/>
        <w:right w:w="115.0" w:type="dxa"/>
      </w:tblCellMar>
    </w:tblPr>
  </w:style>
  <w:style w:type="table" w:styleId="affff5" w:customStyle="1">
    <w:basedOn w:val="TableNormal5"/>
    <w:tblPr>
      <w:tblStyleRowBandSize w:val="1"/>
      <w:tblStyleColBandSize w:val="1"/>
      <w:tblCellMar>
        <w:left w:w="115.0" w:type="dxa"/>
        <w:right w:w="115.0" w:type="dxa"/>
      </w:tblCellMar>
    </w:tblPr>
  </w:style>
  <w:style w:type="table" w:styleId="affff6" w:customStyle="1">
    <w:basedOn w:val="TableNormal5"/>
    <w:tblPr>
      <w:tblStyleRowBandSize w:val="1"/>
      <w:tblStyleColBandSize w:val="1"/>
      <w:tblCellMar>
        <w:left w:w="115.0" w:type="dxa"/>
        <w:right w:w="115.0" w:type="dxa"/>
      </w:tblCellMar>
    </w:tblPr>
  </w:style>
  <w:style w:type="table" w:styleId="affff7" w:customStyle="1">
    <w:basedOn w:val="TableNormal5"/>
    <w:tblPr>
      <w:tblStyleRowBandSize w:val="1"/>
      <w:tblStyleColBandSize w:val="1"/>
      <w:tblCellMar>
        <w:left w:w="115.0" w:type="dxa"/>
        <w:right w:w="115.0" w:type="dxa"/>
      </w:tblCellMar>
    </w:tblPr>
  </w:style>
  <w:style w:type="table" w:styleId="affff8" w:customStyle="1">
    <w:basedOn w:val="TableNormal5"/>
    <w:tblPr>
      <w:tblStyleRowBandSize w:val="1"/>
      <w:tblStyleColBandSize w:val="1"/>
      <w:tblCellMar>
        <w:left w:w="115.0" w:type="dxa"/>
        <w:right w:w="115.0" w:type="dxa"/>
      </w:tblCellMar>
    </w:tblPr>
  </w:style>
  <w:style w:type="table" w:styleId="affff9" w:customStyle="1">
    <w:basedOn w:val="TableNormal5"/>
    <w:tblPr>
      <w:tblStyleRowBandSize w:val="1"/>
      <w:tblStyleColBandSize w:val="1"/>
      <w:tblCellMar>
        <w:left w:w="115.0" w:type="dxa"/>
        <w:right w:w="115.0" w:type="dxa"/>
      </w:tblCellMar>
    </w:tblPr>
  </w:style>
  <w:style w:type="table" w:styleId="affffa" w:customStyle="1">
    <w:basedOn w:val="TableNormal5"/>
    <w:tblPr>
      <w:tblStyleRowBandSize w:val="1"/>
      <w:tblStyleColBandSize w:val="1"/>
      <w:tblCellMar>
        <w:left w:w="115.0" w:type="dxa"/>
        <w:right w:w="115.0" w:type="dxa"/>
      </w:tblCellMar>
    </w:tblPr>
  </w:style>
  <w:style w:type="table" w:styleId="affffb" w:customStyle="1">
    <w:basedOn w:val="TableNormal5"/>
    <w:tblPr>
      <w:tblStyleRowBandSize w:val="1"/>
      <w:tblStyleColBandSize w:val="1"/>
      <w:tblCellMar>
        <w:left w:w="115.0" w:type="dxa"/>
        <w:right w:w="115.0" w:type="dxa"/>
      </w:tblCellMar>
    </w:tblPr>
  </w:style>
  <w:style w:type="table" w:styleId="affffc" w:customStyle="1">
    <w:basedOn w:val="TableNormal5"/>
    <w:tblPr>
      <w:tblStyleRowBandSize w:val="1"/>
      <w:tblStyleColBandSize w:val="1"/>
      <w:tblCellMar>
        <w:left w:w="115.0" w:type="dxa"/>
        <w:right w:w="115.0" w:type="dxa"/>
      </w:tblCellMar>
    </w:tblPr>
  </w:style>
  <w:style w:type="table" w:styleId="affffd" w:customStyle="1">
    <w:basedOn w:val="TableNormal5"/>
    <w:tblPr>
      <w:tblStyleRowBandSize w:val="1"/>
      <w:tblStyleColBandSize w:val="1"/>
      <w:tblCellMar>
        <w:left w:w="115.0" w:type="dxa"/>
        <w:right w:w="115.0" w:type="dxa"/>
      </w:tblCellMar>
    </w:tblPr>
  </w:style>
  <w:style w:type="table" w:styleId="affffe" w:customStyle="1">
    <w:basedOn w:val="TableNormal5"/>
    <w:tblPr>
      <w:tblStyleRowBandSize w:val="1"/>
      <w:tblStyleColBandSize w:val="1"/>
      <w:tblCellMar>
        <w:left w:w="115.0" w:type="dxa"/>
        <w:right w:w="115.0" w:type="dxa"/>
      </w:tblCellMar>
    </w:tblPr>
  </w:style>
  <w:style w:type="table" w:styleId="afffff" w:customStyle="1">
    <w:basedOn w:val="TableNormal5"/>
    <w:tblPr>
      <w:tblStyleRowBandSize w:val="1"/>
      <w:tblStyleColBandSize w:val="1"/>
      <w:tblCellMar>
        <w:left w:w="115.0" w:type="dxa"/>
        <w:right w:w="115.0" w:type="dxa"/>
      </w:tblCellMar>
    </w:tblPr>
  </w:style>
  <w:style w:type="table" w:styleId="afffff0" w:customStyle="1">
    <w:basedOn w:val="TableNormal5"/>
    <w:tblPr>
      <w:tblStyleRowBandSize w:val="1"/>
      <w:tblStyleColBandSize w:val="1"/>
      <w:tblCellMar>
        <w:left w:w="115.0" w:type="dxa"/>
        <w:right w:w="115.0" w:type="dxa"/>
      </w:tblCellMar>
    </w:tblPr>
  </w:style>
  <w:style w:type="table" w:styleId="afffff1" w:customStyle="1">
    <w:basedOn w:val="TableNormal5"/>
    <w:tblPr>
      <w:tblStyleRowBandSize w:val="1"/>
      <w:tblStyleColBandSize w:val="1"/>
      <w:tblCellMar>
        <w:left w:w="115.0" w:type="dxa"/>
        <w:right w:w="115.0" w:type="dxa"/>
      </w:tblCellMar>
    </w:tblPr>
  </w:style>
  <w:style w:type="table" w:styleId="afffff2" w:customStyle="1">
    <w:basedOn w:val="TableNormal5"/>
    <w:tblPr>
      <w:tblStyleRowBandSize w:val="1"/>
      <w:tblStyleColBandSize w:val="1"/>
      <w:tblCellMar>
        <w:left w:w="115.0" w:type="dxa"/>
        <w:right w:w="115.0" w:type="dxa"/>
      </w:tblCellMar>
    </w:tblPr>
  </w:style>
  <w:style w:type="table" w:styleId="afffff3" w:customStyle="1">
    <w:basedOn w:val="TableNormal5"/>
    <w:tblPr>
      <w:tblStyleRowBandSize w:val="1"/>
      <w:tblStyleColBandSize w:val="1"/>
      <w:tblCellMar>
        <w:left w:w="115.0" w:type="dxa"/>
        <w:right w:w="115.0" w:type="dxa"/>
      </w:tblCellMar>
    </w:tblPr>
  </w:style>
  <w:style w:type="table" w:styleId="afffff4" w:customStyle="1">
    <w:basedOn w:val="TableNormal5"/>
    <w:tblPr>
      <w:tblStyleRowBandSize w:val="1"/>
      <w:tblStyleColBandSize w:val="1"/>
      <w:tblCellMar>
        <w:left w:w="115.0" w:type="dxa"/>
        <w:right w:w="115.0" w:type="dxa"/>
      </w:tblCellMar>
    </w:tblPr>
  </w:style>
  <w:style w:type="table" w:styleId="afffff5" w:customStyle="1">
    <w:basedOn w:val="TableNormal5"/>
    <w:tblPr>
      <w:tblStyleRowBandSize w:val="1"/>
      <w:tblStyleColBandSize w:val="1"/>
      <w:tblCellMar>
        <w:left w:w="115.0" w:type="dxa"/>
        <w:right w:w="115.0" w:type="dxa"/>
      </w:tblCellMar>
    </w:tblPr>
  </w:style>
  <w:style w:type="table" w:styleId="afffff6" w:customStyle="1">
    <w:basedOn w:val="TableNormal5"/>
    <w:tblPr>
      <w:tblStyleRowBandSize w:val="1"/>
      <w:tblStyleColBandSize w:val="1"/>
      <w:tblCellMar>
        <w:left w:w="115.0" w:type="dxa"/>
        <w:right w:w="115.0" w:type="dxa"/>
      </w:tblCellMar>
    </w:tblPr>
  </w:style>
  <w:style w:type="table" w:styleId="afffff7" w:customStyle="1">
    <w:basedOn w:val="TableNormal5"/>
    <w:tblPr>
      <w:tblStyleRowBandSize w:val="1"/>
      <w:tblStyleColBandSize w:val="1"/>
      <w:tblCellMar>
        <w:left w:w="115.0" w:type="dxa"/>
        <w:right w:w="115.0" w:type="dxa"/>
      </w:tblCellMar>
    </w:tblPr>
  </w:style>
  <w:style w:type="table" w:styleId="afffff8" w:customStyle="1">
    <w:basedOn w:val="TableNormal5"/>
    <w:tblPr>
      <w:tblStyleRowBandSize w:val="1"/>
      <w:tblStyleColBandSize w:val="1"/>
      <w:tblCellMar>
        <w:left w:w="115.0" w:type="dxa"/>
        <w:right w:w="115.0" w:type="dxa"/>
      </w:tblCellMar>
    </w:tblPr>
  </w:style>
  <w:style w:type="table" w:styleId="afffff9" w:customStyle="1">
    <w:basedOn w:val="TableNormal5"/>
    <w:tblPr>
      <w:tblStyleRowBandSize w:val="1"/>
      <w:tblStyleColBandSize w:val="1"/>
      <w:tblCellMar>
        <w:left w:w="115.0" w:type="dxa"/>
        <w:right w:w="115.0" w:type="dxa"/>
      </w:tblCellMar>
    </w:tblPr>
  </w:style>
  <w:style w:type="table" w:styleId="afffffa" w:customStyle="1">
    <w:basedOn w:val="TableNormal5"/>
    <w:tblPr>
      <w:tblStyleRowBandSize w:val="1"/>
      <w:tblStyleColBandSize w:val="1"/>
      <w:tblCellMar>
        <w:left w:w="115.0" w:type="dxa"/>
        <w:right w:w="115.0" w:type="dxa"/>
      </w:tblCellMar>
    </w:tblPr>
  </w:style>
  <w:style w:type="table" w:styleId="afffffb" w:customStyle="1">
    <w:basedOn w:val="TableNormal5"/>
    <w:tblPr>
      <w:tblStyleRowBandSize w:val="1"/>
      <w:tblStyleColBandSize w:val="1"/>
      <w:tblCellMar>
        <w:left w:w="115.0" w:type="dxa"/>
        <w:right w:w="115.0" w:type="dxa"/>
      </w:tblCellMar>
    </w:tblPr>
  </w:style>
  <w:style w:type="table" w:styleId="afffffc" w:customStyle="1">
    <w:basedOn w:val="TableNormal5"/>
    <w:tblPr>
      <w:tblStyleRowBandSize w:val="1"/>
      <w:tblStyleColBandSize w:val="1"/>
      <w:tblCellMar>
        <w:left w:w="115.0" w:type="dxa"/>
        <w:right w:w="115.0" w:type="dxa"/>
      </w:tblCellMar>
    </w:tblPr>
  </w:style>
  <w:style w:type="table" w:styleId="afffffd" w:customStyle="1">
    <w:basedOn w:val="TableNormal5"/>
    <w:tblPr>
      <w:tblStyleRowBandSize w:val="1"/>
      <w:tblStyleColBandSize w:val="1"/>
      <w:tblCellMar>
        <w:left w:w="115.0" w:type="dxa"/>
        <w:right w:w="115.0" w:type="dxa"/>
      </w:tblCellMar>
    </w:tblPr>
  </w:style>
  <w:style w:type="table" w:styleId="afffffe" w:customStyle="1">
    <w:basedOn w:val="TableNormal5"/>
    <w:tblPr>
      <w:tblStyleRowBandSize w:val="1"/>
      <w:tblStyleColBandSize w:val="1"/>
      <w:tblCellMar>
        <w:left w:w="115.0" w:type="dxa"/>
        <w:right w:w="115.0" w:type="dxa"/>
      </w:tblCellMar>
    </w:tblPr>
  </w:style>
  <w:style w:type="table" w:styleId="affffff" w:customStyle="1">
    <w:basedOn w:val="TableNormal5"/>
    <w:tblPr>
      <w:tblStyleRowBandSize w:val="1"/>
      <w:tblStyleColBandSize w:val="1"/>
      <w:tblCellMar>
        <w:left w:w="115.0" w:type="dxa"/>
        <w:right w:w="115.0" w:type="dxa"/>
      </w:tblCellMar>
    </w:tblPr>
  </w:style>
  <w:style w:type="table" w:styleId="affffff0" w:customStyle="1">
    <w:basedOn w:val="TableNormal5"/>
    <w:tblPr>
      <w:tblStyleRowBandSize w:val="1"/>
      <w:tblStyleColBandSize w:val="1"/>
      <w:tblCellMar>
        <w:left w:w="115.0" w:type="dxa"/>
        <w:right w:w="115.0" w:type="dxa"/>
      </w:tblCellMar>
    </w:tblPr>
  </w:style>
  <w:style w:type="table" w:styleId="affffff1" w:customStyle="1">
    <w:basedOn w:val="TableNormal5"/>
    <w:tblPr>
      <w:tblStyleRowBandSize w:val="1"/>
      <w:tblStyleColBandSize w:val="1"/>
      <w:tblCellMar>
        <w:left w:w="115.0" w:type="dxa"/>
        <w:right w:w="115.0" w:type="dxa"/>
      </w:tblCellMar>
    </w:tblPr>
  </w:style>
  <w:style w:type="table" w:styleId="affffff2" w:customStyle="1">
    <w:basedOn w:val="TableNormal5"/>
    <w:tblPr>
      <w:tblStyleRowBandSize w:val="1"/>
      <w:tblStyleColBandSize w:val="1"/>
      <w:tblCellMar>
        <w:left w:w="115.0" w:type="dxa"/>
        <w:right w:w="115.0" w:type="dxa"/>
      </w:tblCellMar>
    </w:tblPr>
  </w:style>
  <w:style w:type="table" w:styleId="affffff3" w:customStyle="1">
    <w:basedOn w:val="TableNormal5"/>
    <w:tblPr>
      <w:tblStyleRowBandSize w:val="1"/>
      <w:tblStyleColBandSize w:val="1"/>
      <w:tblCellMar>
        <w:left w:w="115.0" w:type="dxa"/>
        <w:right w:w="115.0" w:type="dxa"/>
      </w:tblCellMar>
    </w:tblPr>
  </w:style>
  <w:style w:type="table" w:styleId="affffff4" w:customStyle="1">
    <w:basedOn w:val="TableNormal5"/>
    <w:tblPr>
      <w:tblStyleRowBandSize w:val="1"/>
      <w:tblStyleColBandSize w:val="1"/>
      <w:tblCellMar>
        <w:left w:w="115.0" w:type="dxa"/>
        <w:right w:w="115.0" w:type="dxa"/>
      </w:tblCellMar>
    </w:tblPr>
  </w:style>
  <w:style w:type="table" w:styleId="affffff5" w:customStyle="1">
    <w:basedOn w:val="TableNormal5"/>
    <w:tblPr>
      <w:tblStyleRowBandSize w:val="1"/>
      <w:tblStyleColBandSize w:val="1"/>
      <w:tblCellMar>
        <w:left w:w="115.0" w:type="dxa"/>
        <w:right w:w="115.0" w:type="dxa"/>
      </w:tblCellMar>
    </w:tblPr>
  </w:style>
  <w:style w:type="table" w:styleId="affffff6" w:customStyle="1">
    <w:basedOn w:val="TableNormal5"/>
    <w:tblPr>
      <w:tblStyleRowBandSize w:val="1"/>
      <w:tblStyleColBandSize w:val="1"/>
      <w:tblCellMar>
        <w:left w:w="115.0" w:type="dxa"/>
        <w:right w:w="115.0" w:type="dxa"/>
      </w:tblCellMar>
    </w:tblPr>
  </w:style>
  <w:style w:type="table" w:styleId="affffff7" w:customStyle="1">
    <w:basedOn w:val="TableNormal5"/>
    <w:tblPr>
      <w:tblStyleRowBandSize w:val="1"/>
      <w:tblStyleColBandSize w:val="1"/>
      <w:tblCellMar>
        <w:left w:w="115.0" w:type="dxa"/>
        <w:right w:w="115.0" w:type="dxa"/>
      </w:tblCellMar>
    </w:tblPr>
  </w:style>
  <w:style w:type="table" w:styleId="affffff8" w:customStyle="1">
    <w:basedOn w:val="TableNormal5"/>
    <w:tblPr>
      <w:tblStyleRowBandSize w:val="1"/>
      <w:tblStyleColBandSize w:val="1"/>
      <w:tblCellMar>
        <w:left w:w="115.0" w:type="dxa"/>
        <w:right w:w="115.0" w:type="dxa"/>
      </w:tblCellMar>
    </w:tblPr>
  </w:style>
  <w:style w:type="table" w:styleId="affffff9" w:customStyle="1">
    <w:basedOn w:val="TableNormal5"/>
    <w:tblPr>
      <w:tblStyleRowBandSize w:val="1"/>
      <w:tblStyleColBandSize w:val="1"/>
      <w:tblCellMar>
        <w:left w:w="115.0" w:type="dxa"/>
        <w:right w:w="115.0" w:type="dxa"/>
      </w:tblCellMar>
    </w:tblPr>
  </w:style>
  <w:style w:type="table" w:styleId="affffffa" w:customStyle="1">
    <w:basedOn w:val="TableNormal5"/>
    <w:tblPr>
      <w:tblStyleRowBandSize w:val="1"/>
      <w:tblStyleColBandSize w:val="1"/>
      <w:tblCellMar>
        <w:left w:w="115.0" w:type="dxa"/>
        <w:right w:w="115.0" w:type="dxa"/>
      </w:tblCellMar>
    </w:tblPr>
  </w:style>
  <w:style w:type="table" w:styleId="affffffb" w:customStyle="1">
    <w:basedOn w:val="TableNormal5"/>
    <w:tblPr>
      <w:tblStyleRowBandSize w:val="1"/>
      <w:tblStyleColBandSize w:val="1"/>
      <w:tblCellMar>
        <w:left w:w="115.0" w:type="dxa"/>
        <w:right w:w="115.0" w:type="dxa"/>
      </w:tblCellMar>
    </w:tblPr>
  </w:style>
  <w:style w:type="table" w:styleId="affffffc" w:customStyle="1">
    <w:basedOn w:val="TableNormal5"/>
    <w:tblPr>
      <w:tblStyleRowBandSize w:val="1"/>
      <w:tblStyleColBandSize w:val="1"/>
      <w:tblCellMar>
        <w:left w:w="115.0" w:type="dxa"/>
        <w:right w:w="115.0" w:type="dxa"/>
      </w:tblCellMar>
    </w:tblPr>
  </w:style>
  <w:style w:type="table" w:styleId="affffffd" w:customStyle="1">
    <w:basedOn w:val="TableNormal5"/>
    <w:tblPr>
      <w:tblStyleRowBandSize w:val="1"/>
      <w:tblStyleColBandSize w:val="1"/>
      <w:tblCellMar>
        <w:left w:w="115.0" w:type="dxa"/>
        <w:right w:w="115.0" w:type="dxa"/>
      </w:tblCellMar>
    </w:tblPr>
  </w:style>
  <w:style w:type="table" w:styleId="affffffe" w:customStyle="1">
    <w:basedOn w:val="TableNormal5"/>
    <w:tblPr>
      <w:tblStyleRowBandSize w:val="1"/>
      <w:tblStyleColBandSize w:val="1"/>
      <w:tblCellMar>
        <w:left w:w="115.0" w:type="dxa"/>
        <w:right w:w="115.0" w:type="dxa"/>
      </w:tblCellMar>
    </w:tblPr>
  </w:style>
  <w:style w:type="table" w:styleId="afffffff" w:customStyle="1">
    <w:basedOn w:val="TableNormal5"/>
    <w:tblPr>
      <w:tblStyleRowBandSize w:val="1"/>
      <w:tblStyleColBandSize w:val="1"/>
      <w:tblCellMar>
        <w:left w:w="115.0" w:type="dxa"/>
        <w:right w:w="115.0" w:type="dxa"/>
      </w:tblCellMar>
    </w:tblPr>
  </w:style>
  <w:style w:type="table" w:styleId="afffffff0" w:customStyle="1">
    <w:basedOn w:val="TableNormal5"/>
    <w:tblPr>
      <w:tblStyleRowBandSize w:val="1"/>
      <w:tblStyleColBandSize w:val="1"/>
      <w:tblCellMar>
        <w:left w:w="115.0" w:type="dxa"/>
        <w:right w:w="115.0" w:type="dxa"/>
      </w:tblCellMar>
    </w:tblPr>
  </w:style>
  <w:style w:type="table" w:styleId="afffffff1" w:customStyle="1">
    <w:basedOn w:val="TableNormal5"/>
    <w:tblPr>
      <w:tblStyleRowBandSize w:val="1"/>
      <w:tblStyleColBandSize w:val="1"/>
      <w:tblCellMar>
        <w:left w:w="115.0" w:type="dxa"/>
        <w:right w:w="115.0" w:type="dxa"/>
      </w:tblCellMar>
    </w:tblPr>
  </w:style>
  <w:style w:type="table" w:styleId="afffffff2" w:customStyle="1">
    <w:basedOn w:val="TableNormal5"/>
    <w:tblPr>
      <w:tblStyleRowBandSize w:val="1"/>
      <w:tblStyleColBandSize w:val="1"/>
      <w:tblCellMar>
        <w:left w:w="115.0" w:type="dxa"/>
        <w:right w:w="115.0" w:type="dxa"/>
      </w:tblCellMar>
    </w:tblPr>
  </w:style>
  <w:style w:type="table" w:styleId="afffffff3" w:customStyle="1">
    <w:basedOn w:val="TableNormal5"/>
    <w:tblPr>
      <w:tblStyleRowBandSize w:val="1"/>
      <w:tblStyleColBandSize w:val="1"/>
      <w:tblCellMar>
        <w:left w:w="115.0" w:type="dxa"/>
        <w:right w:w="115.0" w:type="dxa"/>
      </w:tblCellMar>
    </w:tblPr>
  </w:style>
  <w:style w:type="table" w:styleId="afffffff4" w:customStyle="1">
    <w:basedOn w:val="TableNormal5"/>
    <w:tblPr>
      <w:tblStyleRowBandSize w:val="1"/>
      <w:tblStyleColBandSize w:val="1"/>
      <w:tblCellMar>
        <w:left w:w="115.0" w:type="dxa"/>
        <w:right w:w="115.0" w:type="dxa"/>
      </w:tblCellMar>
    </w:tblPr>
  </w:style>
  <w:style w:type="table" w:styleId="afffffff5" w:customStyle="1">
    <w:basedOn w:val="TableNormal5"/>
    <w:tblPr>
      <w:tblStyleRowBandSize w:val="1"/>
      <w:tblStyleColBandSize w:val="1"/>
      <w:tblCellMar>
        <w:left w:w="115.0" w:type="dxa"/>
        <w:right w:w="115.0" w:type="dxa"/>
      </w:tblCellMar>
    </w:tblPr>
  </w:style>
  <w:style w:type="table" w:styleId="afffffff6" w:customStyle="1">
    <w:basedOn w:val="TableNormal5"/>
    <w:tblPr>
      <w:tblStyleRowBandSize w:val="1"/>
      <w:tblStyleColBandSize w:val="1"/>
      <w:tblCellMar>
        <w:left w:w="115.0" w:type="dxa"/>
        <w:right w:w="115.0" w:type="dxa"/>
      </w:tblCellMar>
    </w:tblPr>
  </w:style>
  <w:style w:type="table" w:styleId="afffffff7" w:customStyle="1">
    <w:basedOn w:val="TableNormal5"/>
    <w:tblPr>
      <w:tblStyleRowBandSize w:val="1"/>
      <w:tblStyleColBandSize w:val="1"/>
      <w:tblCellMar>
        <w:left w:w="115.0" w:type="dxa"/>
        <w:right w:w="115.0" w:type="dxa"/>
      </w:tblCellMar>
    </w:tblPr>
  </w:style>
  <w:style w:type="table" w:styleId="afffffff8" w:customStyle="1">
    <w:basedOn w:val="TableNormal5"/>
    <w:tblPr>
      <w:tblStyleRowBandSize w:val="1"/>
      <w:tblStyleColBandSize w:val="1"/>
      <w:tblCellMar>
        <w:left w:w="115.0" w:type="dxa"/>
        <w:right w:w="115.0" w:type="dxa"/>
      </w:tblCellMar>
    </w:tblPr>
  </w:style>
  <w:style w:type="table" w:styleId="afffffff9" w:customStyle="1">
    <w:basedOn w:val="TableNormal5"/>
    <w:tblPr>
      <w:tblStyleRowBandSize w:val="1"/>
      <w:tblStyleColBandSize w:val="1"/>
      <w:tblCellMar>
        <w:left w:w="115.0" w:type="dxa"/>
        <w:right w:w="115.0" w:type="dxa"/>
      </w:tblCellMar>
    </w:tblPr>
  </w:style>
  <w:style w:type="table" w:styleId="afffffffa" w:customStyle="1">
    <w:basedOn w:val="TableNormal5"/>
    <w:tblPr>
      <w:tblStyleRowBandSize w:val="1"/>
      <w:tblStyleColBandSize w:val="1"/>
      <w:tblCellMar>
        <w:left w:w="115.0" w:type="dxa"/>
        <w:right w:w="115.0" w:type="dxa"/>
      </w:tblCellMar>
    </w:tblPr>
  </w:style>
  <w:style w:type="table" w:styleId="afffffffb" w:customStyle="1">
    <w:basedOn w:val="TableNormal5"/>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vaG34yBkBnNzlzb3RKpK7DqLbg==">CgMxLjAyCWguMTQ3bjJ6cjIOaC4zcnRydDZjOWxibjkyDmguOXB1bG9uc3duZXR5Mg5oLm14NnJoc3IxdTZoMjIOaC5uMGUzemdmMjlqcWQyDmgubWdkZzN6anNtaDVnMg5oLjl2YTRmZTJwZXRudzIOaC51NjY1dGF6MXFudGMyDmgua3N3eHpxb3E2ZDlpMg5oLmc0MnhjeWIydnFlNjgAciExUkpQWWpnb1ZJdUs5Y0hlYmxwVGlvdV9iVHg3ZkstX1g=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2024-10-09T03:48:00Z</dcterms:created>
  <dc:creator>Cliente</dc:creator>
</cp:coreProperties>
</file>