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6400800" cy="1063625"/>
            <wp:effectExtent b="0" l="0" r="0" t="0"/>
            <wp:docPr id="15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008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2f5496"/>
          <w:sz w:val="120"/>
          <w:szCs w:val="120"/>
        </w:rPr>
      </w:pPr>
      <w:r w:rsidDel="00000000" w:rsidR="00000000" w:rsidRPr="00000000">
        <w:rPr>
          <w:b w:val="1"/>
          <w:color w:val="2f5496"/>
          <w:sz w:val="120"/>
          <w:szCs w:val="120"/>
          <w:rtl w:val="0"/>
        </w:rPr>
        <w:t xml:space="preserve">DuocSwap</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Profesor:  Ignacio VillaRoel Sanchez </w:t>
      </w:r>
    </w:p>
    <w:p w:rsidR="00000000" w:rsidDel="00000000" w:rsidP="00000000" w:rsidRDefault="00000000" w:rsidRPr="00000000" w14:paraId="0000001D">
      <w:pPr>
        <w:rPr/>
      </w:pPr>
      <w:r w:rsidDel="00000000" w:rsidR="00000000" w:rsidRPr="00000000">
        <w:rPr>
          <w:rtl w:val="0"/>
        </w:rPr>
        <w:t xml:space="preserve">Asignatura: Capstone</w:t>
      </w:r>
    </w:p>
    <w:p w:rsidR="00000000" w:rsidDel="00000000" w:rsidP="00000000" w:rsidRDefault="00000000" w:rsidRPr="00000000" w14:paraId="0000001E">
      <w:pPr>
        <w:rPr/>
      </w:pPr>
      <w:r w:rsidDel="00000000" w:rsidR="00000000" w:rsidRPr="00000000">
        <w:rPr>
          <w:rtl w:val="0"/>
        </w:rPr>
        <w:t xml:space="preserve">Fecha: 14-11-2024</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rPr>
          <w:b w:val="1"/>
          <w:color w:val="000000"/>
          <w:sz w:val="32"/>
          <w:szCs w:val="32"/>
        </w:rPr>
      </w:pPr>
      <w:bookmarkStart w:colFirst="0" w:colLast="0" w:name="_heading=h.147n2zr" w:id="0"/>
      <w:bookmarkEnd w:id="0"/>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before="240" w:line="259" w:lineRule="auto"/>
        <w:rPr>
          <w:b w:val="1"/>
          <w:color w:val="2f5496"/>
          <w:sz w:val="32"/>
          <w:szCs w:val="32"/>
        </w:rPr>
      </w:pPr>
      <w:r w:rsidDel="00000000" w:rsidR="00000000" w:rsidRPr="00000000">
        <w:rPr>
          <w:b w:val="1"/>
          <w:color w:val="2f5496"/>
          <w:sz w:val="32"/>
          <w:szCs w:val="32"/>
          <w:rtl w:val="0"/>
        </w:rPr>
        <w:t xml:space="preserve">Índice</w:t>
      </w:r>
    </w:p>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before="240" w:line="259" w:lineRule="auto"/>
        <w:rPr>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mx6rhsr1u6h2">
            <w:r w:rsidDel="00000000" w:rsidR="00000000" w:rsidRPr="00000000">
              <w:rPr>
                <w:rFonts w:ascii="Arial" w:cs="Arial" w:eastAsia="Arial" w:hAnsi="Arial"/>
                <w:b w:val="1"/>
                <w:color w:val="000000"/>
                <w:sz w:val="22"/>
                <w:szCs w:val="22"/>
                <w:rtl w:val="0"/>
              </w:rPr>
              <w:t xml:space="preserve">Abstract (Resumen en español)</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color w:val="000000"/>
              <w:sz w:val="22"/>
              <w:szCs w:val="22"/>
            </w:rPr>
          </w:pPr>
          <w:hyperlink w:anchor="_heading=h.9va4fe2petnw">
            <w:r w:rsidDel="00000000" w:rsidR="00000000" w:rsidRPr="00000000">
              <w:rPr>
                <w:rFonts w:ascii="Arial" w:cs="Arial" w:eastAsia="Arial" w:hAnsi="Arial"/>
                <w:b w:val="1"/>
                <w:color w:val="000000"/>
                <w:sz w:val="22"/>
                <w:szCs w:val="22"/>
                <w:rtl w:val="0"/>
              </w:rPr>
              <w:t xml:space="preserve">Metodología aplicada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color w:val="000000"/>
              <w:sz w:val="22"/>
              <w:szCs w:val="22"/>
            </w:rPr>
          </w:pPr>
          <w:hyperlink w:anchor="_heading=h.k0wcluntij3d">
            <w:r w:rsidDel="00000000" w:rsidR="00000000" w:rsidRPr="00000000">
              <w:rPr>
                <w:rFonts w:ascii="Arial" w:cs="Arial" w:eastAsia="Arial" w:hAnsi="Arial"/>
                <w:b w:val="1"/>
                <w:color w:val="000000"/>
                <w:sz w:val="22"/>
                <w:szCs w:val="22"/>
                <w:rtl w:val="0"/>
              </w:rPr>
              <w:t xml:space="preserve">Evidencias del Avance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color w:val="000000"/>
              <w:sz w:val="22"/>
              <w:szCs w:val="22"/>
            </w:rPr>
          </w:pPr>
          <w:hyperlink w:anchor="_heading=h.g42xcyb2vqe6">
            <w:r w:rsidDel="00000000" w:rsidR="00000000" w:rsidRPr="00000000">
              <w:rPr>
                <w:rFonts w:ascii="Arial" w:cs="Arial" w:eastAsia="Arial" w:hAnsi="Arial"/>
                <w:b w:val="1"/>
                <w:color w:val="000000"/>
                <w:sz w:val="22"/>
                <w:szCs w:val="22"/>
                <w:rtl w:val="0"/>
              </w:rPr>
              <w:t xml:space="preserve">Aspectos formales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color w:val="000000"/>
              <w:sz w:val="22"/>
              <w:szCs w:val="22"/>
            </w:rPr>
          </w:pPr>
          <w:hyperlink w:anchor="_heading=h.9edu2ee6afsl">
            <w:r w:rsidDel="00000000" w:rsidR="00000000" w:rsidRPr="00000000">
              <w:rPr>
                <w:rFonts w:ascii="Arial" w:cs="Arial" w:eastAsia="Arial" w:hAnsi="Arial"/>
                <w:b w:val="1"/>
                <w:color w:val="000000"/>
                <w:sz w:val="22"/>
                <w:szCs w:val="22"/>
                <w:rtl w:val="0"/>
              </w:rPr>
              <w:t xml:space="preserve">Conclusiones individuales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color w:val="000000"/>
              <w:sz w:val="22"/>
              <w:szCs w:val="22"/>
            </w:rPr>
          </w:pPr>
          <w:hyperlink w:anchor="_heading=h.mzjeq6uhir25">
            <w:r w:rsidDel="00000000" w:rsidR="00000000" w:rsidRPr="00000000">
              <w:rPr>
                <w:rFonts w:ascii="Arial" w:cs="Arial" w:eastAsia="Arial" w:hAnsi="Arial"/>
                <w:b w:val="1"/>
                <w:color w:val="000000"/>
                <w:sz w:val="22"/>
                <w:szCs w:val="22"/>
                <w:rtl w:val="0"/>
              </w:rPr>
              <w:t xml:space="preserve">Reflexión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jc w:val="center"/>
        <w:rPr>
          <w:b w:val="1"/>
        </w:rPr>
      </w:pPr>
      <w:r w:rsidDel="00000000" w:rsidR="00000000" w:rsidRPr="00000000">
        <w:rPr>
          <w:rtl w:val="0"/>
        </w:rPr>
      </w:r>
    </w:p>
    <w:p w:rsidR="00000000" w:rsidDel="00000000" w:rsidP="00000000" w:rsidRDefault="00000000" w:rsidRPr="00000000" w14:paraId="0000002F">
      <w:pPr>
        <w:pStyle w:val="Title"/>
        <w:spacing w:line="360" w:lineRule="auto"/>
        <w:jc w:val="center"/>
        <w:rPr/>
      </w:pPr>
      <w:bookmarkStart w:colFirst="0" w:colLast="0" w:name="_heading=h.9pulonswnety" w:id="1"/>
      <w:bookmarkEnd w:id="1"/>
      <w:r w:rsidDel="00000000" w:rsidR="00000000" w:rsidRPr="00000000">
        <w:rPr>
          <w:rtl w:val="0"/>
        </w:rPr>
        <w:t xml:space="preserve">Autoevaluación Informe de Avance del Proyecto APT</w:t>
      </w:r>
    </w:p>
    <w:p w:rsidR="00000000" w:rsidDel="00000000" w:rsidP="00000000" w:rsidRDefault="00000000" w:rsidRPr="00000000" w14:paraId="00000030">
      <w:pPr>
        <w:spacing w:line="360" w:lineRule="auto"/>
        <w:jc w:val="center"/>
        <w:rPr>
          <w:b w:val="1"/>
        </w:rPr>
      </w:pPr>
      <w:r w:rsidDel="00000000" w:rsidR="00000000" w:rsidRPr="00000000">
        <w:rPr>
          <w:rtl w:val="0"/>
        </w:rPr>
      </w:r>
    </w:p>
    <w:p w:rsidR="00000000" w:rsidDel="00000000" w:rsidP="00000000" w:rsidRDefault="00000000" w:rsidRPr="00000000" w14:paraId="00000031">
      <w:pPr>
        <w:pStyle w:val="Heading1"/>
        <w:keepNext w:val="0"/>
        <w:keepLines w:val="0"/>
        <w:spacing w:line="360" w:lineRule="auto"/>
        <w:rPr/>
      </w:pPr>
      <w:bookmarkStart w:colFirst="0" w:colLast="0" w:name="_heading=h.mx6rhsr1u6h2" w:id="2"/>
      <w:bookmarkEnd w:id="2"/>
      <w:r w:rsidDel="00000000" w:rsidR="00000000" w:rsidRPr="00000000">
        <w:rPr>
          <w:rtl w:val="0"/>
        </w:rPr>
        <w:t xml:space="preserve">Abstract (Resumen en español)</w:t>
      </w:r>
    </w:p>
    <w:p w:rsidR="00000000" w:rsidDel="00000000" w:rsidP="00000000" w:rsidRDefault="00000000" w:rsidRPr="00000000" w14:paraId="00000032">
      <w:pPr>
        <w:spacing w:after="240" w:before="240" w:line="360" w:lineRule="auto"/>
        <w:rPr/>
      </w:pPr>
      <w:r w:rsidDel="00000000" w:rsidR="00000000" w:rsidRPr="00000000">
        <w:rPr>
          <w:rtl w:val="0"/>
        </w:rPr>
        <w:t xml:space="preserve">En el desarrollo del proyecto DuocSwap, he tenido la oportunidad de poner en práctica mis conocimientos en ingeniería de software y Desarrollo Movile, centrándome en la estructura del sistema y la implementación de características clave como el inicio de sesión de usuarios y la administración de transacciones. La utilización de un enfoque modular mediante MariaDB y Angular ha sido esencial para lograr la escalabilidad y seguridad de la plataforma. A pesar de algunos desafíos, como la migración de la base de datos, estos fueron superados con ajustes en la planificación y distribución de tareas.</w:t>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pStyle w:val="Title"/>
        <w:spacing w:after="240" w:before="240" w:line="360" w:lineRule="auto"/>
        <w:rPr/>
      </w:pPr>
      <w:bookmarkStart w:colFirst="0" w:colLast="0" w:name="_heading=h.11g6i1q0ek3d" w:id="3"/>
      <w:bookmarkEnd w:id="3"/>
      <w:r w:rsidDel="00000000" w:rsidR="00000000" w:rsidRPr="00000000">
        <w:rPr>
          <w:rtl w:val="0"/>
        </w:rPr>
        <w:t xml:space="preserve">Desarrollo de Ingeniería</w:t>
      </w:r>
    </w:p>
    <w:p w:rsidR="00000000" w:rsidDel="00000000" w:rsidP="00000000" w:rsidRDefault="00000000" w:rsidRPr="00000000" w14:paraId="00000038">
      <w:pPr>
        <w:pStyle w:val="Heading1"/>
        <w:keepNext w:val="0"/>
        <w:keepLines w:val="0"/>
        <w:spacing w:line="360" w:lineRule="auto"/>
        <w:rPr/>
      </w:pPr>
      <w:bookmarkStart w:colFirst="0" w:colLast="0" w:name="_heading=h.9va4fe2petnw" w:id="4"/>
      <w:bookmarkEnd w:id="4"/>
      <w:r w:rsidDel="00000000" w:rsidR="00000000" w:rsidRPr="00000000">
        <w:rPr>
          <w:rtl w:val="0"/>
        </w:rPr>
        <w:t xml:space="preserve">Metodología aplicada</w:t>
      </w:r>
    </w:p>
    <w:p w:rsidR="00000000" w:rsidDel="00000000" w:rsidP="00000000" w:rsidRDefault="00000000" w:rsidRPr="00000000" w14:paraId="00000039">
      <w:pPr>
        <w:spacing w:after="240" w:before="240" w:line="360" w:lineRule="auto"/>
        <w:rPr/>
      </w:pPr>
      <w:r w:rsidDel="00000000" w:rsidR="00000000" w:rsidRPr="00000000">
        <w:rPr>
          <w:rtl w:val="0"/>
        </w:rPr>
        <w:t xml:space="preserve">Opté por una metodología tradicional para asegurar el orden en cada etapa del proyecto, cumpliendo con los plazos fijados. También hice ajustes en esta metodología para optimizar la redistribución de tareas según la carga de trabajo. Las revisiones periódicas resultaron cruciales para mantener la calidad del proyecto en cada fase.</w:t>
      </w:r>
    </w:p>
    <w:p w:rsidR="00000000" w:rsidDel="00000000" w:rsidP="00000000" w:rsidRDefault="00000000" w:rsidRPr="00000000" w14:paraId="0000003A">
      <w:pPr>
        <w:pStyle w:val="Heading1"/>
        <w:keepNext w:val="0"/>
        <w:keepLines w:val="0"/>
        <w:spacing w:line="360" w:lineRule="auto"/>
        <w:rPr/>
      </w:pPr>
      <w:bookmarkStart w:colFirst="0" w:colLast="0" w:name="_heading=h.k0wcluntij3d" w:id="5"/>
      <w:bookmarkEnd w:id="5"/>
      <w:r w:rsidDel="00000000" w:rsidR="00000000" w:rsidRPr="00000000">
        <w:rPr>
          <w:rtl w:val="0"/>
        </w:rPr>
        <w:t xml:space="preserve">Evidencias del Avance del Proyecto</w:t>
      </w:r>
    </w:p>
    <w:p w:rsidR="00000000" w:rsidDel="00000000" w:rsidP="00000000" w:rsidRDefault="00000000" w:rsidRPr="00000000" w14:paraId="0000003B">
      <w:pPr>
        <w:spacing w:after="240" w:line="360" w:lineRule="auto"/>
        <w:ind w:left="0" w:firstLine="0"/>
        <w:rPr/>
      </w:pPr>
      <w:r w:rsidDel="00000000" w:rsidR="00000000" w:rsidRPr="00000000">
        <w:rPr>
          <w:rtl w:val="0"/>
        </w:rPr>
        <w:t xml:space="preserve">Hasta ahora, hemos logrado desarrollar y documentar los siguientes elementos clave:</w:t>
      </w:r>
    </w:p>
    <w:p w:rsidR="00000000" w:rsidDel="00000000" w:rsidP="00000000" w:rsidRDefault="00000000" w:rsidRPr="00000000" w14:paraId="0000003C">
      <w:pPr>
        <w:numPr>
          <w:ilvl w:val="0"/>
          <w:numId w:val="1"/>
        </w:numPr>
        <w:spacing w:after="240" w:line="360" w:lineRule="auto"/>
        <w:ind w:left="720" w:hanging="360"/>
        <w:rPr>
          <w:b w:val="1"/>
        </w:rPr>
      </w:pPr>
      <w:r w:rsidDel="00000000" w:rsidR="00000000" w:rsidRPr="00000000">
        <w:rPr>
          <w:rtl w:val="0"/>
        </w:rPr>
        <w:t xml:space="preserve">Documentación de Requerimientos: Se han establecido los requerimientos necesarios para el proyecto, alineados con las expectativas de los usuarios y objetivos.</w:t>
      </w:r>
    </w:p>
    <w:p w:rsidR="00000000" w:rsidDel="00000000" w:rsidP="00000000" w:rsidRDefault="00000000" w:rsidRPr="00000000" w14:paraId="0000003D">
      <w:pPr>
        <w:numPr>
          <w:ilvl w:val="0"/>
          <w:numId w:val="1"/>
        </w:numPr>
        <w:spacing w:after="240" w:line="360" w:lineRule="auto"/>
        <w:ind w:left="720" w:hanging="360"/>
        <w:rPr>
          <w:b w:val="1"/>
        </w:rPr>
      </w:pPr>
      <w:r w:rsidDel="00000000" w:rsidR="00000000" w:rsidRPr="00000000">
        <w:rPr>
          <w:rtl w:val="0"/>
        </w:rPr>
        <w:t xml:space="preserve">Casos de Uso: Se han creado casos de uso detallados, definiendo las interacciones usuario-sistema y guiando el desarrollo.</w:t>
      </w:r>
    </w:p>
    <w:p w:rsidR="00000000" w:rsidDel="00000000" w:rsidP="00000000" w:rsidRDefault="00000000" w:rsidRPr="00000000" w14:paraId="0000003E">
      <w:pPr>
        <w:numPr>
          <w:ilvl w:val="0"/>
          <w:numId w:val="1"/>
        </w:numPr>
        <w:spacing w:after="240" w:line="360" w:lineRule="auto"/>
        <w:ind w:left="720" w:hanging="360"/>
        <w:rPr>
          <w:b w:val="1"/>
        </w:rPr>
      </w:pPr>
      <w:r w:rsidDel="00000000" w:rsidR="00000000" w:rsidRPr="00000000">
        <w:rPr>
          <w:rtl w:val="0"/>
        </w:rPr>
        <w:t xml:space="preserve">Mockups: Se diseñaron mockups de la interfaz para anticipar la experiencia de usuario y permitir retroalimentación.</w:t>
      </w:r>
    </w:p>
    <w:p w:rsidR="00000000" w:rsidDel="00000000" w:rsidP="00000000" w:rsidRDefault="00000000" w:rsidRPr="00000000" w14:paraId="0000003F">
      <w:pPr>
        <w:numPr>
          <w:ilvl w:val="0"/>
          <w:numId w:val="1"/>
        </w:numPr>
        <w:spacing w:after="240" w:line="360" w:lineRule="auto"/>
        <w:ind w:left="720" w:hanging="360"/>
        <w:rPr>
          <w:b w:val="1"/>
        </w:rPr>
      </w:pPr>
      <w:r w:rsidDel="00000000" w:rsidR="00000000" w:rsidRPr="00000000">
        <w:rPr>
          <w:rtl w:val="0"/>
        </w:rPr>
        <w:t xml:space="preserve">Acta de Constitución del Proyecto: El acta formaliza el alcance, objetivos y las partes interesadas.</w:t>
      </w:r>
    </w:p>
    <w:p w:rsidR="00000000" w:rsidDel="00000000" w:rsidP="00000000" w:rsidRDefault="00000000" w:rsidRPr="00000000" w14:paraId="00000040">
      <w:pPr>
        <w:numPr>
          <w:ilvl w:val="0"/>
          <w:numId w:val="1"/>
        </w:numPr>
        <w:spacing w:after="240" w:line="360" w:lineRule="auto"/>
        <w:ind w:left="720" w:hanging="360"/>
        <w:rPr>
          <w:b w:val="1"/>
        </w:rPr>
      </w:pPr>
      <w:r w:rsidDel="00000000" w:rsidR="00000000" w:rsidRPr="00000000">
        <w:rPr>
          <w:rtl w:val="0"/>
        </w:rPr>
        <w:t xml:space="preserve">Informes de ERS y DAS: Se completaron los informes de especificación de requerimientos y diseño arquitectónico, proporcionando una base sólida.</w:t>
      </w:r>
    </w:p>
    <w:p w:rsidR="00000000" w:rsidDel="00000000" w:rsidP="00000000" w:rsidRDefault="00000000" w:rsidRPr="00000000" w14:paraId="00000041">
      <w:pPr>
        <w:numPr>
          <w:ilvl w:val="0"/>
          <w:numId w:val="1"/>
        </w:numPr>
        <w:spacing w:after="240" w:line="360" w:lineRule="auto"/>
        <w:ind w:left="720" w:hanging="360"/>
        <w:rPr>
          <w:b w:val="1"/>
        </w:rPr>
      </w:pPr>
      <w:r w:rsidDel="00000000" w:rsidR="00000000" w:rsidRPr="00000000">
        <w:rPr>
          <w:rtl w:val="0"/>
        </w:rPr>
        <w:t xml:space="preserve">Diagramas de Actividad y de Secuencia: Representan flujos de trabajo y la interacción entre componentes del sistema.</w:t>
      </w:r>
    </w:p>
    <w:p w:rsidR="00000000" w:rsidDel="00000000" w:rsidP="00000000" w:rsidRDefault="00000000" w:rsidRPr="00000000" w14:paraId="00000042">
      <w:pPr>
        <w:numPr>
          <w:ilvl w:val="0"/>
          <w:numId w:val="1"/>
        </w:numPr>
        <w:spacing w:after="240" w:line="360" w:lineRule="auto"/>
        <w:ind w:left="720" w:hanging="360"/>
        <w:rPr>
          <w:b w:val="1"/>
        </w:rPr>
      </w:pPr>
      <w:r w:rsidDel="00000000" w:rsidR="00000000" w:rsidRPr="00000000">
        <w:rPr>
          <w:rtl w:val="0"/>
        </w:rPr>
        <w:t xml:space="preserve">Modelo Relacional de la Base de Datos: Define la estructura y las relaciones de la base de datos.</w:t>
      </w:r>
    </w:p>
    <w:p w:rsidR="00000000" w:rsidDel="00000000" w:rsidP="00000000" w:rsidRDefault="00000000" w:rsidRPr="00000000" w14:paraId="00000043">
      <w:pPr>
        <w:numPr>
          <w:ilvl w:val="0"/>
          <w:numId w:val="1"/>
        </w:numPr>
        <w:spacing w:after="240" w:line="360" w:lineRule="auto"/>
        <w:ind w:left="720" w:hanging="360"/>
        <w:rPr>
          <w:b w:val="1"/>
        </w:rPr>
      </w:pPr>
      <w:r w:rsidDel="00000000" w:rsidR="00000000" w:rsidRPr="00000000">
        <w:rPr>
          <w:rtl w:val="0"/>
        </w:rPr>
        <w:t xml:space="preserve">Modelo de Clases: Representa las entidades y relaciones en el sistema.</w:t>
      </w:r>
    </w:p>
    <w:p w:rsidR="00000000" w:rsidDel="00000000" w:rsidP="00000000" w:rsidRDefault="00000000" w:rsidRPr="00000000" w14:paraId="00000044">
      <w:pPr>
        <w:numPr>
          <w:ilvl w:val="0"/>
          <w:numId w:val="1"/>
        </w:numPr>
        <w:spacing w:after="240" w:line="360" w:lineRule="auto"/>
        <w:ind w:left="720" w:hanging="360"/>
        <w:rPr>
          <w:b w:val="1"/>
        </w:rPr>
      </w:pPr>
      <w:r w:rsidDel="00000000" w:rsidR="00000000" w:rsidRPr="00000000">
        <w:rPr>
          <w:rtl w:val="0"/>
        </w:rPr>
        <w:t xml:space="preserve">Diagramas de Componentes y Despliegue: Muestran la organización de los componentes y su distribución en la infraestructura.</w:t>
      </w:r>
    </w:p>
    <w:p w:rsidR="00000000" w:rsidDel="00000000" w:rsidP="00000000" w:rsidRDefault="00000000" w:rsidRPr="00000000" w14:paraId="00000045">
      <w:pPr>
        <w:numPr>
          <w:ilvl w:val="0"/>
          <w:numId w:val="1"/>
        </w:numPr>
        <w:spacing w:after="240" w:line="360" w:lineRule="auto"/>
        <w:ind w:left="720" w:hanging="360"/>
        <w:rPr>
          <w:b w:val="1"/>
        </w:rPr>
      </w:pPr>
      <w:r w:rsidDel="00000000" w:rsidR="00000000" w:rsidRPr="00000000">
        <w:rPr>
          <w:rtl w:val="0"/>
        </w:rPr>
        <w:t xml:space="preserve">Matriz RACI y Matriz de Riesgo: Definen responsabilidades y mitigan posibles riesgos.</w:t>
      </w:r>
    </w:p>
    <w:p w:rsidR="00000000" w:rsidDel="00000000" w:rsidP="00000000" w:rsidRDefault="00000000" w:rsidRPr="00000000" w14:paraId="00000046">
      <w:pPr>
        <w:numPr>
          <w:ilvl w:val="0"/>
          <w:numId w:val="1"/>
        </w:numPr>
        <w:spacing w:after="240" w:line="360" w:lineRule="auto"/>
        <w:ind w:left="720" w:hanging="360"/>
        <w:rPr>
          <w:b w:val="1"/>
        </w:rPr>
      </w:pPr>
      <w:r w:rsidDel="00000000" w:rsidR="00000000" w:rsidRPr="00000000">
        <w:rPr>
          <w:rtl w:val="0"/>
        </w:rPr>
        <w:t xml:space="preserve">Carta Gantt: Ilustra el avance del proyecto conforme a los plazos.</w:t>
      </w:r>
    </w:p>
    <w:p w:rsidR="00000000" w:rsidDel="00000000" w:rsidP="00000000" w:rsidRDefault="00000000" w:rsidRPr="00000000" w14:paraId="00000047">
      <w:pPr>
        <w:spacing w:after="240" w:line="360" w:lineRule="auto"/>
        <w:rPr/>
      </w:pPr>
      <w:r w:rsidDel="00000000" w:rsidR="00000000" w:rsidRPr="00000000">
        <w:rPr>
          <w:rtl w:val="0"/>
        </w:rPr>
      </w:r>
    </w:p>
    <w:p w:rsidR="00000000" w:rsidDel="00000000" w:rsidP="00000000" w:rsidRDefault="00000000" w:rsidRPr="00000000" w14:paraId="00000048">
      <w:pPr>
        <w:spacing w:after="240" w:line="360" w:lineRule="auto"/>
        <w:rPr/>
      </w:pPr>
      <w:r w:rsidDel="00000000" w:rsidR="00000000" w:rsidRPr="00000000">
        <w:rPr>
          <w:rtl w:val="0"/>
        </w:rPr>
      </w:r>
    </w:p>
    <w:p w:rsidR="00000000" w:rsidDel="00000000" w:rsidP="00000000" w:rsidRDefault="00000000" w:rsidRPr="00000000" w14:paraId="00000049">
      <w:pPr>
        <w:spacing w:after="240" w:line="360" w:lineRule="auto"/>
        <w:rPr/>
      </w:pPr>
      <w:r w:rsidDel="00000000" w:rsidR="00000000" w:rsidRPr="00000000">
        <w:rPr>
          <w:rtl w:val="0"/>
        </w:rPr>
      </w:r>
    </w:p>
    <w:p w:rsidR="00000000" w:rsidDel="00000000" w:rsidP="00000000" w:rsidRDefault="00000000" w:rsidRPr="00000000" w14:paraId="0000004A">
      <w:pPr>
        <w:spacing w:after="240" w:line="360" w:lineRule="auto"/>
        <w:rPr/>
      </w:pPr>
      <w:r w:rsidDel="00000000" w:rsidR="00000000" w:rsidRPr="00000000">
        <w:rPr>
          <w:rtl w:val="0"/>
        </w:rPr>
      </w:r>
    </w:p>
    <w:p w:rsidR="00000000" w:rsidDel="00000000" w:rsidP="00000000" w:rsidRDefault="00000000" w:rsidRPr="00000000" w14:paraId="0000004B">
      <w:pPr>
        <w:spacing w:after="240" w:line="360" w:lineRule="auto"/>
        <w:rPr/>
      </w:pPr>
      <w:r w:rsidDel="00000000" w:rsidR="00000000" w:rsidRPr="00000000">
        <w:rPr>
          <w:rtl w:val="0"/>
        </w:rPr>
      </w:r>
    </w:p>
    <w:p w:rsidR="00000000" w:rsidDel="00000000" w:rsidP="00000000" w:rsidRDefault="00000000" w:rsidRPr="00000000" w14:paraId="0000004C">
      <w:pPr>
        <w:spacing w:after="240" w:line="360" w:lineRule="auto"/>
        <w:rPr/>
      </w:pPr>
      <w:r w:rsidDel="00000000" w:rsidR="00000000" w:rsidRPr="00000000">
        <w:rPr>
          <w:rtl w:val="0"/>
        </w:rPr>
      </w:r>
    </w:p>
    <w:p w:rsidR="00000000" w:rsidDel="00000000" w:rsidP="00000000" w:rsidRDefault="00000000" w:rsidRPr="00000000" w14:paraId="0000004D">
      <w:pPr>
        <w:spacing w:after="240" w:line="360" w:lineRule="auto"/>
        <w:rPr/>
      </w:pPr>
      <w:r w:rsidDel="00000000" w:rsidR="00000000" w:rsidRPr="00000000">
        <w:rPr>
          <w:rtl w:val="0"/>
        </w:rPr>
      </w:r>
    </w:p>
    <w:p w:rsidR="00000000" w:rsidDel="00000000" w:rsidP="00000000" w:rsidRDefault="00000000" w:rsidRPr="00000000" w14:paraId="0000004E">
      <w:pPr>
        <w:spacing w:after="240" w:before="240" w:line="360" w:lineRule="auto"/>
        <w:rPr/>
      </w:pPr>
      <w:r w:rsidDel="00000000" w:rsidR="00000000" w:rsidRPr="00000000">
        <w:rPr>
          <w:rtl w:val="0"/>
        </w:rPr>
      </w:r>
    </w:p>
    <w:p w:rsidR="00000000" w:rsidDel="00000000" w:rsidP="00000000" w:rsidRDefault="00000000" w:rsidRPr="00000000" w14:paraId="0000004F">
      <w:pPr>
        <w:spacing w:after="240" w:before="240" w:line="360" w:lineRule="auto"/>
        <w:rPr/>
      </w:pP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r>
    </w:p>
    <w:p w:rsidR="00000000" w:rsidDel="00000000" w:rsidP="00000000" w:rsidRDefault="00000000" w:rsidRPr="00000000" w14:paraId="00000052">
      <w:pPr>
        <w:pStyle w:val="Heading1"/>
        <w:keepNext w:val="0"/>
        <w:keepLines w:val="0"/>
        <w:spacing w:line="360" w:lineRule="auto"/>
        <w:rPr/>
      </w:pPr>
      <w:bookmarkStart w:colFirst="0" w:colLast="0" w:name="_heading=h.imlag8q4wbib" w:id="6"/>
      <w:bookmarkEnd w:id="6"/>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keepNext w:val="0"/>
        <w:keepLines w:val="0"/>
        <w:spacing w:line="360" w:lineRule="auto"/>
        <w:rPr/>
      </w:pPr>
      <w:bookmarkStart w:colFirst="0" w:colLast="0" w:name="_heading=h.g42xcyb2vqe6" w:id="7"/>
      <w:bookmarkEnd w:id="7"/>
      <w:r w:rsidDel="00000000" w:rsidR="00000000" w:rsidRPr="00000000">
        <w:rPr>
          <w:rtl w:val="0"/>
        </w:rPr>
        <w:t xml:space="preserve">Aspectos formales</w:t>
      </w:r>
    </w:p>
    <w:p w:rsidR="00000000" w:rsidDel="00000000" w:rsidP="00000000" w:rsidRDefault="00000000" w:rsidRPr="00000000" w14:paraId="00000055">
      <w:pPr>
        <w:spacing w:after="240" w:before="240" w:line="360" w:lineRule="auto"/>
        <w:rPr/>
      </w:pPr>
      <w:r w:rsidDel="00000000" w:rsidR="00000000" w:rsidRPr="00000000">
        <w:rPr>
          <w:rtl w:val="0"/>
        </w:rPr>
        <w:t xml:space="preserve">El informe sigue los lineamientos formales especificados, con especial cuidado en la precisión del lenguaje técnico y ortográfico. El formato incluye portada, índice, resumen, desarrollo de ingeniería, y anexos, cumpliendo con el estándar de presentación requerido. Las referencias y citas se han integrado de manera adecuada, y se ha incluido la documentación gráfica y tabular para respaldar el informe.</w:t>
      </w:r>
    </w:p>
    <w:p w:rsidR="00000000" w:rsidDel="00000000" w:rsidP="00000000" w:rsidRDefault="00000000" w:rsidRPr="00000000" w14:paraId="00000056">
      <w:pPr>
        <w:spacing w:after="240" w:before="240" w:line="360" w:lineRule="auto"/>
        <w:rPr/>
      </w:pPr>
      <w:r w:rsidDel="00000000" w:rsidR="00000000" w:rsidRPr="00000000">
        <w:rPr>
          <w:rtl w:val="0"/>
        </w:rPr>
      </w:r>
    </w:p>
    <w:p w:rsidR="00000000" w:rsidDel="00000000" w:rsidP="00000000" w:rsidRDefault="00000000" w:rsidRPr="00000000" w14:paraId="00000057">
      <w:pPr>
        <w:pStyle w:val="Heading1"/>
        <w:keepNext w:val="0"/>
        <w:keepLines w:val="0"/>
        <w:spacing w:after="80" w:before="360" w:line="360" w:lineRule="auto"/>
        <w:rPr/>
      </w:pPr>
      <w:bookmarkStart w:colFirst="0" w:colLast="0" w:name="_heading=h.9edu2ee6afsl" w:id="8"/>
      <w:bookmarkEnd w:id="8"/>
      <w:r w:rsidDel="00000000" w:rsidR="00000000" w:rsidRPr="00000000">
        <w:rPr>
          <w:rtl w:val="0"/>
        </w:rPr>
        <w:t xml:space="preserve">Conclusiones individuales</w:t>
      </w:r>
    </w:p>
    <w:p w:rsidR="00000000" w:rsidDel="00000000" w:rsidP="00000000" w:rsidRDefault="00000000" w:rsidRPr="00000000" w14:paraId="00000058">
      <w:pPr>
        <w:spacing w:after="240" w:before="240" w:line="360" w:lineRule="auto"/>
        <w:rPr/>
      </w:pPr>
      <w:r w:rsidDel="00000000" w:rsidR="00000000" w:rsidRPr="00000000">
        <w:rPr>
          <w:rtl w:val="0"/>
        </w:rPr>
        <w:t xml:space="preserve">Este proyecto ha sido una excelente oportunidad para reforzar mis habilidades técnicas y de gestión. Aprendí la importancia de la comunicación constante y la flexibilidad en la planificación ante imprevistos. Mejoré en desarrollo orientado a objetos y administración de bases de datos complejas. En resumen, esta experiencia me permitió consolidar mi formación en ingeniería de software, aportando soluciones eficaces ante los desafíos enfrentados.</w:t>
      </w:r>
    </w:p>
    <w:p w:rsidR="00000000" w:rsidDel="00000000" w:rsidP="00000000" w:rsidRDefault="00000000" w:rsidRPr="00000000" w14:paraId="00000059">
      <w:pPr>
        <w:spacing w:after="240" w:before="240" w:line="360" w:lineRule="auto"/>
        <w:rPr/>
      </w:pPr>
      <w:r w:rsidDel="00000000" w:rsidR="00000000" w:rsidRPr="00000000">
        <w:rPr>
          <w:rtl w:val="0"/>
        </w:rPr>
      </w:r>
    </w:p>
    <w:p w:rsidR="00000000" w:rsidDel="00000000" w:rsidP="00000000" w:rsidRDefault="00000000" w:rsidRPr="00000000" w14:paraId="0000005A">
      <w:pPr>
        <w:spacing w:after="240" w:before="240" w:line="360" w:lineRule="auto"/>
        <w:rPr/>
      </w:pPr>
      <w:r w:rsidDel="00000000" w:rsidR="00000000" w:rsidRPr="00000000">
        <w:rPr>
          <w:rtl w:val="0"/>
        </w:rPr>
      </w:r>
    </w:p>
    <w:p w:rsidR="00000000" w:rsidDel="00000000" w:rsidP="00000000" w:rsidRDefault="00000000" w:rsidRPr="00000000" w14:paraId="0000005B">
      <w:pPr>
        <w:spacing w:after="240" w:before="240" w:line="360" w:lineRule="auto"/>
        <w:rPr/>
      </w:pPr>
      <w:r w:rsidDel="00000000" w:rsidR="00000000" w:rsidRPr="00000000">
        <w:rPr>
          <w:rtl w:val="0"/>
        </w:rPr>
      </w:r>
    </w:p>
    <w:p w:rsidR="00000000" w:rsidDel="00000000" w:rsidP="00000000" w:rsidRDefault="00000000" w:rsidRPr="00000000" w14:paraId="0000005C">
      <w:pPr>
        <w:spacing w:after="240" w:before="240" w:line="360" w:lineRule="auto"/>
        <w:rPr/>
      </w:pPr>
      <w:r w:rsidDel="00000000" w:rsidR="00000000" w:rsidRPr="00000000">
        <w:rPr>
          <w:rtl w:val="0"/>
        </w:rPr>
      </w:r>
    </w:p>
    <w:p w:rsidR="00000000" w:rsidDel="00000000" w:rsidP="00000000" w:rsidRDefault="00000000" w:rsidRPr="00000000" w14:paraId="0000005D">
      <w:pPr>
        <w:spacing w:after="240" w:before="240" w:line="360" w:lineRule="auto"/>
        <w:rPr/>
      </w:pPr>
      <w:r w:rsidDel="00000000" w:rsidR="00000000" w:rsidRPr="00000000">
        <w:rPr>
          <w:rtl w:val="0"/>
        </w:rPr>
      </w:r>
    </w:p>
    <w:p w:rsidR="00000000" w:rsidDel="00000000" w:rsidP="00000000" w:rsidRDefault="00000000" w:rsidRPr="00000000" w14:paraId="0000005E">
      <w:pPr>
        <w:spacing w:after="240" w:before="240" w:line="360" w:lineRule="auto"/>
        <w:rPr/>
      </w:pPr>
      <w:r w:rsidDel="00000000" w:rsidR="00000000" w:rsidRPr="00000000">
        <w:rPr>
          <w:rtl w:val="0"/>
        </w:rPr>
      </w:r>
    </w:p>
    <w:p w:rsidR="00000000" w:rsidDel="00000000" w:rsidP="00000000" w:rsidRDefault="00000000" w:rsidRPr="00000000" w14:paraId="0000005F">
      <w:pPr>
        <w:spacing w:after="240" w:before="240" w:line="360" w:lineRule="auto"/>
        <w:rPr/>
      </w:pPr>
      <w:r w:rsidDel="00000000" w:rsidR="00000000" w:rsidRPr="00000000">
        <w:rPr>
          <w:rtl w:val="0"/>
        </w:rPr>
      </w:r>
    </w:p>
    <w:p w:rsidR="00000000" w:rsidDel="00000000" w:rsidP="00000000" w:rsidRDefault="00000000" w:rsidRPr="00000000" w14:paraId="00000060">
      <w:pPr>
        <w:spacing w:after="240" w:before="240" w:line="360" w:lineRule="auto"/>
        <w:rPr/>
      </w:pPr>
      <w:r w:rsidDel="00000000" w:rsidR="00000000" w:rsidRPr="00000000">
        <w:rPr>
          <w:rtl w:val="0"/>
        </w:rPr>
      </w:r>
    </w:p>
    <w:p w:rsidR="00000000" w:rsidDel="00000000" w:rsidP="00000000" w:rsidRDefault="00000000" w:rsidRPr="00000000" w14:paraId="00000061">
      <w:pPr>
        <w:pStyle w:val="Heading1"/>
        <w:keepNext w:val="0"/>
        <w:keepLines w:val="0"/>
        <w:spacing w:after="80" w:before="360" w:line="360" w:lineRule="auto"/>
        <w:rPr/>
      </w:pPr>
      <w:bookmarkStart w:colFirst="0" w:colLast="0" w:name="_heading=h.mzjeq6uhir25" w:id="9"/>
      <w:bookmarkEnd w:id="9"/>
      <w:r w:rsidDel="00000000" w:rsidR="00000000" w:rsidRPr="00000000">
        <w:rPr>
          <w:rtl w:val="0"/>
        </w:rPr>
        <w:t xml:space="preserve">Reflexión</w:t>
      </w:r>
    </w:p>
    <w:p w:rsidR="00000000" w:rsidDel="00000000" w:rsidP="00000000" w:rsidRDefault="00000000" w:rsidRPr="00000000" w14:paraId="00000062">
      <w:pPr>
        <w:spacing w:after="240" w:before="240" w:line="360" w:lineRule="auto"/>
        <w:rPr/>
      </w:pPr>
      <w:r w:rsidDel="00000000" w:rsidR="00000000" w:rsidRPr="00000000">
        <w:rPr>
          <w:rtl w:val="0"/>
        </w:rPr>
        <w:t xml:space="preserve">Durante mi participación, el trabajo en bases de datos y la creación de diagramas UML fueron claves para aplicar y perfeccionar mis habilidades técnicas. La elaboración de modelos de clases y secuencia facilitó mi comprensión de las interacciones del sistema y contribuyó al diseño orientado a objetos. Además, enfrentar el reto de implementar la lógica de negocio en Django me permitió desarrollar funcionalidades críticas como el sistema de publicaciones y notificaciones, mejorando la experiencia de los usuarios.</w:t>
      </w:r>
    </w:p>
    <w:p w:rsidR="00000000" w:rsidDel="00000000" w:rsidP="00000000" w:rsidRDefault="00000000" w:rsidRPr="00000000" w14:paraId="00000063">
      <w:pPr>
        <w:spacing w:after="240" w:before="240" w:line="360" w:lineRule="auto"/>
        <w:rPr/>
      </w:pPr>
      <w:r w:rsidDel="00000000" w:rsidR="00000000" w:rsidRPr="00000000">
        <w:rPr>
          <w:rtl w:val="0"/>
        </w:rPr>
        <w:t xml:space="preserve">En cuanto a los desafíos, la gestión del tiempo fue uno de los principales. La complejidad de ciertos módulos requería replantear el enfoque y proponer soluciones efectivas, como dividir tareas extensas en hitos menores. Esta estrategia permitió un seguimiento más preciso y un mejor control del proyecto, ayudándonos a cumplir con los plazos. Este proceso me enseñó la importancia de la adaptabilidad y planificación en la gestión de proyectos de software, fundamentales para el éxito del proyecto.</w:t>
      </w:r>
    </w:p>
    <w:p w:rsidR="00000000" w:rsidDel="00000000" w:rsidP="00000000" w:rsidRDefault="00000000" w:rsidRPr="00000000" w14:paraId="00000064">
      <w:pPr>
        <w:spacing w:after="240" w:before="240" w:line="360" w:lineRule="auto"/>
        <w:rPr/>
      </w:pPr>
      <w:r w:rsidDel="00000000" w:rsidR="00000000" w:rsidRPr="00000000">
        <w:rPr>
          <w:rtl w:val="0"/>
        </w:rPr>
      </w:r>
    </w:p>
    <w:p w:rsidR="00000000" w:rsidDel="00000000" w:rsidP="00000000" w:rsidRDefault="00000000" w:rsidRPr="00000000" w14:paraId="00000065">
      <w:pPr>
        <w:spacing w:after="240" w:before="240" w:line="360" w:lineRule="auto"/>
        <w:rPr/>
      </w:pPr>
      <w:r w:rsidDel="00000000" w:rsidR="00000000" w:rsidRPr="00000000">
        <w:rPr>
          <w:rtl w:val="0"/>
        </w:rPr>
      </w:r>
    </w:p>
    <w:p w:rsidR="00000000" w:rsidDel="00000000" w:rsidP="00000000" w:rsidRDefault="00000000" w:rsidRPr="00000000" w14:paraId="00000066">
      <w:pPr>
        <w:spacing w:after="240" w:before="240" w:line="36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80" w:before="360" w:line="360" w:lineRule="auto"/>
        <w:rPr>
          <w:b w:val="1"/>
          <w:color w:val="2f5496"/>
          <w:sz w:val="32"/>
          <w:szCs w:val="32"/>
        </w:rPr>
      </w:pPr>
      <w:bookmarkStart w:colFirst="0" w:colLast="0" w:name="_heading=h.oyu5mmophr7v" w:id="10"/>
      <w:bookmarkEnd w:id="10"/>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after="240" w:before="240" w:line="360" w:lineRule="auto"/>
        <w:rPr>
          <w:sz w:val="22"/>
          <w:szCs w:val="22"/>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after="240" w:before="240" w:line="360" w:lineRule="auto"/>
        <w:jc w:val="both"/>
        <w:rPr>
          <w:b w:val="1"/>
          <w:sz w:val="36"/>
          <w:szCs w:val="36"/>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ind w:left="720" w:firstLine="0"/>
        <w:jc w:val="both"/>
        <w:rPr>
          <w:b w:val="1"/>
          <w:sz w:val="22"/>
          <w:szCs w:val="22"/>
        </w:rPr>
      </w:pPr>
      <w:r w:rsidDel="00000000" w:rsidR="00000000" w:rsidRPr="00000000">
        <w:rPr>
          <w:rtl w:val="0"/>
        </w:rPr>
      </w:r>
    </w:p>
    <w:sectPr>
      <w:headerReference r:id="rId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-609654</wp:posOffset>
          </wp:positionV>
          <wp:extent cx="2566035" cy="426085"/>
          <wp:effectExtent b="0" l="0" r="0" t="0"/>
          <wp:wrapSquare wrapText="bothSides" distB="0" distT="0" distL="114300" distR="114300"/>
          <wp:docPr id="15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rPr>
  </w:style>
  <w:style w:type="paragraph" w:styleId="Sinespaciado">
    <w:name w:val="No Spacing"/>
    <w:link w:val="SinespaciadoCar"/>
    <w:uiPriority w:val="1"/>
    <w:qFormat w:val="1"/>
    <w:rsid w:val="00615A35"/>
    <w:rPr>
      <w:rFonts w:ascii="Arial" w:cs="Times New Roman" w:hAnsi="Arial"/>
      <w:szCs w:val="22"/>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08.0" w:type="dxa"/>
        <w:right w:w="108.0" w:type="dxa"/>
      </w:tblCellMar>
    </w:tblPr>
  </w:style>
  <w:style w:type="table" w:styleId="a6" w:customStyle="1">
    <w:basedOn w:val="TableNormal5"/>
    <w:tblPr>
      <w:tblStyleRowBandSize w:val="1"/>
      <w:tblStyleColBandSize w:val="1"/>
      <w:tblCellMar>
        <w:left w:w="108.0" w:type="dxa"/>
        <w:right w:w="108.0" w:type="dxa"/>
      </w:tblCellMar>
    </w:tblPr>
  </w:style>
  <w:style w:type="table" w:styleId="a7" w:customStyle="1">
    <w:basedOn w:val="TableNormal5"/>
    <w:tblPr>
      <w:tblStyleRowBandSize w:val="1"/>
      <w:tblStyleColBandSize w:val="1"/>
      <w:tblCellMar>
        <w:left w:w="108.0" w:type="dxa"/>
        <w:right w:w="108.0" w:type="dxa"/>
      </w:tblCellMar>
    </w:tblPr>
  </w:style>
  <w:style w:type="table" w:styleId="a8" w:customStyle="1">
    <w:basedOn w:val="TableNormal5"/>
    <w:tblPr>
      <w:tblStyleRowBandSize w:val="1"/>
      <w:tblStyleColBandSize w:val="1"/>
      <w:tblCellMar>
        <w:left w:w="108.0" w:type="dxa"/>
        <w:right w:w="108.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08.0" w:type="dxa"/>
        <w:right w:w="108.0" w:type="dxa"/>
      </w:tblCellMar>
    </w:tblPr>
  </w:style>
  <w:style w:type="table" w:styleId="ae" w:customStyle="1">
    <w:basedOn w:val="TableNormal5"/>
    <w:tblPr>
      <w:tblStyleRowBandSize w:val="1"/>
      <w:tblStyleColBandSize w:val="1"/>
      <w:tblCellMar>
        <w:left w:w="108.0" w:type="dxa"/>
        <w:right w:w="108.0" w:type="dxa"/>
      </w:tblCellMar>
    </w:tblPr>
  </w:style>
  <w:style w:type="table" w:styleId="af" w:customStyle="1">
    <w:basedOn w:val="TableNormal5"/>
    <w:tblPr>
      <w:tblStyleRowBandSize w:val="1"/>
      <w:tblStyleColBandSize w:val="1"/>
      <w:tblCellMar>
        <w:left w:w="108.0" w:type="dxa"/>
        <w:right w:w="108.0" w:type="dxa"/>
      </w:tblCellMar>
    </w:tblPr>
  </w:style>
  <w:style w:type="table" w:styleId="af0" w:customStyle="1">
    <w:basedOn w:val="TableNormal5"/>
    <w:tblPr>
      <w:tblStyleRowBandSize w:val="1"/>
      <w:tblStyleColBandSize w:val="1"/>
      <w:tblCellMar>
        <w:left w:w="108.0" w:type="dxa"/>
        <w:right w:w="108.0" w:type="dxa"/>
      </w:tblCellMar>
    </w:tblPr>
  </w:style>
  <w:style w:type="table" w:styleId="af1" w:customStyle="1">
    <w:basedOn w:val="TableNormal5"/>
    <w:tblPr>
      <w:tblStyleRowBandSize w:val="1"/>
      <w:tblStyleColBandSize w:val="1"/>
      <w:tblCellMar>
        <w:left w:w="108.0" w:type="dxa"/>
        <w:right w:w="108.0" w:type="dxa"/>
      </w:tblCellMar>
    </w:tblPr>
  </w:style>
  <w:style w:type="table" w:styleId="af2" w:customStyle="1">
    <w:basedOn w:val="TableNormal5"/>
    <w:tblPr>
      <w:tblStyleRowBandSize w:val="1"/>
      <w:tblStyleColBandSize w:val="1"/>
      <w:tblCellMar>
        <w:left w:w="108.0" w:type="dxa"/>
        <w:right w:w="108.0" w:type="dxa"/>
      </w:tblCellMar>
    </w:tblPr>
  </w:style>
  <w:style w:type="table" w:styleId="af3" w:customStyle="1">
    <w:basedOn w:val="TableNormal5"/>
    <w:tblPr>
      <w:tblStyleRowBandSize w:val="1"/>
      <w:tblStyleColBandSize w:val="1"/>
      <w:tblCellMar>
        <w:left w:w="108.0" w:type="dxa"/>
        <w:right w:w="108.0" w:type="dxa"/>
      </w:tblCellMar>
    </w:tblPr>
  </w:style>
  <w:style w:type="table" w:styleId="af4" w:customStyle="1">
    <w:basedOn w:val="TableNormal5"/>
    <w:tblPr>
      <w:tblStyleRowBandSize w:val="1"/>
      <w:tblStyleColBandSize w:val="1"/>
      <w:tblCellMar>
        <w:left w:w="108.0" w:type="dxa"/>
        <w:right w:w="108.0" w:type="dxa"/>
      </w:tblCellMar>
    </w:tblPr>
  </w:style>
  <w:style w:type="table" w:styleId="af5" w:customStyle="1">
    <w:basedOn w:val="TableNormal5"/>
    <w:tblPr>
      <w:tblStyleRowBandSize w:val="1"/>
      <w:tblStyleColBandSize w:val="1"/>
      <w:tblCellMar>
        <w:left w:w="108.0" w:type="dxa"/>
        <w:right w:w="108.0" w:type="dxa"/>
      </w:tblCellMar>
    </w:tblPr>
  </w:style>
  <w:style w:type="table" w:styleId="af6" w:customStyle="1">
    <w:basedOn w:val="TableNormal5"/>
    <w:tblPr>
      <w:tblStyleRowBandSize w:val="1"/>
      <w:tblStyleColBandSize w:val="1"/>
      <w:tblCellMar>
        <w:left w:w="108.0" w:type="dxa"/>
        <w:right w:w="108.0" w:type="dxa"/>
      </w:tblCellMar>
    </w:tblPr>
  </w:style>
  <w:style w:type="table" w:styleId="af7" w:customStyle="1">
    <w:basedOn w:val="TableNormal5"/>
    <w:tblPr>
      <w:tblStyleRowBandSize w:val="1"/>
      <w:tblStyleColBandSize w:val="1"/>
      <w:tblCellMar>
        <w:left w:w="115.0" w:type="dxa"/>
        <w:right w:w="115.0" w:type="dxa"/>
      </w:tblCellMar>
    </w:tblPr>
  </w:style>
  <w:style w:type="table" w:styleId="af8" w:customStyle="1">
    <w:basedOn w:val="TableNormal5"/>
    <w:tblPr>
      <w:tblStyleRowBandSize w:val="1"/>
      <w:tblStyleColBandSize w:val="1"/>
      <w:tblCellMar>
        <w:left w:w="115.0" w:type="dxa"/>
        <w:right w:w="115.0" w:type="dxa"/>
      </w:tblCellMar>
    </w:tblPr>
  </w:style>
  <w:style w:type="table" w:styleId="af9" w:customStyle="1">
    <w:basedOn w:val="TableNormal5"/>
    <w:tblPr>
      <w:tblStyleRowBandSize w:val="1"/>
      <w:tblStyleColBandSize w:val="1"/>
      <w:tblCellMar>
        <w:left w:w="115.0" w:type="dxa"/>
        <w:right w:w="115.0" w:type="dxa"/>
      </w:tblCellMar>
    </w:tblPr>
  </w:style>
  <w:style w:type="table" w:styleId="afa" w:customStyle="1">
    <w:basedOn w:val="TableNormal5"/>
    <w:tblPr>
      <w:tblStyleRowBandSize w:val="1"/>
      <w:tblStyleColBandSize w:val="1"/>
      <w:tblCellMar>
        <w:left w:w="115.0" w:type="dxa"/>
        <w:right w:w="115.0" w:type="dxa"/>
      </w:tblCellMar>
    </w:tblPr>
  </w:style>
  <w:style w:type="table" w:styleId="afb" w:customStyle="1">
    <w:basedOn w:val="TableNormal5"/>
    <w:tblPr>
      <w:tblStyleRowBandSize w:val="1"/>
      <w:tblStyleColBandSize w:val="1"/>
      <w:tblCellMar>
        <w:left w:w="115.0" w:type="dxa"/>
        <w:right w:w="115.0" w:type="dxa"/>
      </w:tblCellMar>
    </w:tblPr>
  </w:style>
  <w:style w:type="table" w:styleId="afc" w:customStyle="1">
    <w:basedOn w:val="TableNormal5"/>
    <w:tblPr>
      <w:tblStyleRowBandSize w:val="1"/>
      <w:tblStyleColBandSize w:val="1"/>
      <w:tblCellMar>
        <w:left w:w="115.0" w:type="dxa"/>
        <w:right w:w="115.0" w:type="dxa"/>
      </w:tblCellMar>
    </w:tblPr>
  </w:style>
  <w:style w:type="table" w:styleId="afd" w:customStyle="1">
    <w:basedOn w:val="TableNormal5"/>
    <w:tblPr>
      <w:tblStyleRowBandSize w:val="1"/>
      <w:tblStyleColBandSize w:val="1"/>
      <w:tblCellMar>
        <w:left w:w="115.0" w:type="dxa"/>
        <w:right w:w="115.0" w:type="dxa"/>
      </w:tblCellMar>
    </w:tblPr>
  </w:style>
  <w:style w:type="table" w:styleId="afe" w:customStyle="1">
    <w:basedOn w:val="TableNormal5"/>
    <w:tblPr>
      <w:tblStyleRowBandSize w:val="1"/>
      <w:tblStyleColBandSize w:val="1"/>
      <w:tblCellMar>
        <w:left w:w="115.0" w:type="dxa"/>
        <w:right w:w="115.0" w:type="dxa"/>
      </w:tblCellMar>
    </w:tblPr>
  </w:style>
  <w:style w:type="table" w:styleId="aff" w:customStyle="1">
    <w:basedOn w:val="TableNormal5"/>
    <w:tblPr>
      <w:tblStyleRowBandSize w:val="1"/>
      <w:tblStyleColBandSize w:val="1"/>
      <w:tblCellMar>
        <w:left w:w="115.0" w:type="dxa"/>
        <w:right w:w="115.0" w:type="dxa"/>
      </w:tblCellMar>
    </w:tblPr>
  </w:style>
  <w:style w:type="table" w:styleId="aff0" w:customStyle="1">
    <w:basedOn w:val="TableNormal5"/>
    <w:tblPr>
      <w:tblStyleRowBandSize w:val="1"/>
      <w:tblStyleColBandSize w:val="1"/>
      <w:tblCellMar>
        <w:left w:w="115.0" w:type="dxa"/>
        <w:right w:w="115.0" w:type="dxa"/>
      </w:tblCellMar>
    </w:tblPr>
  </w:style>
  <w:style w:type="table" w:styleId="aff1" w:customStyle="1">
    <w:basedOn w:val="TableNormal5"/>
    <w:tblPr>
      <w:tblStyleRowBandSize w:val="1"/>
      <w:tblStyleColBandSize w:val="1"/>
      <w:tblCellMar>
        <w:left w:w="115.0" w:type="dxa"/>
        <w:right w:w="115.0" w:type="dxa"/>
      </w:tblCellMar>
    </w:tblPr>
  </w:style>
  <w:style w:type="table" w:styleId="aff2" w:customStyle="1">
    <w:basedOn w:val="TableNormal5"/>
    <w:tblPr>
      <w:tblStyleRowBandSize w:val="1"/>
      <w:tblStyleColBandSize w:val="1"/>
      <w:tblCellMar>
        <w:left w:w="115.0" w:type="dxa"/>
        <w:right w:w="115.0" w:type="dxa"/>
      </w:tblCellMar>
    </w:tblPr>
  </w:style>
  <w:style w:type="table" w:styleId="aff3" w:customStyle="1">
    <w:basedOn w:val="TableNormal5"/>
    <w:tblPr>
      <w:tblStyleRowBandSize w:val="1"/>
      <w:tblStyleColBandSize w:val="1"/>
      <w:tblCellMar>
        <w:left w:w="115.0" w:type="dxa"/>
        <w:right w:w="115.0" w:type="dxa"/>
      </w:tblCellMar>
    </w:tblPr>
  </w:style>
  <w:style w:type="table" w:styleId="aff4" w:customStyle="1">
    <w:basedOn w:val="TableNormal5"/>
    <w:tblPr>
      <w:tblStyleRowBandSize w:val="1"/>
      <w:tblStyleColBandSize w:val="1"/>
      <w:tblCellMar>
        <w:left w:w="115.0" w:type="dxa"/>
        <w:right w:w="115.0" w:type="dxa"/>
      </w:tblCellMar>
    </w:tblPr>
  </w:style>
  <w:style w:type="table" w:styleId="aff5" w:customStyle="1">
    <w:basedOn w:val="TableNormal5"/>
    <w:tblPr>
      <w:tblStyleRowBandSize w:val="1"/>
      <w:tblStyleColBandSize w:val="1"/>
      <w:tblCellMar>
        <w:left w:w="115.0" w:type="dxa"/>
        <w:right w:w="115.0" w:type="dxa"/>
      </w:tblCellMar>
    </w:tblPr>
  </w:style>
  <w:style w:type="table" w:styleId="aff6" w:customStyle="1">
    <w:basedOn w:val="TableNormal5"/>
    <w:tblPr>
      <w:tblStyleRowBandSize w:val="1"/>
      <w:tblStyleColBandSize w:val="1"/>
      <w:tblCellMar>
        <w:left w:w="115.0" w:type="dxa"/>
        <w:right w:w="115.0" w:type="dxa"/>
      </w:tblCellMar>
    </w:tblPr>
  </w:style>
  <w:style w:type="table" w:styleId="aff7" w:customStyle="1">
    <w:basedOn w:val="TableNormal5"/>
    <w:tblPr>
      <w:tblStyleRowBandSize w:val="1"/>
      <w:tblStyleColBandSize w:val="1"/>
      <w:tblCellMar>
        <w:left w:w="115.0" w:type="dxa"/>
        <w:right w:w="115.0" w:type="dxa"/>
      </w:tblCellMar>
    </w:tblPr>
  </w:style>
  <w:style w:type="table" w:styleId="aff8" w:customStyle="1">
    <w:basedOn w:val="TableNormal5"/>
    <w:tblPr>
      <w:tblStyleRowBandSize w:val="1"/>
      <w:tblStyleColBandSize w:val="1"/>
      <w:tblCellMar>
        <w:left w:w="115.0" w:type="dxa"/>
        <w:right w:w="115.0" w:type="dxa"/>
      </w:tblCellMar>
    </w:tblPr>
  </w:style>
  <w:style w:type="table" w:styleId="aff9" w:customStyle="1">
    <w:basedOn w:val="TableNormal5"/>
    <w:tblPr>
      <w:tblStyleRowBandSize w:val="1"/>
      <w:tblStyleColBandSize w:val="1"/>
      <w:tblCellMar>
        <w:left w:w="115.0" w:type="dxa"/>
        <w:right w:w="115.0" w:type="dxa"/>
      </w:tblCellMar>
    </w:tblPr>
  </w:style>
  <w:style w:type="table" w:styleId="affa" w:customStyle="1">
    <w:basedOn w:val="TableNormal5"/>
    <w:tblPr>
      <w:tblStyleRowBandSize w:val="1"/>
      <w:tblStyleColBandSize w:val="1"/>
      <w:tblCellMar>
        <w:left w:w="115.0" w:type="dxa"/>
        <w:right w:w="115.0" w:type="dxa"/>
      </w:tblCellMar>
    </w:tblPr>
  </w:style>
  <w:style w:type="table" w:styleId="affb" w:customStyle="1">
    <w:basedOn w:val="TableNormal5"/>
    <w:tblPr>
      <w:tblStyleRowBandSize w:val="1"/>
      <w:tblStyleColBandSize w:val="1"/>
      <w:tblCellMar>
        <w:left w:w="115.0" w:type="dxa"/>
        <w:right w:w="115.0" w:type="dxa"/>
      </w:tblCellMar>
    </w:tblPr>
  </w:style>
  <w:style w:type="table" w:styleId="affc" w:customStyle="1">
    <w:basedOn w:val="TableNormal5"/>
    <w:tblPr>
      <w:tblStyleRowBandSize w:val="1"/>
      <w:tblStyleColBandSize w:val="1"/>
      <w:tblCellMar>
        <w:left w:w="115.0" w:type="dxa"/>
        <w:right w:w="115.0" w:type="dxa"/>
      </w:tblCellMar>
    </w:tblPr>
  </w:style>
  <w:style w:type="table" w:styleId="affd" w:customStyle="1">
    <w:basedOn w:val="TableNormal5"/>
    <w:tblPr>
      <w:tblStyleRowBandSize w:val="1"/>
      <w:tblStyleColBandSize w:val="1"/>
      <w:tblCellMar>
        <w:left w:w="115.0" w:type="dxa"/>
        <w:right w:w="115.0" w:type="dxa"/>
      </w:tblCellMar>
    </w:tblPr>
  </w:style>
  <w:style w:type="table" w:styleId="affe" w:customStyle="1">
    <w:basedOn w:val="TableNormal5"/>
    <w:tblPr>
      <w:tblStyleRowBandSize w:val="1"/>
      <w:tblStyleColBandSize w:val="1"/>
      <w:tblCellMar>
        <w:left w:w="115.0" w:type="dxa"/>
        <w:right w:w="115.0" w:type="dxa"/>
      </w:tblCellMar>
    </w:tblPr>
  </w:style>
  <w:style w:type="table" w:styleId="afff" w:customStyle="1">
    <w:basedOn w:val="TableNormal5"/>
    <w:tblPr>
      <w:tblStyleRowBandSize w:val="1"/>
      <w:tblStyleColBandSize w:val="1"/>
      <w:tblCellMar>
        <w:left w:w="115.0" w:type="dxa"/>
        <w:right w:w="115.0" w:type="dxa"/>
      </w:tblCellMar>
    </w:tblPr>
  </w:style>
  <w:style w:type="table" w:styleId="afff0" w:customStyle="1">
    <w:basedOn w:val="TableNormal5"/>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7423F4"/>
    <w:pPr>
      <w:spacing w:line="259" w:lineRule="auto"/>
      <w:outlineLvl w:val="9"/>
    </w:pPr>
    <w:rPr>
      <w:b w:val="0"/>
      <w:lang w:val="es-ES"/>
    </w:rPr>
  </w:style>
  <w:style w:type="character" w:styleId="Textoennegrita">
    <w:name w:val="Strong"/>
    <w:basedOn w:val="Fuentedeprrafopredeter"/>
    <w:uiPriority w:val="22"/>
    <w:qFormat w:val="1"/>
    <w:rsid w:val="00647683"/>
    <w:rPr>
      <w:b w:val="1"/>
      <w:bCs w:val="1"/>
    </w:rPr>
  </w:style>
  <w:style w:type="table" w:styleId="afff1" w:customStyle="1">
    <w:basedOn w:val="TableNormal4"/>
    <w:tblPr>
      <w:tblStyleRowBandSize w:val="1"/>
      <w:tblStyleColBandSize w:val="1"/>
      <w:tblCellMar>
        <w:left w:w="115.0" w:type="dxa"/>
        <w:right w:w="115.0" w:type="dxa"/>
      </w:tblCellMar>
    </w:tblPr>
  </w:style>
  <w:style w:type="table" w:styleId="afff2" w:customStyle="1">
    <w:basedOn w:val="TableNormal4"/>
    <w:tblPr>
      <w:tblStyleRowBandSize w:val="1"/>
      <w:tblStyleColBandSize w:val="1"/>
      <w:tblCellMar>
        <w:left w:w="115.0" w:type="dxa"/>
        <w:right w:w="115.0" w:type="dxa"/>
      </w:tblCellMar>
    </w:tblPr>
  </w:style>
  <w:style w:type="table" w:styleId="afff3" w:customStyle="1">
    <w:basedOn w:val="TableNormal4"/>
    <w:tblPr>
      <w:tblStyleRowBandSize w:val="1"/>
      <w:tblStyleColBandSize w:val="1"/>
      <w:tblCellMar>
        <w:left w:w="115.0" w:type="dxa"/>
        <w:right w:w="115.0" w:type="dxa"/>
      </w:tblCellMar>
    </w:tblPr>
  </w:style>
  <w:style w:type="table" w:styleId="afff4" w:customStyle="1">
    <w:basedOn w:val="TableNormal4"/>
    <w:tblPr>
      <w:tblStyleRowBandSize w:val="1"/>
      <w:tblStyleColBandSize w:val="1"/>
      <w:tblCellMar>
        <w:left w:w="115.0" w:type="dxa"/>
        <w:right w:w="115.0" w:type="dxa"/>
      </w:tblCellMar>
    </w:tblPr>
  </w:style>
  <w:style w:type="table" w:styleId="afff5" w:customStyle="1">
    <w:basedOn w:val="TableNormal4"/>
    <w:tblPr>
      <w:tblStyleRowBandSize w:val="1"/>
      <w:tblStyleColBandSize w:val="1"/>
      <w:tblCellMar>
        <w:left w:w="115.0" w:type="dxa"/>
        <w:right w:w="115.0" w:type="dxa"/>
      </w:tblCellMar>
    </w:tblPr>
  </w:style>
  <w:style w:type="table" w:styleId="afff6" w:customStyle="1">
    <w:basedOn w:val="TableNormal4"/>
    <w:tblPr>
      <w:tblStyleRowBandSize w:val="1"/>
      <w:tblStyleColBandSize w:val="1"/>
      <w:tblCellMar>
        <w:left w:w="115.0" w:type="dxa"/>
        <w:right w:w="115.0" w:type="dxa"/>
      </w:tblCellMar>
    </w:tblPr>
  </w:style>
  <w:style w:type="table" w:styleId="afff7" w:customStyle="1">
    <w:basedOn w:val="TableNormal4"/>
    <w:tblPr>
      <w:tblStyleRowBandSize w:val="1"/>
      <w:tblStyleColBandSize w:val="1"/>
      <w:tblCellMar>
        <w:left w:w="115.0" w:type="dxa"/>
        <w:right w:w="115.0" w:type="dxa"/>
      </w:tblCellMar>
    </w:tblPr>
  </w:style>
  <w:style w:type="table" w:styleId="afff8" w:customStyle="1">
    <w:basedOn w:val="TableNormal4"/>
    <w:tblPr>
      <w:tblStyleRowBandSize w:val="1"/>
      <w:tblStyleColBandSize w:val="1"/>
      <w:tblCellMar>
        <w:left w:w="115.0" w:type="dxa"/>
        <w:right w:w="115.0" w:type="dxa"/>
      </w:tblCellMar>
    </w:tblPr>
  </w:style>
  <w:style w:type="table" w:styleId="afff9" w:customStyle="1">
    <w:basedOn w:val="TableNormal4"/>
    <w:tblPr>
      <w:tblStyleRowBandSize w:val="1"/>
      <w:tblStyleColBandSize w:val="1"/>
      <w:tblCellMar>
        <w:left w:w="115.0" w:type="dxa"/>
        <w:right w:w="115.0" w:type="dxa"/>
      </w:tblCellMar>
    </w:tblPr>
  </w:style>
  <w:style w:type="table" w:styleId="afffa" w:customStyle="1">
    <w:basedOn w:val="TableNormal4"/>
    <w:tblPr>
      <w:tblStyleRowBandSize w:val="1"/>
      <w:tblStyleColBandSize w:val="1"/>
      <w:tblCellMar>
        <w:left w:w="115.0" w:type="dxa"/>
        <w:right w:w="115.0" w:type="dxa"/>
      </w:tblCellMar>
    </w:tblPr>
  </w:style>
  <w:style w:type="table" w:styleId="afffb" w:customStyle="1">
    <w:basedOn w:val="TableNormal4"/>
    <w:tblPr>
      <w:tblStyleRowBandSize w:val="1"/>
      <w:tblStyleColBandSize w:val="1"/>
      <w:tblCellMar>
        <w:left w:w="115.0" w:type="dxa"/>
        <w:right w:w="115.0" w:type="dxa"/>
      </w:tblCellMar>
    </w:tblPr>
  </w:style>
  <w:style w:type="table" w:styleId="afffc" w:customStyle="1">
    <w:basedOn w:val="TableNormal4"/>
    <w:tblPr>
      <w:tblStyleRowBandSize w:val="1"/>
      <w:tblStyleColBandSize w:val="1"/>
      <w:tblCellMar>
        <w:left w:w="115.0" w:type="dxa"/>
        <w:right w:w="115.0" w:type="dxa"/>
      </w:tblCellMar>
    </w:tblPr>
  </w:style>
  <w:style w:type="table" w:styleId="afffd" w:customStyle="1">
    <w:basedOn w:val="TableNormal4"/>
    <w:tblPr>
      <w:tblStyleRowBandSize w:val="1"/>
      <w:tblStyleColBandSize w:val="1"/>
      <w:tblCellMar>
        <w:left w:w="115.0" w:type="dxa"/>
        <w:right w:w="115.0" w:type="dxa"/>
      </w:tblCellMar>
    </w:tblPr>
  </w:style>
  <w:style w:type="table" w:styleId="afffe" w:customStyle="1">
    <w:basedOn w:val="TableNormal4"/>
    <w:tblPr>
      <w:tblStyleRowBandSize w:val="1"/>
      <w:tblStyleColBandSize w:val="1"/>
      <w:tblCellMar>
        <w:left w:w="115.0" w:type="dxa"/>
        <w:right w:w="115.0" w:type="dxa"/>
      </w:tblCellMar>
    </w:tblPr>
  </w:style>
  <w:style w:type="table" w:styleId="affff" w:customStyle="1">
    <w:basedOn w:val="TableNormal4"/>
    <w:tblPr>
      <w:tblStyleRowBandSize w:val="1"/>
      <w:tblStyleColBandSize w:val="1"/>
      <w:tblCellMar>
        <w:left w:w="115.0" w:type="dxa"/>
        <w:right w:w="115.0" w:type="dxa"/>
      </w:tblCellMar>
    </w:tblPr>
  </w:style>
  <w:style w:type="table" w:styleId="affff0" w:customStyle="1">
    <w:basedOn w:val="TableNormal4"/>
    <w:tblPr>
      <w:tblStyleRowBandSize w:val="1"/>
      <w:tblStyleColBandSize w:val="1"/>
      <w:tblCellMar>
        <w:left w:w="115.0" w:type="dxa"/>
        <w:right w:w="115.0" w:type="dxa"/>
      </w:tblCellMar>
    </w:tblPr>
  </w:style>
  <w:style w:type="table" w:styleId="affff1" w:customStyle="1">
    <w:basedOn w:val="TableNormal4"/>
    <w:tblPr>
      <w:tblStyleRowBandSize w:val="1"/>
      <w:tblStyleColBandSize w:val="1"/>
      <w:tblCellMar>
        <w:left w:w="115.0" w:type="dxa"/>
        <w:right w:w="115.0" w:type="dxa"/>
      </w:tblCellMar>
    </w:tblPr>
  </w:style>
  <w:style w:type="table" w:styleId="affff2" w:customStyle="1">
    <w:basedOn w:val="TableNormal4"/>
    <w:tblPr>
      <w:tblStyleRowBandSize w:val="1"/>
      <w:tblStyleColBandSize w:val="1"/>
      <w:tblCellMar>
        <w:left w:w="115.0" w:type="dxa"/>
        <w:right w:w="115.0" w:type="dxa"/>
      </w:tblCellMar>
    </w:tblPr>
  </w:style>
  <w:style w:type="table" w:styleId="affff3" w:customStyle="1">
    <w:basedOn w:val="TableNormal4"/>
    <w:tblPr>
      <w:tblStyleRowBandSize w:val="1"/>
      <w:tblStyleColBandSize w:val="1"/>
      <w:tblCellMar>
        <w:left w:w="115.0" w:type="dxa"/>
        <w:right w:w="115.0" w:type="dxa"/>
      </w:tblCellMar>
    </w:tblPr>
  </w:style>
  <w:style w:type="table" w:styleId="affff4" w:customStyle="1">
    <w:basedOn w:val="TableNormal4"/>
    <w:tblPr>
      <w:tblStyleRowBandSize w:val="1"/>
      <w:tblStyleColBandSize w:val="1"/>
      <w:tblCellMar>
        <w:left w:w="115.0" w:type="dxa"/>
        <w:right w:w="115.0" w:type="dxa"/>
      </w:tblCellMar>
    </w:tblPr>
  </w:style>
  <w:style w:type="table" w:styleId="affff5" w:customStyle="1">
    <w:basedOn w:val="TableNormal4"/>
    <w:tblPr>
      <w:tblStyleRowBandSize w:val="1"/>
      <w:tblStyleColBandSize w:val="1"/>
      <w:tblCellMar>
        <w:left w:w="115.0" w:type="dxa"/>
        <w:right w:w="115.0" w:type="dxa"/>
      </w:tblCellMar>
    </w:tblPr>
  </w:style>
  <w:style w:type="table" w:styleId="affff6" w:customStyle="1">
    <w:basedOn w:val="TableNormal4"/>
    <w:tblPr>
      <w:tblStyleRowBandSize w:val="1"/>
      <w:tblStyleColBandSize w:val="1"/>
      <w:tblCellMar>
        <w:left w:w="115.0" w:type="dxa"/>
        <w:right w:w="115.0" w:type="dxa"/>
      </w:tblCellMar>
    </w:tblPr>
  </w:style>
  <w:style w:type="table" w:styleId="affff7" w:customStyle="1">
    <w:basedOn w:val="TableNormal4"/>
    <w:tblPr>
      <w:tblStyleRowBandSize w:val="1"/>
      <w:tblStyleColBandSize w:val="1"/>
      <w:tblCellMar>
        <w:left w:w="115.0" w:type="dxa"/>
        <w:right w:w="115.0" w:type="dxa"/>
      </w:tblCellMar>
    </w:tblPr>
  </w:style>
  <w:style w:type="table" w:styleId="affff8" w:customStyle="1">
    <w:basedOn w:val="TableNormal4"/>
    <w:tblPr>
      <w:tblStyleRowBandSize w:val="1"/>
      <w:tblStyleColBandSize w:val="1"/>
      <w:tblCellMar>
        <w:left w:w="115.0" w:type="dxa"/>
        <w:right w:w="115.0" w:type="dxa"/>
      </w:tblCellMar>
    </w:tblPr>
  </w:style>
  <w:style w:type="table" w:styleId="affff9" w:customStyle="1">
    <w:basedOn w:val="TableNormal4"/>
    <w:tblPr>
      <w:tblStyleRowBandSize w:val="1"/>
      <w:tblStyleColBandSize w:val="1"/>
      <w:tblCellMar>
        <w:left w:w="115.0" w:type="dxa"/>
        <w:right w:w="115.0" w:type="dxa"/>
      </w:tblCellMar>
    </w:tblPr>
  </w:style>
  <w:style w:type="table" w:styleId="affffa" w:customStyle="1">
    <w:basedOn w:val="TableNormal4"/>
    <w:tblPr>
      <w:tblStyleRowBandSize w:val="1"/>
      <w:tblStyleColBandSize w:val="1"/>
      <w:tblCellMar>
        <w:left w:w="115.0" w:type="dxa"/>
        <w:right w:w="115.0" w:type="dxa"/>
      </w:tblCellMar>
    </w:tblPr>
  </w:style>
  <w:style w:type="table" w:styleId="affffb" w:customStyle="1">
    <w:basedOn w:val="TableNormal4"/>
    <w:tblPr>
      <w:tblStyleRowBandSize w:val="1"/>
      <w:tblStyleColBandSize w:val="1"/>
      <w:tblCellMar>
        <w:left w:w="115.0" w:type="dxa"/>
        <w:right w:w="115.0" w:type="dxa"/>
      </w:tblCellMar>
    </w:tblPr>
  </w:style>
  <w:style w:type="table" w:styleId="affffc" w:customStyle="1">
    <w:basedOn w:val="TableNormal4"/>
    <w:tblPr>
      <w:tblStyleRowBandSize w:val="1"/>
      <w:tblStyleColBandSize w:val="1"/>
      <w:tblCellMar>
        <w:left w:w="115.0" w:type="dxa"/>
        <w:right w:w="115.0" w:type="dxa"/>
      </w:tblCellMar>
    </w:tblPr>
  </w:style>
  <w:style w:type="table" w:styleId="affffd" w:customStyle="1">
    <w:basedOn w:val="TableNormal4"/>
    <w:tblPr>
      <w:tblStyleRowBandSize w:val="1"/>
      <w:tblStyleColBandSize w:val="1"/>
      <w:tblCellMar>
        <w:left w:w="115.0" w:type="dxa"/>
        <w:right w:w="115.0" w:type="dxa"/>
      </w:tblCellMar>
    </w:tblPr>
  </w:style>
  <w:style w:type="table" w:styleId="affffe" w:customStyle="1">
    <w:basedOn w:val="TableNormal4"/>
    <w:tblPr>
      <w:tblStyleRowBandSize w:val="1"/>
      <w:tblStyleColBandSize w:val="1"/>
      <w:tblCellMar>
        <w:left w:w="115.0" w:type="dxa"/>
        <w:right w:w="115.0" w:type="dxa"/>
      </w:tblCellMar>
    </w:tblPr>
  </w:style>
  <w:style w:type="table" w:styleId="afffff" w:customStyle="1">
    <w:basedOn w:val="TableNormal4"/>
    <w:tblPr>
      <w:tblStyleRowBandSize w:val="1"/>
      <w:tblStyleColBandSize w:val="1"/>
      <w:tblCellMar>
        <w:left w:w="115.0" w:type="dxa"/>
        <w:right w:w="115.0" w:type="dxa"/>
      </w:tblCellMar>
    </w:tblPr>
  </w:style>
  <w:style w:type="table" w:styleId="afffff0" w:customStyle="1">
    <w:basedOn w:val="TableNormal4"/>
    <w:tblPr>
      <w:tblStyleRowBandSize w:val="1"/>
      <w:tblStyleColBandSize w:val="1"/>
      <w:tblCellMar>
        <w:left w:w="115.0" w:type="dxa"/>
        <w:right w:w="115.0" w:type="dxa"/>
      </w:tblCellMar>
    </w:tblPr>
  </w:style>
  <w:style w:type="table" w:styleId="afffff1" w:customStyle="1">
    <w:basedOn w:val="TableNormal4"/>
    <w:tblPr>
      <w:tblStyleRowBandSize w:val="1"/>
      <w:tblStyleColBandSize w:val="1"/>
      <w:tblCellMar>
        <w:left w:w="115.0" w:type="dxa"/>
        <w:right w:w="115.0" w:type="dxa"/>
      </w:tblCellMar>
    </w:tblPr>
  </w:style>
  <w:style w:type="table" w:styleId="afffff2" w:customStyle="1">
    <w:basedOn w:val="TableNormal4"/>
    <w:tblPr>
      <w:tblStyleRowBandSize w:val="1"/>
      <w:tblStyleColBandSize w:val="1"/>
      <w:tblCellMar>
        <w:left w:w="115.0" w:type="dxa"/>
        <w:right w:w="115.0" w:type="dxa"/>
      </w:tblCellMar>
    </w:tblPr>
  </w:style>
  <w:style w:type="table" w:styleId="afffff3" w:customStyle="1">
    <w:basedOn w:val="TableNormal4"/>
    <w:tblPr>
      <w:tblStyleRowBandSize w:val="1"/>
      <w:tblStyleColBandSize w:val="1"/>
      <w:tblCellMar>
        <w:left w:w="115.0" w:type="dxa"/>
        <w:right w:w="115.0" w:type="dxa"/>
      </w:tblCellMar>
    </w:tblPr>
  </w:style>
  <w:style w:type="table" w:styleId="afffff4" w:customStyle="1">
    <w:basedOn w:val="TableNormal4"/>
    <w:tblPr>
      <w:tblStyleRowBandSize w:val="1"/>
      <w:tblStyleColBandSize w:val="1"/>
      <w:tblCellMar>
        <w:left w:w="115.0" w:type="dxa"/>
        <w:right w:w="115.0" w:type="dxa"/>
      </w:tblCellMar>
    </w:tblPr>
  </w:style>
  <w:style w:type="table" w:styleId="afffff5" w:customStyle="1">
    <w:basedOn w:val="TableNormal4"/>
    <w:tblPr>
      <w:tblStyleRowBandSize w:val="1"/>
      <w:tblStyleColBandSize w:val="1"/>
      <w:tblCellMar>
        <w:left w:w="115.0" w:type="dxa"/>
        <w:right w:w="115.0" w:type="dxa"/>
      </w:tblCellMar>
    </w:tblPr>
  </w:style>
  <w:style w:type="table" w:styleId="afffff6" w:customStyle="1">
    <w:basedOn w:val="TableNormal4"/>
    <w:tblPr>
      <w:tblStyleRowBandSize w:val="1"/>
      <w:tblStyleColBandSize w:val="1"/>
      <w:tblCellMar>
        <w:left w:w="115.0" w:type="dxa"/>
        <w:right w:w="115.0" w:type="dxa"/>
      </w:tblCellMar>
    </w:tblPr>
  </w:style>
  <w:style w:type="table" w:styleId="afffff7" w:customStyle="1">
    <w:basedOn w:val="TableNormal4"/>
    <w:tblPr>
      <w:tblStyleRowBandSize w:val="1"/>
      <w:tblStyleColBandSize w:val="1"/>
      <w:tblCellMar>
        <w:left w:w="115.0" w:type="dxa"/>
        <w:right w:w="115.0" w:type="dxa"/>
      </w:tblCellMar>
    </w:tblPr>
  </w:style>
  <w:style w:type="table" w:styleId="afffff8" w:customStyle="1">
    <w:basedOn w:val="TableNormal4"/>
    <w:tblPr>
      <w:tblStyleRowBandSize w:val="1"/>
      <w:tblStyleColBandSize w:val="1"/>
      <w:tblCellMar>
        <w:left w:w="115.0" w:type="dxa"/>
        <w:right w:w="115.0" w:type="dxa"/>
      </w:tblCellMar>
    </w:tblPr>
  </w:style>
  <w:style w:type="table" w:styleId="afffff9" w:customStyle="1">
    <w:basedOn w:val="TableNormal4"/>
    <w:tblPr>
      <w:tblStyleRowBandSize w:val="1"/>
      <w:tblStyleColBandSize w:val="1"/>
      <w:tblCellMar>
        <w:left w:w="115.0" w:type="dxa"/>
        <w:right w:w="115.0" w:type="dxa"/>
      </w:tblCellMar>
    </w:tblPr>
  </w:style>
  <w:style w:type="table" w:styleId="afffffa" w:customStyle="1">
    <w:basedOn w:val="TableNormal4"/>
    <w:tblPr>
      <w:tblStyleRowBandSize w:val="1"/>
      <w:tblStyleColBandSize w:val="1"/>
      <w:tblCellMar>
        <w:left w:w="115.0" w:type="dxa"/>
        <w:right w:w="115.0" w:type="dxa"/>
      </w:tblCellMar>
    </w:tblPr>
  </w:style>
  <w:style w:type="table" w:styleId="afffffb" w:customStyle="1">
    <w:basedOn w:val="TableNormal4"/>
    <w:tblPr>
      <w:tblStyleRowBandSize w:val="1"/>
      <w:tblStyleColBandSize w:val="1"/>
      <w:tblCellMar>
        <w:left w:w="115.0" w:type="dxa"/>
        <w:right w:w="115.0" w:type="dxa"/>
      </w:tblCellMar>
    </w:tblPr>
  </w:style>
  <w:style w:type="table" w:styleId="afffffc" w:customStyle="1">
    <w:basedOn w:val="TableNormal4"/>
    <w:tblPr>
      <w:tblStyleRowBandSize w:val="1"/>
      <w:tblStyleColBandSize w:val="1"/>
      <w:tblCellMar>
        <w:left w:w="115.0" w:type="dxa"/>
        <w:right w:w="115.0" w:type="dxa"/>
      </w:tblCellMar>
    </w:tblPr>
  </w:style>
  <w:style w:type="table" w:styleId="afffffd" w:customStyle="1">
    <w:basedOn w:val="TableNormal4"/>
    <w:tblPr>
      <w:tblStyleRowBandSize w:val="1"/>
      <w:tblStyleColBandSize w:val="1"/>
      <w:tblCellMar>
        <w:left w:w="115.0" w:type="dxa"/>
        <w:right w:w="115.0" w:type="dxa"/>
      </w:tblCellMar>
    </w:tblPr>
  </w:style>
  <w:style w:type="table" w:styleId="afffffe" w:customStyle="1">
    <w:basedOn w:val="TableNormal4"/>
    <w:tblPr>
      <w:tblStyleRowBandSize w:val="1"/>
      <w:tblStyleColBandSize w:val="1"/>
      <w:tblCellMar>
        <w:left w:w="115.0" w:type="dxa"/>
        <w:right w:w="115.0" w:type="dxa"/>
      </w:tblCellMar>
    </w:tblPr>
  </w:style>
  <w:style w:type="table" w:styleId="affffff" w:customStyle="1">
    <w:basedOn w:val="TableNormal4"/>
    <w:tblPr>
      <w:tblStyleRowBandSize w:val="1"/>
      <w:tblStyleColBandSize w:val="1"/>
      <w:tblCellMar>
        <w:left w:w="115.0" w:type="dxa"/>
        <w:right w:w="115.0" w:type="dxa"/>
      </w:tblCellMar>
    </w:tblPr>
  </w:style>
  <w:style w:type="table" w:styleId="affffff0" w:customStyle="1">
    <w:basedOn w:val="TableNormal4"/>
    <w:tblPr>
      <w:tblStyleRowBandSize w:val="1"/>
      <w:tblStyleColBandSize w:val="1"/>
      <w:tblCellMar>
        <w:left w:w="115.0" w:type="dxa"/>
        <w:right w:w="115.0" w:type="dxa"/>
      </w:tblCellMar>
    </w:tblPr>
  </w:style>
  <w:style w:type="table" w:styleId="affffff1" w:customStyle="1">
    <w:basedOn w:val="TableNormal4"/>
    <w:tblPr>
      <w:tblStyleRowBandSize w:val="1"/>
      <w:tblStyleColBandSize w:val="1"/>
      <w:tblCellMar>
        <w:left w:w="115.0" w:type="dxa"/>
        <w:right w:w="115.0" w:type="dxa"/>
      </w:tblCellMar>
    </w:tblPr>
  </w:style>
  <w:style w:type="table" w:styleId="affffff2" w:customStyle="1">
    <w:basedOn w:val="TableNormal4"/>
    <w:tblPr>
      <w:tblStyleRowBandSize w:val="1"/>
      <w:tblStyleColBandSize w:val="1"/>
      <w:tblCellMar>
        <w:left w:w="115.0" w:type="dxa"/>
        <w:right w:w="115.0" w:type="dxa"/>
      </w:tblCellMar>
    </w:tblPr>
  </w:style>
  <w:style w:type="table" w:styleId="affffff3" w:customStyle="1">
    <w:basedOn w:val="TableNormal4"/>
    <w:tblPr>
      <w:tblStyleRowBandSize w:val="1"/>
      <w:tblStyleColBandSize w:val="1"/>
      <w:tblCellMar>
        <w:left w:w="115.0" w:type="dxa"/>
        <w:right w:w="115.0" w:type="dxa"/>
      </w:tblCellMar>
    </w:tblPr>
  </w:style>
  <w:style w:type="table" w:styleId="affffff4" w:customStyle="1">
    <w:basedOn w:val="TableNormal4"/>
    <w:tblPr>
      <w:tblStyleRowBandSize w:val="1"/>
      <w:tblStyleColBandSize w:val="1"/>
      <w:tblCellMar>
        <w:left w:w="115.0" w:type="dxa"/>
        <w:right w:w="115.0" w:type="dxa"/>
      </w:tblCellMar>
    </w:tblPr>
  </w:style>
  <w:style w:type="table" w:styleId="affffff5" w:customStyle="1">
    <w:basedOn w:val="TableNormal4"/>
    <w:tblPr>
      <w:tblStyleRowBandSize w:val="1"/>
      <w:tblStyleColBandSize w:val="1"/>
      <w:tblCellMar>
        <w:left w:w="115.0" w:type="dxa"/>
        <w:right w:w="115.0" w:type="dxa"/>
      </w:tblCellMar>
    </w:tblPr>
  </w:style>
  <w:style w:type="table" w:styleId="affffff6" w:customStyle="1">
    <w:basedOn w:val="TableNormal4"/>
    <w:tblPr>
      <w:tblStyleRowBandSize w:val="1"/>
      <w:tblStyleColBandSize w:val="1"/>
      <w:tblCellMar>
        <w:left w:w="115.0" w:type="dxa"/>
        <w:right w:w="115.0" w:type="dxa"/>
      </w:tblCellMar>
    </w:tblPr>
  </w:style>
  <w:style w:type="table" w:styleId="affffff7" w:customStyle="1">
    <w:basedOn w:val="TableNormal4"/>
    <w:tblPr>
      <w:tblStyleRowBandSize w:val="1"/>
      <w:tblStyleColBandSize w:val="1"/>
      <w:tblCellMar>
        <w:left w:w="115.0" w:type="dxa"/>
        <w:right w:w="115.0" w:type="dxa"/>
      </w:tblCellMar>
    </w:tblPr>
  </w:style>
  <w:style w:type="table" w:styleId="affffff8" w:customStyle="1">
    <w:basedOn w:val="TableNormal4"/>
    <w:tblPr>
      <w:tblStyleRowBandSize w:val="1"/>
      <w:tblStyleColBandSize w:val="1"/>
      <w:tblCellMar>
        <w:left w:w="115.0" w:type="dxa"/>
        <w:right w:w="115.0" w:type="dxa"/>
      </w:tblCellMar>
    </w:tblPr>
  </w:style>
  <w:style w:type="table" w:styleId="affffff9" w:customStyle="1">
    <w:basedOn w:val="TableNormal4"/>
    <w:tblPr>
      <w:tblStyleRowBandSize w:val="1"/>
      <w:tblStyleColBandSize w:val="1"/>
      <w:tblCellMar>
        <w:left w:w="115.0" w:type="dxa"/>
        <w:right w:w="115.0" w:type="dxa"/>
      </w:tblCellMar>
    </w:tblPr>
  </w:style>
  <w:style w:type="table" w:styleId="affffffa" w:customStyle="1">
    <w:basedOn w:val="TableNormal4"/>
    <w:tblPr>
      <w:tblStyleRowBandSize w:val="1"/>
      <w:tblStyleColBandSize w:val="1"/>
      <w:tblCellMar>
        <w:left w:w="115.0" w:type="dxa"/>
        <w:right w:w="115.0" w:type="dxa"/>
      </w:tblCellMar>
    </w:tblPr>
  </w:style>
  <w:style w:type="table" w:styleId="affffffb" w:customStyle="1">
    <w:basedOn w:val="TableNormal4"/>
    <w:tblPr>
      <w:tblStyleRowBandSize w:val="1"/>
      <w:tblStyleColBandSize w:val="1"/>
      <w:tblCellMar>
        <w:left w:w="115.0" w:type="dxa"/>
        <w:right w:w="115.0" w:type="dxa"/>
      </w:tblCellMar>
    </w:tblPr>
  </w:style>
  <w:style w:type="table" w:styleId="affffffc" w:customStyle="1">
    <w:basedOn w:val="TableNormal4"/>
    <w:tblPr>
      <w:tblStyleRowBandSize w:val="1"/>
      <w:tblStyleColBandSize w:val="1"/>
      <w:tblCellMar>
        <w:left w:w="115.0" w:type="dxa"/>
        <w:right w:w="115.0" w:type="dxa"/>
      </w:tblCellMar>
    </w:tblPr>
  </w:style>
  <w:style w:type="table" w:styleId="affffffd" w:customStyle="1">
    <w:basedOn w:val="TableNormal4"/>
    <w:tblPr>
      <w:tblStyleRowBandSize w:val="1"/>
      <w:tblStyleColBandSize w:val="1"/>
      <w:tblCellMar>
        <w:left w:w="115.0" w:type="dxa"/>
        <w:right w:w="115.0" w:type="dxa"/>
      </w:tblCellMar>
    </w:tblPr>
  </w:style>
  <w:style w:type="table" w:styleId="affffffe" w:customStyle="1">
    <w:basedOn w:val="TableNormal4"/>
    <w:tblPr>
      <w:tblStyleRowBandSize w:val="1"/>
      <w:tblStyleColBandSize w:val="1"/>
      <w:tblCellMar>
        <w:left w:w="115.0" w:type="dxa"/>
        <w:right w:w="115.0" w:type="dxa"/>
      </w:tblCellMar>
    </w:tblPr>
  </w:style>
  <w:style w:type="table" w:styleId="afffffff" w:customStyle="1">
    <w:basedOn w:val="TableNormal4"/>
    <w:tblPr>
      <w:tblStyleRowBandSize w:val="1"/>
      <w:tblStyleColBandSize w:val="1"/>
      <w:tblCellMar>
        <w:left w:w="115.0" w:type="dxa"/>
        <w:right w:w="115.0" w:type="dxa"/>
      </w:tblCellMar>
    </w:tblPr>
  </w:style>
  <w:style w:type="table" w:styleId="afffffff0" w:customStyle="1">
    <w:basedOn w:val="TableNormal4"/>
    <w:tblPr>
      <w:tblStyleRowBandSize w:val="1"/>
      <w:tblStyleColBandSize w:val="1"/>
      <w:tblCellMar>
        <w:left w:w="115.0" w:type="dxa"/>
        <w:right w:w="115.0" w:type="dxa"/>
      </w:tblCellMar>
    </w:tblPr>
  </w:style>
  <w:style w:type="table" w:styleId="afffffff1" w:customStyle="1">
    <w:basedOn w:val="TableNormal4"/>
    <w:tblPr>
      <w:tblStyleRowBandSize w:val="1"/>
      <w:tblStyleColBandSize w:val="1"/>
      <w:tblCellMar>
        <w:left w:w="115.0" w:type="dxa"/>
        <w:right w:w="115.0" w:type="dxa"/>
      </w:tblCellMar>
    </w:tblPr>
  </w:style>
  <w:style w:type="table" w:styleId="afffffff2" w:customStyle="1">
    <w:basedOn w:val="TableNormal4"/>
    <w:tblPr>
      <w:tblStyleRowBandSize w:val="1"/>
      <w:tblStyleColBandSize w:val="1"/>
      <w:tblCellMar>
        <w:left w:w="115.0" w:type="dxa"/>
        <w:right w:w="115.0" w:type="dxa"/>
      </w:tblCellMar>
    </w:tblPr>
  </w:style>
  <w:style w:type="table" w:styleId="afffffff3" w:customStyle="1">
    <w:basedOn w:val="TableNormal4"/>
    <w:tblPr>
      <w:tblStyleRowBandSize w:val="1"/>
      <w:tblStyleColBandSize w:val="1"/>
      <w:tblCellMar>
        <w:left w:w="115.0" w:type="dxa"/>
        <w:right w:w="115.0" w:type="dxa"/>
      </w:tblCellMar>
    </w:tblPr>
  </w:style>
  <w:style w:type="table" w:styleId="afffffff4" w:customStyle="1">
    <w:basedOn w:val="TableNormal4"/>
    <w:tblPr>
      <w:tblStyleRowBandSize w:val="1"/>
      <w:tblStyleColBandSize w:val="1"/>
      <w:tblCellMar>
        <w:left w:w="115.0" w:type="dxa"/>
        <w:right w:w="115.0" w:type="dxa"/>
      </w:tblCellMar>
    </w:tblPr>
  </w:style>
  <w:style w:type="table" w:styleId="afffffff5" w:customStyle="1">
    <w:basedOn w:val="TableNormal4"/>
    <w:tblPr>
      <w:tblStyleRowBandSize w:val="1"/>
      <w:tblStyleColBandSize w:val="1"/>
      <w:tblCellMar>
        <w:left w:w="115.0" w:type="dxa"/>
        <w:right w:w="115.0" w:type="dxa"/>
      </w:tblCellMar>
    </w:tblPr>
  </w:style>
  <w:style w:type="table" w:styleId="afffffff6" w:customStyle="1">
    <w:basedOn w:val="TableNormal4"/>
    <w:tblPr>
      <w:tblStyleRowBandSize w:val="1"/>
      <w:tblStyleColBandSize w:val="1"/>
      <w:tblCellMar>
        <w:left w:w="115.0" w:type="dxa"/>
        <w:right w:w="115.0" w:type="dxa"/>
      </w:tblCellMar>
    </w:tblPr>
  </w:style>
  <w:style w:type="table" w:styleId="afffffff7" w:customStyle="1">
    <w:basedOn w:val="TableNormal4"/>
    <w:tblPr>
      <w:tblStyleRowBandSize w:val="1"/>
      <w:tblStyleColBandSize w:val="1"/>
      <w:tblCellMar>
        <w:left w:w="115.0" w:type="dxa"/>
        <w:right w:w="115.0" w:type="dxa"/>
      </w:tblCellMar>
    </w:tblPr>
  </w:style>
  <w:style w:type="table" w:styleId="afffffff8" w:customStyle="1">
    <w:basedOn w:val="TableNormal4"/>
    <w:tblPr>
      <w:tblStyleRowBandSize w:val="1"/>
      <w:tblStyleColBandSize w:val="1"/>
      <w:tblCellMar>
        <w:left w:w="115.0" w:type="dxa"/>
        <w:right w:w="115.0" w:type="dxa"/>
      </w:tblCellMar>
    </w:tblPr>
  </w:style>
  <w:style w:type="table" w:styleId="afffffff9" w:customStyle="1">
    <w:basedOn w:val="TableNormal4"/>
    <w:tblPr>
      <w:tblStyleRowBandSize w:val="1"/>
      <w:tblStyleColBandSize w:val="1"/>
      <w:tblCellMar>
        <w:left w:w="115.0" w:type="dxa"/>
        <w:right w:w="115.0" w:type="dxa"/>
      </w:tblCellMar>
    </w:tblPr>
  </w:style>
  <w:style w:type="table" w:styleId="afffffffa" w:customStyle="1">
    <w:basedOn w:val="TableNormal4"/>
    <w:tblPr>
      <w:tblStyleRowBandSize w:val="1"/>
      <w:tblStyleColBandSize w:val="1"/>
      <w:tblCellMar>
        <w:left w:w="115.0" w:type="dxa"/>
        <w:right w:w="115.0" w:type="dxa"/>
      </w:tblCellMar>
    </w:tblPr>
  </w:style>
  <w:style w:type="table" w:styleId="afffffffb" w:customStyle="1">
    <w:basedOn w:val="TableNormal4"/>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RyfhIVUbKLuFUGsmn94K1I9f9Q==">CgMxLjAyCWguMTQ3bjJ6cjIOaC45cHVsb25zd25ldHkyDmgubXg2cmhzcjF1NmgyMg5oLjExZzZpMXEwZWszZDIOaC45dmE0ZmUycGV0bncyDmguazB3Y2x1bnRpajNkMg5oLmltbGFnOHE0d2JpYjIOaC5nNDJ4Y3liMnZxZTYyDmguOWVkdTJlZTZhZnNsMg5oLm16amVxNnVoaXIyNTIOaC5veXU1bW1vcGhyN3Y4AHIhMUdCckw1dEg0dGpmNlZURTkzdEhLenFOSmU5VHdNdD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2024-10-09T02:54:00Z</dcterms:created>
  <dc:creator>Cliente</dc:creator>
</cp:coreProperties>
</file>