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EF0D" w14:textId="77777777" w:rsidR="00236E80" w:rsidRPr="00236E80" w:rsidRDefault="00236E80" w:rsidP="00236E80">
      <w:pPr>
        <w:rPr>
          <w:b/>
          <w:bCs/>
          <w:sz w:val="28"/>
          <w:szCs w:val="28"/>
        </w:rPr>
      </w:pPr>
      <w:r w:rsidRPr="00236E80">
        <w:rPr>
          <w:b/>
          <w:bCs/>
          <w:sz w:val="28"/>
          <w:szCs w:val="28"/>
        </w:rPr>
        <w:t>1. Summary of findings</w:t>
      </w:r>
    </w:p>
    <w:p w14:paraId="288CD0D2" w14:textId="627A1374" w:rsidR="00236E80" w:rsidRPr="00236E80" w:rsidRDefault="00236E80" w:rsidP="00236E80">
      <w:r w:rsidRPr="00236E80">
        <w:t>Analysis of the data reveals several notable trends regarding places on modern apprenticeship schemes between 2023 and 2026:</w:t>
      </w:r>
    </w:p>
    <w:p w14:paraId="05245AF7" w14:textId="506F8CD1" w:rsidR="00236E80" w:rsidRPr="00236E80" w:rsidRDefault="00236E80" w:rsidP="00236E80">
      <w:r w:rsidRPr="00236E80">
        <w:t>Overall intake: A significant decline in the total number of work-based training places is observed in the 2025/2026 academic year. The number of apprentices peaked in the 2024/25 academic year (12,146), before falling to 11,769 in 2025/26.</w:t>
      </w:r>
    </w:p>
    <w:p w14:paraId="62C0EE22" w14:textId="0E1B82A4" w:rsidR="00236E80" w:rsidRPr="00236E80" w:rsidRDefault="00236E80" w:rsidP="00236E80">
      <w:r w:rsidRPr="00236E80">
        <w:t>Gender inequality: A consistent gender gap persists throughout the observation period.</w:t>
      </w:r>
    </w:p>
    <w:p w14:paraId="268AA7E8" w14:textId="4D9FFF8C" w:rsidR="00236E80" w:rsidRPr="00236E80" w:rsidRDefault="00236E80" w:rsidP="00236E80">
      <w:r w:rsidRPr="00236E80">
        <w:t>The number of male trainees consistently exceeds the number of female trainees.</w:t>
      </w:r>
    </w:p>
    <w:p w14:paraId="4073BB90" w14:textId="483C5544" w:rsidR="00236E80" w:rsidRPr="00236E80" w:rsidRDefault="00236E80" w:rsidP="00236E80">
      <w:r w:rsidRPr="00236E80">
        <w:t>For example, in the 2025/26 academic year, there were 7,500 male trainees and 4,100 female trainees.</w:t>
      </w:r>
    </w:p>
    <w:p w14:paraId="22E9BD72" w14:textId="33651751" w:rsidR="00236E80" w:rsidRPr="00236E80" w:rsidRDefault="00236E80" w:rsidP="00236E80">
      <w:r w:rsidRPr="00236E80">
        <w:t>The participation of those who ‘prefer not to say/identify differently’ remains consistently low, at approximately 100 people throughout the entire period.</w:t>
      </w:r>
    </w:p>
    <w:p w14:paraId="7C159075" w14:textId="77777777" w:rsidR="00236E80" w:rsidRPr="00236E80" w:rsidRDefault="00236E80" w:rsidP="00236E80">
      <w:pPr>
        <w:rPr>
          <w:b/>
          <w:bCs/>
          <w:sz w:val="28"/>
          <w:szCs w:val="28"/>
        </w:rPr>
      </w:pPr>
      <w:r w:rsidRPr="00236E80">
        <w:rPr>
          <w:b/>
          <w:bCs/>
          <w:sz w:val="28"/>
          <w:szCs w:val="28"/>
        </w:rPr>
        <w:t>2. Data quality assessment</w:t>
      </w:r>
    </w:p>
    <w:p w14:paraId="4515106E" w14:textId="0A0D182C" w:rsidR="00236E80" w:rsidRPr="00236E80" w:rsidRDefault="00236E80" w:rsidP="00236E80">
      <w:r w:rsidRPr="00236E80">
        <w:t>When creating infographics, it is important to consider the limitations of this dataset:</w:t>
      </w:r>
    </w:p>
    <w:p w14:paraId="06BA2022" w14:textId="54242786" w:rsidR="002921D4" w:rsidRDefault="00236E80" w:rsidP="00236E80">
      <w:r w:rsidRPr="00236E80">
        <w:t>Categorisation: The ‘Prefer not to say/say otherwise’ category constitutes a very small proportion of the total data, which may limit the ability to draw meaningful conclusions about non-binary or undisclosed gender identities within the context of this specific training programme.</w:t>
      </w:r>
    </w:p>
    <w:p w14:paraId="768A1775" w14:textId="2A0D5CFD" w:rsidR="00815819" w:rsidRDefault="00815819" w:rsidP="00815819">
      <w:r>
        <w:t>Time frame: The data covers a three-year period. Although it indicates a decline, it does not reveal the underlying causes (such as economic factors, sectoral changes or policy shifts), which is a significant limitation for a comprehensive report.</w:t>
      </w:r>
    </w:p>
    <w:p w14:paraId="66184E23" w14:textId="2AB2D7CB" w:rsidR="00815819" w:rsidRPr="00236E80" w:rsidRDefault="00815819" w:rsidP="00815819">
      <w:r>
        <w:t>Aggregated data: The data are presented as totals. Without detailed data (such as by sector, age or region), it is difficult to determine whether the decline or the gender gap is uniform across all types of vocational training or concentrated in specific areas</w:t>
      </w:r>
    </w:p>
    <w:sectPr w:rsidR="00815819" w:rsidRPr="00236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80"/>
    <w:rsid w:val="00136952"/>
    <w:rsid w:val="00236E80"/>
    <w:rsid w:val="002921D4"/>
    <w:rsid w:val="003E78EF"/>
    <w:rsid w:val="008158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AF72"/>
  <w15:chartTrackingRefBased/>
  <w15:docId w15:val="{D4C75474-1835-4FA0-BD7C-6D0B2E48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80"/>
    <w:rPr>
      <w:rFonts w:eastAsiaTheme="majorEastAsia" w:cstheme="majorBidi"/>
      <w:color w:val="272727" w:themeColor="text1" w:themeTint="D8"/>
    </w:rPr>
  </w:style>
  <w:style w:type="paragraph" w:styleId="Title">
    <w:name w:val="Title"/>
    <w:basedOn w:val="Normal"/>
    <w:next w:val="Normal"/>
    <w:link w:val="TitleChar"/>
    <w:uiPriority w:val="10"/>
    <w:qFormat/>
    <w:rsid w:val="00236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80"/>
    <w:pPr>
      <w:spacing w:before="160"/>
      <w:jc w:val="center"/>
    </w:pPr>
    <w:rPr>
      <w:i/>
      <w:iCs/>
      <w:color w:val="404040" w:themeColor="text1" w:themeTint="BF"/>
    </w:rPr>
  </w:style>
  <w:style w:type="character" w:customStyle="1" w:styleId="QuoteChar">
    <w:name w:val="Quote Char"/>
    <w:basedOn w:val="DefaultParagraphFont"/>
    <w:link w:val="Quote"/>
    <w:uiPriority w:val="29"/>
    <w:rsid w:val="00236E80"/>
    <w:rPr>
      <w:i/>
      <w:iCs/>
      <w:color w:val="404040" w:themeColor="text1" w:themeTint="BF"/>
    </w:rPr>
  </w:style>
  <w:style w:type="paragraph" w:styleId="ListParagraph">
    <w:name w:val="List Paragraph"/>
    <w:basedOn w:val="Normal"/>
    <w:uiPriority w:val="34"/>
    <w:qFormat/>
    <w:rsid w:val="00236E80"/>
    <w:pPr>
      <w:ind w:left="720"/>
      <w:contextualSpacing/>
    </w:pPr>
  </w:style>
  <w:style w:type="character" w:styleId="IntenseEmphasis">
    <w:name w:val="Intense Emphasis"/>
    <w:basedOn w:val="DefaultParagraphFont"/>
    <w:uiPriority w:val="21"/>
    <w:qFormat/>
    <w:rsid w:val="00236E80"/>
    <w:rPr>
      <w:i/>
      <w:iCs/>
      <w:color w:val="0F4761" w:themeColor="accent1" w:themeShade="BF"/>
    </w:rPr>
  </w:style>
  <w:style w:type="paragraph" w:styleId="IntenseQuote">
    <w:name w:val="Intense Quote"/>
    <w:basedOn w:val="Normal"/>
    <w:next w:val="Normal"/>
    <w:link w:val="IntenseQuoteChar"/>
    <w:uiPriority w:val="30"/>
    <w:qFormat/>
    <w:rsid w:val="00236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80"/>
    <w:rPr>
      <w:i/>
      <w:iCs/>
      <w:color w:val="0F4761" w:themeColor="accent1" w:themeShade="BF"/>
    </w:rPr>
  </w:style>
  <w:style w:type="character" w:styleId="IntenseReference">
    <w:name w:val="Intense Reference"/>
    <w:basedOn w:val="DefaultParagraphFont"/>
    <w:uiPriority w:val="32"/>
    <w:qFormat/>
    <w:rsid w:val="00236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 User08</dc:creator>
  <cp:keywords/>
  <dc:description/>
  <cp:lastModifiedBy>CD User08</cp:lastModifiedBy>
  <cp:revision>1</cp:revision>
  <dcterms:created xsi:type="dcterms:W3CDTF">2026-03-15T02:15:00Z</dcterms:created>
  <dcterms:modified xsi:type="dcterms:W3CDTF">2026-03-15T03:24:00Z</dcterms:modified>
</cp:coreProperties>
</file>