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65" w:rsidRDefault="00443665">
      <w:pPr>
        <w:pStyle w:val="20"/>
        <w:spacing w:line="460" w:lineRule="atLeast"/>
        <w:ind w:firstLine="482"/>
      </w:pPr>
      <w:bookmarkStart w:id="0" w:name="_GoBack"/>
      <w:bookmarkEnd w:id="0"/>
    </w:p>
    <w:p w:rsidR="00443665" w:rsidRPr="00F776B7" w:rsidRDefault="00443665" w:rsidP="00F776B7">
      <w:pPr>
        <w:overflowPunct/>
        <w:spacing w:line="240" w:lineRule="auto"/>
        <w:jc w:val="center"/>
        <w:textAlignment w:val="auto"/>
        <w:rPr>
          <w:rFonts w:ascii="Arial" w:hAnsi="Arial"/>
          <w:b/>
          <w:bCs/>
          <w:sz w:val="32"/>
        </w:rPr>
      </w:pPr>
      <w:r w:rsidRPr="00F776B7">
        <w:rPr>
          <w:rFonts w:ascii="Arial" w:hAnsi="Arial" w:hint="eastAsia"/>
          <w:b/>
          <w:bCs/>
          <w:sz w:val="32"/>
        </w:rPr>
        <w:t>第</w:t>
      </w:r>
      <w:r w:rsidR="00B8245F">
        <w:rPr>
          <w:rFonts w:ascii="Arial" w:hAnsi="Arial" w:hint="eastAsia"/>
          <w:b/>
          <w:bCs/>
          <w:sz w:val="32"/>
        </w:rPr>
        <w:t>一</w:t>
      </w:r>
      <w:r w:rsidRPr="00F776B7">
        <w:rPr>
          <w:rFonts w:ascii="Arial" w:hAnsi="Arial" w:hint="eastAsia"/>
          <w:b/>
          <w:bCs/>
          <w:sz w:val="32"/>
        </w:rPr>
        <w:t>章</w:t>
      </w:r>
      <w:r w:rsidR="00F776B7" w:rsidRPr="00F776B7">
        <w:rPr>
          <w:rFonts w:ascii="Arial" w:hAnsi="Arial" w:hint="eastAsia"/>
          <w:b/>
          <w:bCs/>
          <w:sz w:val="32"/>
        </w:rPr>
        <w:t xml:space="preserve">  </w:t>
      </w:r>
      <w:r w:rsidRPr="00F776B7">
        <w:rPr>
          <w:rFonts w:ascii="Arial" w:hAnsi="Arial" w:hint="eastAsia"/>
          <w:b/>
          <w:bCs/>
          <w:sz w:val="32"/>
        </w:rPr>
        <w:t>银行信贷制度审查</w:t>
      </w:r>
    </w:p>
    <w:p w:rsidR="00443665" w:rsidRDefault="00443665">
      <w:pPr>
        <w:pStyle w:val="20"/>
        <w:spacing w:line="460" w:lineRule="atLeast"/>
        <w:ind w:firstLine="482"/>
      </w:pPr>
    </w:p>
    <w:p w:rsidR="00443665" w:rsidRDefault="00443665">
      <w:pPr>
        <w:pStyle w:val="20"/>
        <w:spacing w:line="460" w:lineRule="atLeast"/>
        <w:ind w:firstLine="482"/>
      </w:pPr>
      <w:r>
        <w:rPr>
          <w:rFonts w:hint="eastAsia"/>
        </w:rPr>
        <w:t>审查人员应当根据</w:t>
      </w:r>
      <w:r w:rsidR="00B8245F">
        <w:rPr>
          <w:rFonts w:hint="eastAsia"/>
        </w:rPr>
        <w:t>工商</w:t>
      </w:r>
      <w:r>
        <w:rPr>
          <w:rFonts w:hint="eastAsia"/>
        </w:rPr>
        <w:t>银行现行的各项信贷制度、办法的规定对信贷业务进行审查，保证信贷业务符合客户评级与分类、授权、授信、贷款定价、业务流程等基本制度规定和单项业务办法要求，防范制度风险。</w:t>
      </w:r>
    </w:p>
    <w:p w:rsidR="00443665" w:rsidRDefault="00443665">
      <w:pPr>
        <w:pStyle w:val="20"/>
        <w:spacing w:line="460" w:lineRule="atLeast"/>
        <w:ind w:firstLine="482"/>
      </w:pPr>
      <w:r>
        <w:rPr>
          <w:rFonts w:hint="eastAsia"/>
        </w:rPr>
        <w:t>一、授权管理审查</w:t>
      </w:r>
    </w:p>
    <w:p w:rsidR="00443665" w:rsidRDefault="00443665">
      <w:pPr>
        <w:pStyle w:val="20"/>
        <w:spacing w:line="460" w:lineRule="atLeast"/>
        <w:ind w:firstLine="482"/>
      </w:pPr>
      <w:r>
        <w:rPr>
          <w:rFonts w:hint="eastAsia"/>
        </w:rPr>
        <w:t>（一）信贷业务授权制度执行情况审查的基本要求</w:t>
      </w:r>
    </w:p>
    <w:p w:rsidR="00443665" w:rsidRDefault="00443665">
      <w:pPr>
        <w:pStyle w:val="20"/>
        <w:spacing w:line="460" w:lineRule="atLeast"/>
        <w:ind w:firstLine="482"/>
      </w:pPr>
      <w:r>
        <w:t>1</w:t>
      </w:r>
      <w:r>
        <w:rPr>
          <w:rFonts w:hint="eastAsia"/>
        </w:rPr>
        <w:t>、各级行必须在权限范围内办理信贷业务，不得超权限办理信贷业务。审查人员在审查时应当对照上级行颁发的本年度《授权书》（或《转授权书》），结合《中国</w:t>
      </w:r>
      <w:r w:rsidR="00B8245F">
        <w:rPr>
          <w:rFonts w:hint="eastAsia"/>
        </w:rPr>
        <w:t>工商</w:t>
      </w:r>
      <w:r>
        <w:rPr>
          <w:rFonts w:hint="eastAsia"/>
        </w:rPr>
        <w:t>银行信贷管理基本制度》、信贷业务特别授权文件、单项业务管理办法等信贷制度的规定，确认信贷业务是否符合信贷业务授权、转授权规定。</w:t>
      </w:r>
    </w:p>
    <w:p w:rsidR="00443665" w:rsidRDefault="00443665">
      <w:pPr>
        <w:pStyle w:val="20"/>
        <w:spacing w:line="460" w:lineRule="atLeast"/>
        <w:ind w:firstLine="482"/>
      </w:pPr>
      <w:r>
        <w:t>2</w:t>
      </w:r>
      <w:r>
        <w:rPr>
          <w:rFonts w:hint="eastAsia"/>
        </w:rPr>
        <w:t>、信贷业务违反授权制度规定的处理。</w:t>
      </w:r>
    </w:p>
    <w:p w:rsidR="00443665" w:rsidRDefault="00443665">
      <w:pPr>
        <w:pStyle w:val="20"/>
        <w:spacing w:line="460" w:lineRule="atLeast"/>
        <w:ind w:firstLine="482"/>
      </w:pPr>
      <w:r>
        <w:rPr>
          <w:rFonts w:hint="eastAsia"/>
        </w:rPr>
        <w:t>（</w:t>
      </w:r>
      <w:r>
        <w:t>1</w:t>
      </w:r>
      <w:r>
        <w:rPr>
          <w:rFonts w:hint="eastAsia"/>
        </w:rPr>
        <w:t>）本级行受理的超权限信贷业务，审查人员应在审查报告中说明信贷业务审批权限，提请按规定程序履行报批手续。</w:t>
      </w:r>
    </w:p>
    <w:p w:rsidR="00443665" w:rsidRDefault="00443665">
      <w:pPr>
        <w:pStyle w:val="20"/>
        <w:spacing w:line="460" w:lineRule="atLeast"/>
        <w:ind w:firstLine="482"/>
      </w:pPr>
      <w:r>
        <w:rPr>
          <w:rFonts w:hint="eastAsia"/>
        </w:rPr>
        <w:t>（</w:t>
      </w:r>
      <w:r>
        <w:t>2</w:t>
      </w:r>
      <w:r>
        <w:rPr>
          <w:rFonts w:hint="eastAsia"/>
        </w:rPr>
        <w:t>）下级行超授权办理的信贷业务，审查人员在报备审查中不得同意，并要求下级行纠正。</w:t>
      </w:r>
    </w:p>
    <w:p w:rsidR="00443665" w:rsidRDefault="00443665">
      <w:pPr>
        <w:pStyle w:val="20"/>
        <w:spacing w:line="460" w:lineRule="atLeast"/>
        <w:ind w:firstLine="482"/>
      </w:pPr>
      <w:r>
        <w:rPr>
          <w:rFonts w:hint="eastAsia"/>
        </w:rPr>
        <w:t>（二）《中国</w:t>
      </w:r>
      <w:r w:rsidR="00B8245F">
        <w:rPr>
          <w:rFonts w:hint="eastAsia"/>
        </w:rPr>
        <w:t>工商</w:t>
      </w:r>
      <w:r>
        <w:rPr>
          <w:rFonts w:hint="eastAsia"/>
        </w:rPr>
        <w:t>银行信贷管理基本制度》关于信贷审批权限的规定</w:t>
      </w:r>
    </w:p>
    <w:p w:rsidR="00443665" w:rsidRDefault="00443665">
      <w:pPr>
        <w:pStyle w:val="20"/>
        <w:spacing w:line="460" w:lineRule="atLeast"/>
        <w:ind w:firstLine="482"/>
      </w:pPr>
      <w:r>
        <w:t>1</w:t>
      </w:r>
      <w:r>
        <w:rPr>
          <w:rFonts w:hint="eastAsia"/>
        </w:rPr>
        <w:t>、未经有权审批行批准，同一辖区内不得有两个或两个以上同级分支机构对同一客户发放信用。</w:t>
      </w:r>
    </w:p>
    <w:p w:rsidR="00443665" w:rsidRDefault="00443665">
      <w:pPr>
        <w:pStyle w:val="20"/>
        <w:spacing w:line="460" w:lineRule="atLeast"/>
        <w:ind w:firstLine="482"/>
      </w:pPr>
      <w:r>
        <w:t>2</w:t>
      </w:r>
      <w:r>
        <w:rPr>
          <w:rFonts w:hint="eastAsia"/>
        </w:rPr>
        <w:t>、未经有权审批行批准，各分支机构不得超越辖区提供异地信用。</w:t>
      </w:r>
    </w:p>
    <w:p w:rsidR="00443665" w:rsidRDefault="00443665">
      <w:pPr>
        <w:pStyle w:val="20"/>
        <w:spacing w:line="460" w:lineRule="atLeast"/>
        <w:ind w:firstLine="482"/>
      </w:pPr>
      <w:r>
        <w:t>3</w:t>
      </w:r>
      <w:r>
        <w:rPr>
          <w:rFonts w:hint="eastAsia"/>
        </w:rPr>
        <w:t>、开办委托贷款需报经总行批准。</w:t>
      </w:r>
    </w:p>
    <w:p w:rsidR="00443665" w:rsidRDefault="00443665">
      <w:pPr>
        <w:pStyle w:val="20"/>
        <w:spacing w:line="460" w:lineRule="atLeast"/>
        <w:ind w:firstLine="482"/>
      </w:pPr>
      <w:r>
        <w:t>4</w:t>
      </w:r>
      <w:r>
        <w:rPr>
          <w:rFonts w:hint="eastAsia"/>
        </w:rPr>
        <w:t>、对同业竞争激烈的优良客户，确需简化手续和程序，以及</w:t>
      </w:r>
      <w:r w:rsidR="00B8245F">
        <w:rPr>
          <w:rFonts w:hint="eastAsia"/>
        </w:rPr>
        <w:t>工商</w:t>
      </w:r>
      <w:r>
        <w:rPr>
          <w:rFonts w:hint="eastAsia"/>
        </w:rPr>
        <w:t>银行现有制度没有规定或需突破</w:t>
      </w:r>
      <w:r w:rsidR="00B8245F">
        <w:rPr>
          <w:rFonts w:hint="eastAsia"/>
        </w:rPr>
        <w:t>工商</w:t>
      </w:r>
      <w:r>
        <w:rPr>
          <w:rFonts w:hint="eastAsia"/>
        </w:rPr>
        <w:t>银行现有政策制度的信贷业务，实行特事特办制度。特事特办有权审批人为总行行长。</w:t>
      </w:r>
    </w:p>
    <w:p w:rsidR="00443665" w:rsidRDefault="00443665">
      <w:pPr>
        <w:pStyle w:val="20"/>
        <w:spacing w:line="460" w:lineRule="atLeast"/>
        <w:ind w:firstLine="482"/>
      </w:pPr>
      <w:r>
        <w:rPr>
          <w:rFonts w:hint="eastAsia"/>
        </w:rPr>
        <w:t>（三）信贷业务特别授权和部分单项业务管理办法对信贷业务经营权限的规定</w:t>
      </w:r>
    </w:p>
    <w:p w:rsidR="00443665" w:rsidRDefault="00443665">
      <w:pPr>
        <w:pStyle w:val="20"/>
        <w:spacing w:line="460" w:lineRule="atLeast"/>
        <w:ind w:firstLine="482"/>
      </w:pPr>
      <w:r>
        <w:t>1</w:t>
      </w:r>
      <w:r>
        <w:rPr>
          <w:rFonts w:hint="eastAsia"/>
        </w:rPr>
        <w:t>、下列信贷业务的审批权限集中在总行和一级分行；</w:t>
      </w:r>
    </w:p>
    <w:p w:rsidR="00443665" w:rsidRDefault="00443665">
      <w:pPr>
        <w:pStyle w:val="20"/>
        <w:spacing w:line="460" w:lineRule="atLeast"/>
        <w:ind w:firstLine="482"/>
      </w:pPr>
      <w:r>
        <w:rPr>
          <w:rFonts w:hint="eastAsia"/>
        </w:rPr>
        <w:t>（</w:t>
      </w:r>
      <w:r>
        <w:t>1</w:t>
      </w:r>
      <w:r>
        <w:rPr>
          <w:rFonts w:hint="eastAsia"/>
        </w:rPr>
        <w:t>）公开统一授信和可循环使用信用额度；</w:t>
      </w:r>
    </w:p>
    <w:p w:rsidR="00443665" w:rsidRDefault="00443665">
      <w:pPr>
        <w:pStyle w:val="20"/>
        <w:spacing w:line="460" w:lineRule="atLeast"/>
        <w:ind w:firstLine="482"/>
      </w:pPr>
      <w:r>
        <w:rPr>
          <w:rFonts w:hint="eastAsia"/>
        </w:rPr>
        <w:t>（</w:t>
      </w:r>
      <w:r>
        <w:t>2</w:t>
      </w:r>
      <w:r>
        <w:rPr>
          <w:rFonts w:hint="eastAsia"/>
        </w:rPr>
        <w:t>）对</w:t>
      </w:r>
      <w:r>
        <w:t>B</w:t>
      </w:r>
      <w:r>
        <w:rPr>
          <w:rFonts w:hint="eastAsia"/>
        </w:rPr>
        <w:t>、</w:t>
      </w:r>
      <w:r>
        <w:t>C</w:t>
      </w:r>
      <w:r>
        <w:rPr>
          <w:rFonts w:hint="eastAsia"/>
        </w:rPr>
        <w:t>级客户特别授信及授信项下的单笔贷款；</w:t>
      </w:r>
    </w:p>
    <w:p w:rsidR="00443665" w:rsidRDefault="00443665">
      <w:pPr>
        <w:pStyle w:val="20"/>
        <w:spacing w:line="460" w:lineRule="atLeast"/>
        <w:ind w:firstLine="482"/>
      </w:pPr>
      <w:r>
        <w:rPr>
          <w:rFonts w:hint="eastAsia"/>
        </w:rPr>
        <w:lastRenderedPageBreak/>
        <w:t>（</w:t>
      </w:r>
      <w:r>
        <w:t>3</w:t>
      </w:r>
      <w:r>
        <w:rPr>
          <w:rFonts w:hint="eastAsia"/>
        </w:rPr>
        <w:t>）不良贷款注资盘活方案。</w:t>
      </w:r>
    </w:p>
    <w:p w:rsidR="00443665" w:rsidRDefault="00443665">
      <w:pPr>
        <w:pStyle w:val="20"/>
        <w:spacing w:line="460" w:lineRule="atLeast"/>
        <w:ind w:firstLine="482"/>
      </w:pPr>
      <w:r>
        <w:t>2</w:t>
      </w:r>
      <w:r>
        <w:rPr>
          <w:rFonts w:hint="eastAsia"/>
        </w:rPr>
        <w:t>、对次级以下（含次级）贷款办理借新还旧的审批权限集中在二级分行及以上；</w:t>
      </w:r>
    </w:p>
    <w:p w:rsidR="00443665" w:rsidRDefault="00443665">
      <w:pPr>
        <w:pStyle w:val="20"/>
        <w:spacing w:line="460" w:lineRule="atLeast"/>
        <w:ind w:firstLine="482"/>
      </w:pPr>
      <w:r>
        <w:t>3</w:t>
      </w:r>
      <w:r>
        <w:rPr>
          <w:rFonts w:hint="eastAsia"/>
        </w:rPr>
        <w:t>、土地开发贷款无论期限长短，有权审批行原则上为总行和一级分行；对符合发放周转贷款条件的政府土地储备机构的贷款审批授权按总行对各一级分行优良客户短期贷款的授权权限和房地产项目贷款权限中高者掌握；对其它政府土地储备机构的贷款审批授权按各一级分行房地产项目贷款权限掌握；对政府园区土地开发机构和其他土地开发机构的贷款审批授权一律按各一级分行房地产项目贷款权限掌握。</w:t>
      </w:r>
    </w:p>
    <w:p w:rsidR="00443665" w:rsidRDefault="00443665">
      <w:pPr>
        <w:pStyle w:val="20"/>
        <w:spacing w:line="460" w:lineRule="atLeast"/>
        <w:ind w:firstLine="482"/>
      </w:pPr>
      <w:r>
        <w:rPr>
          <w:rFonts w:hint="eastAsia"/>
        </w:rPr>
        <w:t>超过最高综合授信额度对政府土地储备机构提供信用的，审批权限在总行。</w:t>
      </w:r>
    </w:p>
    <w:p w:rsidR="00443665" w:rsidRDefault="00443665">
      <w:pPr>
        <w:pStyle w:val="20"/>
        <w:spacing w:line="460" w:lineRule="atLeast"/>
        <w:ind w:firstLine="482"/>
      </w:pPr>
      <w:r>
        <w:t>4</w:t>
      </w:r>
      <w:r>
        <w:rPr>
          <w:rFonts w:hint="eastAsia"/>
        </w:rPr>
        <w:t>、证券公司发债担保业务审批权限集中在总行。</w:t>
      </w:r>
    </w:p>
    <w:p w:rsidR="00443665" w:rsidRDefault="00443665">
      <w:pPr>
        <w:pStyle w:val="20"/>
        <w:spacing w:line="460" w:lineRule="atLeast"/>
        <w:ind w:firstLine="482"/>
      </w:pPr>
      <w:r>
        <w:t>5</w:t>
      </w:r>
      <w:r>
        <w:rPr>
          <w:rFonts w:hint="eastAsia"/>
        </w:rPr>
        <w:t>、国际贸易融资授信额度审批权限：</w:t>
      </w:r>
      <w:r>
        <w:t>A</w:t>
      </w:r>
      <w:r>
        <w:rPr>
          <w:rFonts w:hint="eastAsia"/>
        </w:rPr>
        <w:t>级以上（含）客户最高综合授信额度的审批权限执行总行授权管理规定；</w:t>
      </w:r>
      <w:r>
        <w:t>B</w:t>
      </w:r>
      <w:r>
        <w:rPr>
          <w:rFonts w:hint="eastAsia"/>
        </w:rPr>
        <w:t>级贸易型或代理型客户因办理国际贸易融资业务需要核定授信额度的，授信额度的审批权限集中上收到一级分行以上（含），并经贷审会审议。</w:t>
      </w:r>
    </w:p>
    <w:p w:rsidR="00443665" w:rsidRDefault="00443665">
      <w:pPr>
        <w:pStyle w:val="20"/>
        <w:spacing w:line="460" w:lineRule="atLeast"/>
        <w:ind w:firstLine="482"/>
      </w:pPr>
      <w:r>
        <w:t>6</w:t>
      </w:r>
      <w:r>
        <w:rPr>
          <w:rFonts w:hint="eastAsia"/>
        </w:rPr>
        <w:t>、其它单项业务有规定的，从其规定。</w:t>
      </w:r>
    </w:p>
    <w:p w:rsidR="00443665" w:rsidRDefault="00443665">
      <w:pPr>
        <w:pStyle w:val="20"/>
        <w:spacing w:line="460" w:lineRule="atLeast"/>
        <w:ind w:firstLine="482"/>
      </w:pPr>
      <w:r>
        <w:t>7</w:t>
      </w:r>
      <w:r>
        <w:rPr>
          <w:rFonts w:hint="eastAsia"/>
        </w:rPr>
        <w:t>、上级行对特定区域、特定业务品种或单笔信贷业务有特别授权的，从其规定。</w:t>
      </w:r>
    </w:p>
    <w:p w:rsidR="00443665" w:rsidRDefault="00443665">
      <w:pPr>
        <w:pStyle w:val="20"/>
        <w:spacing w:line="460" w:lineRule="atLeast"/>
        <w:ind w:firstLine="482"/>
        <w:rPr>
          <w:rFonts w:hint="eastAsia"/>
        </w:rPr>
      </w:pPr>
      <w:r>
        <w:rPr>
          <w:rFonts w:hint="eastAsia"/>
        </w:rPr>
        <w:t>（四）当前</w:t>
      </w:r>
      <w:r w:rsidR="00B8245F">
        <w:rPr>
          <w:rFonts w:hint="eastAsia"/>
        </w:rPr>
        <w:t>工行</w:t>
      </w:r>
      <w:r>
        <w:rPr>
          <w:rFonts w:hint="eastAsia"/>
        </w:rPr>
        <w:t>对部分行业信贷业务授权的特别规定</w:t>
      </w:r>
    </w:p>
    <w:p w:rsidR="00443665" w:rsidRDefault="00443665">
      <w:pPr>
        <w:pStyle w:val="20"/>
        <w:spacing w:line="460" w:lineRule="atLeast"/>
        <w:ind w:firstLine="482"/>
      </w:pPr>
      <w:r>
        <w:rPr>
          <w:rFonts w:hint="eastAsia"/>
        </w:rPr>
        <w:t>在当前国家宏观经济调控时期：</w:t>
      </w:r>
    </w:p>
    <w:p w:rsidR="00443665" w:rsidRDefault="00443665">
      <w:pPr>
        <w:pStyle w:val="20"/>
        <w:spacing w:line="460" w:lineRule="atLeast"/>
        <w:ind w:firstLine="482"/>
      </w:pPr>
      <w:r>
        <w:t>1</w:t>
      </w:r>
      <w:r>
        <w:rPr>
          <w:rFonts w:hint="eastAsia"/>
        </w:rPr>
        <w:t>、钢铁、电解铝、水泥项目贷款，不论额度大小，一律上报总行审批；</w:t>
      </w:r>
    </w:p>
    <w:p w:rsidR="00443665" w:rsidRDefault="00443665">
      <w:pPr>
        <w:pStyle w:val="20"/>
        <w:spacing w:line="460" w:lineRule="atLeast"/>
        <w:ind w:firstLine="482"/>
      </w:pPr>
      <w:r>
        <w:t>2</w:t>
      </w:r>
      <w:r>
        <w:rPr>
          <w:rFonts w:hint="eastAsia"/>
        </w:rPr>
        <w:t>、房地产开发和汽车项目贷款一律上报一级分行及以上审批；</w:t>
      </w:r>
    </w:p>
    <w:p w:rsidR="00443665" w:rsidRDefault="00443665">
      <w:pPr>
        <w:pStyle w:val="20"/>
        <w:spacing w:line="460" w:lineRule="atLeast"/>
        <w:ind w:firstLine="482"/>
      </w:pPr>
      <w:r>
        <w:t>3</w:t>
      </w:r>
      <w:r>
        <w:rPr>
          <w:rFonts w:hint="eastAsia"/>
        </w:rPr>
        <w:t>、钢铁、电解铝、水泥、房地产开发和汽车行业客户的增量流动资金贷款审批权限全部上收至一级分行及以上。分行审批的一律报备总行。</w:t>
      </w:r>
    </w:p>
    <w:p w:rsidR="00443665" w:rsidRDefault="00443665">
      <w:pPr>
        <w:pStyle w:val="20"/>
        <w:spacing w:line="460" w:lineRule="atLeast"/>
        <w:ind w:firstLine="482"/>
      </w:pPr>
      <w:r>
        <w:rPr>
          <w:rFonts w:hint="eastAsia"/>
        </w:rPr>
        <w:t>二、信用等级评定审查</w:t>
      </w:r>
    </w:p>
    <w:p w:rsidR="00443665" w:rsidRDefault="00443665">
      <w:pPr>
        <w:pStyle w:val="20"/>
        <w:spacing w:line="460" w:lineRule="atLeast"/>
        <w:ind w:firstLine="482"/>
      </w:pPr>
      <w:r>
        <w:rPr>
          <w:rFonts w:hint="eastAsia"/>
        </w:rPr>
        <w:t>办理信贷业务必须遵循</w:t>
      </w:r>
      <w:r>
        <w:t>“</w:t>
      </w:r>
      <w:r>
        <w:rPr>
          <w:rFonts w:hint="eastAsia"/>
        </w:rPr>
        <w:t>先评级、后授信</w:t>
      </w:r>
      <w:r>
        <w:t>”</w:t>
      </w:r>
      <w:r>
        <w:rPr>
          <w:rFonts w:hint="eastAsia"/>
        </w:rPr>
        <w:t>的原则，评定信用等级是客户分类和客户授信的基础工作，对向</w:t>
      </w:r>
      <w:r w:rsidR="00B8245F">
        <w:rPr>
          <w:rFonts w:hint="eastAsia"/>
        </w:rPr>
        <w:t>工行</w:t>
      </w:r>
      <w:r>
        <w:rPr>
          <w:rFonts w:hint="eastAsia"/>
        </w:rPr>
        <w:t>申请信用的申请人必须评定信用等级。审查客户信用评级的依据是《中国</w:t>
      </w:r>
      <w:r w:rsidR="00B8245F">
        <w:rPr>
          <w:rFonts w:hint="eastAsia"/>
        </w:rPr>
        <w:t>工商</w:t>
      </w:r>
      <w:r>
        <w:rPr>
          <w:rFonts w:hint="eastAsia"/>
        </w:rPr>
        <w:t>银行客户信用等级评定办法》。</w:t>
      </w:r>
    </w:p>
    <w:p w:rsidR="00443665" w:rsidRDefault="00443665">
      <w:pPr>
        <w:pStyle w:val="20"/>
        <w:spacing w:line="460" w:lineRule="atLeast"/>
        <w:ind w:firstLine="482"/>
      </w:pPr>
      <w:r>
        <w:rPr>
          <w:rFonts w:hint="eastAsia"/>
        </w:rPr>
        <w:t>（一）客户信用等级评定的规定</w:t>
      </w:r>
    </w:p>
    <w:p w:rsidR="00443665" w:rsidRDefault="00443665">
      <w:pPr>
        <w:pStyle w:val="20"/>
        <w:spacing w:line="460" w:lineRule="atLeast"/>
        <w:ind w:firstLine="482"/>
      </w:pPr>
      <w:r>
        <w:t>1</w:t>
      </w:r>
      <w:r>
        <w:rPr>
          <w:rFonts w:hint="eastAsia"/>
        </w:rPr>
        <w:t>、评定对象：按行业和客户性质分为</w:t>
      </w:r>
      <w:r w:rsidR="00B8245F">
        <w:rPr>
          <w:rFonts w:hint="eastAsia"/>
        </w:rPr>
        <w:t>工商</w:t>
      </w:r>
      <w:r>
        <w:rPr>
          <w:rFonts w:hint="eastAsia"/>
        </w:rPr>
        <w:t>、工业、商贸、房地产、建筑安装、外资、事业法人、银行、证券公司、非银行金融机构类客户（证券公司除外）、综合等</w:t>
      </w:r>
      <w:r>
        <w:t>11</w:t>
      </w:r>
      <w:r>
        <w:rPr>
          <w:rFonts w:hint="eastAsia"/>
        </w:rPr>
        <w:t>类客户。</w:t>
      </w:r>
    </w:p>
    <w:p w:rsidR="00443665" w:rsidRDefault="00443665">
      <w:pPr>
        <w:pStyle w:val="20"/>
        <w:spacing w:line="460" w:lineRule="atLeast"/>
        <w:ind w:firstLine="482"/>
      </w:pPr>
      <w:r>
        <w:t>2</w:t>
      </w:r>
      <w:r>
        <w:rPr>
          <w:rFonts w:hint="eastAsia"/>
        </w:rPr>
        <w:t>、等级分类：信用等级评定按照对客户的信用履约评价、偿债能力评价、盈利能力评价、经营能力评价等类别，设置相应的指标，实行百分制，根据得分多少分为</w:t>
      </w:r>
      <w:r>
        <w:t>AAA</w:t>
      </w:r>
      <w:r>
        <w:rPr>
          <w:rFonts w:hint="eastAsia"/>
        </w:rPr>
        <w:t>＋、</w:t>
      </w:r>
      <w:r>
        <w:t>AAA</w:t>
      </w:r>
      <w:r>
        <w:rPr>
          <w:rFonts w:hint="eastAsia"/>
        </w:rPr>
        <w:t>、</w:t>
      </w:r>
      <w:r>
        <w:lastRenderedPageBreak/>
        <w:t>AA</w:t>
      </w:r>
      <w:r>
        <w:rPr>
          <w:rFonts w:hint="eastAsia"/>
        </w:rPr>
        <w:t>＋、</w:t>
      </w:r>
      <w:r>
        <w:t>AA</w:t>
      </w:r>
      <w:r>
        <w:rPr>
          <w:rFonts w:hint="eastAsia"/>
        </w:rPr>
        <w:t>、</w:t>
      </w:r>
      <w:r>
        <w:t>A</w:t>
      </w:r>
      <w:r>
        <w:rPr>
          <w:rFonts w:hint="eastAsia"/>
        </w:rPr>
        <w:t>＋、</w:t>
      </w:r>
      <w:r>
        <w:t>A</w:t>
      </w:r>
      <w:r>
        <w:rPr>
          <w:rFonts w:hint="eastAsia"/>
        </w:rPr>
        <w:t>、</w:t>
      </w:r>
      <w:r>
        <w:t>B</w:t>
      </w:r>
      <w:r>
        <w:rPr>
          <w:rFonts w:hint="eastAsia"/>
        </w:rPr>
        <w:t>、</w:t>
      </w:r>
      <w:r>
        <w:t>C</w:t>
      </w:r>
      <w:r>
        <w:rPr>
          <w:rFonts w:hint="eastAsia"/>
        </w:rPr>
        <w:t>八个等级。</w:t>
      </w:r>
    </w:p>
    <w:p w:rsidR="00443665" w:rsidRDefault="00443665">
      <w:pPr>
        <w:pStyle w:val="20"/>
        <w:spacing w:line="460" w:lineRule="atLeast"/>
        <w:ind w:firstLine="482"/>
      </w:pPr>
      <w:r>
        <w:t>3</w:t>
      </w:r>
      <w:r>
        <w:rPr>
          <w:rFonts w:hint="eastAsia"/>
        </w:rPr>
        <w:t>、信用等级与客户分类：二者存在基本的对应关系，信用等级为</w:t>
      </w:r>
      <w:r>
        <w:t>AAA</w:t>
      </w:r>
      <w:r>
        <w:rPr>
          <w:rFonts w:hint="eastAsia"/>
        </w:rPr>
        <w:t>＋、</w:t>
      </w:r>
      <w:r>
        <w:t>AAA</w:t>
      </w:r>
      <w:r>
        <w:rPr>
          <w:rFonts w:hint="eastAsia"/>
        </w:rPr>
        <w:t>、</w:t>
      </w:r>
      <w:r>
        <w:t>AA</w:t>
      </w:r>
      <w:r>
        <w:rPr>
          <w:rFonts w:hint="eastAsia"/>
        </w:rPr>
        <w:t>＋、</w:t>
      </w:r>
      <w:r>
        <w:t>AA</w:t>
      </w:r>
      <w:r>
        <w:rPr>
          <w:rFonts w:hint="eastAsia"/>
        </w:rPr>
        <w:t>级的客户为优良客户；</w:t>
      </w:r>
      <w:r>
        <w:t>A</w:t>
      </w:r>
      <w:r>
        <w:rPr>
          <w:rFonts w:hint="eastAsia"/>
        </w:rPr>
        <w:t>＋、</w:t>
      </w:r>
      <w:r>
        <w:t>A</w:t>
      </w:r>
      <w:r>
        <w:rPr>
          <w:rFonts w:hint="eastAsia"/>
        </w:rPr>
        <w:t>级、未评级客户为一般客户；</w:t>
      </w:r>
      <w:r>
        <w:t>B</w:t>
      </w:r>
      <w:r>
        <w:rPr>
          <w:rFonts w:hint="eastAsia"/>
        </w:rPr>
        <w:t>级为限制客户；</w:t>
      </w:r>
      <w:r>
        <w:t>C</w:t>
      </w:r>
      <w:r>
        <w:rPr>
          <w:rFonts w:hint="eastAsia"/>
        </w:rPr>
        <w:t>级为淘汰客户。</w:t>
      </w:r>
    </w:p>
    <w:p w:rsidR="00443665" w:rsidRDefault="00443665">
      <w:pPr>
        <w:pStyle w:val="20"/>
        <w:spacing w:line="460" w:lineRule="atLeast"/>
        <w:ind w:firstLine="482"/>
      </w:pPr>
      <w:r>
        <w:t>4</w:t>
      </w:r>
      <w:r>
        <w:rPr>
          <w:rFonts w:hint="eastAsia"/>
        </w:rPr>
        <w:t>、特别规定：</w:t>
      </w:r>
    </w:p>
    <w:p w:rsidR="00443665" w:rsidRDefault="00443665">
      <w:pPr>
        <w:pStyle w:val="20"/>
        <w:spacing w:line="460" w:lineRule="atLeast"/>
        <w:ind w:firstLine="482"/>
      </w:pPr>
      <w:r>
        <w:rPr>
          <w:rFonts w:hint="eastAsia"/>
        </w:rPr>
        <w:t>（</w:t>
      </w:r>
      <w:r>
        <w:rPr>
          <w:rFonts w:hint="eastAsia"/>
        </w:rPr>
        <w:t>1</w:t>
      </w:r>
      <w:r>
        <w:rPr>
          <w:rFonts w:hint="eastAsia"/>
        </w:rPr>
        <w:t>）对于符合所有者权益、利润总额、综合收入、收支节余、开发面积等特殊要求的，可在信用等级评定中适当加分；</w:t>
      </w:r>
    </w:p>
    <w:p w:rsidR="00443665" w:rsidRDefault="00443665">
      <w:pPr>
        <w:pStyle w:val="20"/>
        <w:spacing w:line="460" w:lineRule="atLeast"/>
        <w:ind w:firstLine="482"/>
      </w:pPr>
      <w:r>
        <w:rPr>
          <w:rFonts w:hint="eastAsia"/>
        </w:rPr>
        <w:t>（</w:t>
      </w:r>
      <w:r>
        <w:t>2</w:t>
      </w:r>
      <w:r>
        <w:rPr>
          <w:rFonts w:hint="eastAsia"/>
        </w:rPr>
        <w:t>）信用等级实行一票否决制。每一个信用等级必须同时满足分值和资产负债率、利息偿付记录、到期信用偿付记录、现金流量等限制条件的规定，有一项达不到标准，需下调信用级别，直至满足条件为止。但对客户评级得分在</w:t>
      </w:r>
      <w:r>
        <w:t>80</w:t>
      </w:r>
      <w:r>
        <w:rPr>
          <w:rFonts w:hint="eastAsia"/>
        </w:rPr>
        <w:t>分以上，分值达到</w:t>
      </w:r>
      <w:r>
        <w:t>AA</w:t>
      </w:r>
      <w:r>
        <w:rPr>
          <w:rFonts w:hint="eastAsia"/>
        </w:rPr>
        <w:t>级及以上，其中一项指标（资产负债率、现金流量、到期信用和利息偿还记录）不满足限制性条件的，可经一级分行贷审会审议后，视风险情况，在分值对应级别基础上下调一级；</w:t>
      </w:r>
    </w:p>
    <w:p w:rsidR="00443665" w:rsidRDefault="00443665">
      <w:pPr>
        <w:pStyle w:val="20"/>
        <w:spacing w:line="460" w:lineRule="atLeast"/>
        <w:ind w:firstLine="482"/>
      </w:pPr>
      <w:r>
        <w:rPr>
          <w:rFonts w:hint="eastAsia"/>
        </w:rPr>
        <w:t>（</w:t>
      </w:r>
      <w:r>
        <w:t>3</w:t>
      </w:r>
      <w:r>
        <w:rPr>
          <w:rFonts w:hint="eastAsia"/>
        </w:rPr>
        <w:t>）客户如符合《中国</w:t>
      </w:r>
      <w:r w:rsidR="00B8245F">
        <w:rPr>
          <w:rFonts w:hint="eastAsia"/>
        </w:rPr>
        <w:t>工商</w:t>
      </w:r>
      <w:r>
        <w:rPr>
          <w:rFonts w:hint="eastAsia"/>
        </w:rPr>
        <w:t>银行客户信用等级评定办法》规定的条件，经一级分行贷审会审议，可视风险程度和经营现状直接认定为</w:t>
      </w:r>
      <w:r>
        <w:t>A A</w:t>
      </w:r>
      <w:r>
        <w:rPr>
          <w:rFonts w:hint="eastAsia"/>
        </w:rPr>
        <w:t>级（含）以上客户；</w:t>
      </w:r>
    </w:p>
    <w:p w:rsidR="00443665" w:rsidRDefault="00443665">
      <w:pPr>
        <w:pStyle w:val="20"/>
        <w:spacing w:line="460" w:lineRule="atLeast"/>
        <w:ind w:firstLine="482"/>
      </w:pPr>
      <w:r>
        <w:rPr>
          <w:rFonts w:hint="eastAsia"/>
        </w:rPr>
        <w:t>（</w:t>
      </w:r>
      <w:r>
        <w:t>4</w:t>
      </w:r>
      <w:r>
        <w:rPr>
          <w:rFonts w:hint="eastAsia"/>
        </w:rPr>
        <w:t>）可不评级的客户有：经营期不足两个会计年度或经营期已满两个会计年度但根据经营计划远未达产且无法提供评级所需财务数据的新建客户；拟建或在建项目公司；仅办理低风险业务的客户。上述客户如需评级，可不评分，但须达到文件规定条件。</w:t>
      </w:r>
    </w:p>
    <w:p w:rsidR="00443665" w:rsidRDefault="00443665">
      <w:pPr>
        <w:pStyle w:val="20"/>
        <w:spacing w:line="460" w:lineRule="atLeast"/>
        <w:ind w:firstLine="482"/>
      </w:pPr>
      <w:r>
        <w:t>4</w:t>
      </w:r>
      <w:r>
        <w:rPr>
          <w:rFonts w:hint="eastAsia"/>
        </w:rPr>
        <w:t>、集团客户信用等级评定，可采取整体评级和独立评级两种方式。</w:t>
      </w:r>
    </w:p>
    <w:p w:rsidR="00443665" w:rsidRDefault="00443665">
      <w:pPr>
        <w:pStyle w:val="20"/>
        <w:spacing w:line="460" w:lineRule="atLeast"/>
        <w:ind w:firstLine="482"/>
      </w:pPr>
      <w:r>
        <w:rPr>
          <w:rFonts w:hint="eastAsia"/>
        </w:rPr>
        <w:t>（</w:t>
      </w:r>
      <w:r>
        <w:t>1</w:t>
      </w:r>
      <w:r>
        <w:rPr>
          <w:rFonts w:hint="eastAsia"/>
        </w:rPr>
        <w:t>）整体评级。原则上由母公司所在地行以集团客户的合并报表组织评定。集团客户在某一行业的销售收入占总销售收入的比例超过</w:t>
      </w:r>
      <w:r>
        <w:t>60</w:t>
      </w:r>
      <w:r>
        <w:rPr>
          <w:rFonts w:hint="eastAsia"/>
        </w:rPr>
        <w:t>％的，采用该行业标准值进行评级，低于</w:t>
      </w:r>
      <w:r>
        <w:t>60</w:t>
      </w:r>
      <w:r>
        <w:rPr>
          <w:rFonts w:hint="eastAsia"/>
        </w:rPr>
        <w:t>％的，采用综合类客户标准评级。</w:t>
      </w:r>
    </w:p>
    <w:p w:rsidR="00443665" w:rsidRDefault="00443665">
      <w:pPr>
        <w:pStyle w:val="20"/>
        <w:spacing w:line="460" w:lineRule="atLeast"/>
        <w:ind w:firstLine="482"/>
      </w:pPr>
      <w:r>
        <w:rPr>
          <w:rFonts w:hint="eastAsia"/>
        </w:rPr>
        <w:t>（</w:t>
      </w:r>
      <w:r>
        <w:t>2</w:t>
      </w:r>
      <w:r>
        <w:rPr>
          <w:rFonts w:hint="eastAsia"/>
        </w:rPr>
        <w:t>）独立评级。由集团客户中与</w:t>
      </w:r>
      <w:r w:rsidR="00B8245F">
        <w:rPr>
          <w:rFonts w:hint="eastAsia"/>
        </w:rPr>
        <w:t>工行</w:t>
      </w:r>
      <w:r>
        <w:rPr>
          <w:rFonts w:hint="eastAsia"/>
        </w:rPr>
        <w:t>有信贷关系或即将建立信贷关系的独立法人所在地行进行评级。独立评级时首先应向母公司开户行或管辖行查询集团客户整体信用等级。集团客户中各独立法人的评级原则不超过集团客户的整体评级，生产经营独立性较强的，其信用等级可不受集团客户整体评级影响。</w:t>
      </w:r>
    </w:p>
    <w:p w:rsidR="00443665" w:rsidRDefault="00443665">
      <w:pPr>
        <w:pStyle w:val="20"/>
        <w:spacing w:line="460" w:lineRule="atLeast"/>
        <w:ind w:firstLine="482"/>
      </w:pPr>
      <w:r>
        <w:t>5</w:t>
      </w:r>
      <w:r>
        <w:rPr>
          <w:rFonts w:hint="eastAsia"/>
        </w:rPr>
        <w:t>、评定权限和程序。</w:t>
      </w:r>
    </w:p>
    <w:p w:rsidR="00443665" w:rsidRDefault="00443665">
      <w:pPr>
        <w:pStyle w:val="20"/>
        <w:spacing w:line="460" w:lineRule="atLeast"/>
        <w:ind w:firstLine="482"/>
      </w:pPr>
      <w:r>
        <w:rPr>
          <w:rFonts w:hint="eastAsia"/>
        </w:rPr>
        <w:t>（</w:t>
      </w:r>
      <w:r>
        <w:t>1</w:t>
      </w:r>
      <w:r>
        <w:rPr>
          <w:rFonts w:hint="eastAsia"/>
        </w:rPr>
        <w:t>）</w:t>
      </w:r>
      <w:r>
        <w:t>B</w:t>
      </w:r>
      <w:r>
        <w:rPr>
          <w:rFonts w:hint="eastAsia"/>
        </w:rPr>
        <w:t>、</w:t>
      </w:r>
      <w:r>
        <w:t>C</w:t>
      </w:r>
      <w:r>
        <w:rPr>
          <w:rFonts w:hint="eastAsia"/>
        </w:rPr>
        <w:t>级客户信用等级由经营行客户部门调查、初评，信贷部门审定，有权审批人审批：</w:t>
      </w:r>
    </w:p>
    <w:p w:rsidR="00443665" w:rsidRDefault="00443665">
      <w:pPr>
        <w:pStyle w:val="20"/>
        <w:spacing w:line="460" w:lineRule="atLeast"/>
        <w:ind w:firstLine="482"/>
      </w:pPr>
      <w:r>
        <w:rPr>
          <w:rFonts w:hint="eastAsia"/>
        </w:rPr>
        <w:t>（</w:t>
      </w:r>
      <w:r>
        <w:t>2</w:t>
      </w:r>
      <w:r>
        <w:rPr>
          <w:rFonts w:hint="eastAsia"/>
        </w:rPr>
        <w:t>）</w:t>
      </w:r>
      <w:r>
        <w:t>A</w:t>
      </w:r>
      <w:r>
        <w:rPr>
          <w:rFonts w:hint="eastAsia"/>
        </w:rPr>
        <w:t>＋、</w:t>
      </w:r>
      <w:r>
        <w:t>A</w:t>
      </w:r>
      <w:r>
        <w:rPr>
          <w:rFonts w:hint="eastAsia"/>
        </w:rPr>
        <w:t>级客户信用等级由经营行客户部门调查、初评，同级信贷部门审查初定，</w:t>
      </w:r>
      <w:r>
        <w:rPr>
          <w:rFonts w:hint="eastAsia"/>
        </w:rPr>
        <w:lastRenderedPageBreak/>
        <w:t>行长或主管行长审核同意后报二级分行信贷部门审定，有权审批人审批：</w:t>
      </w:r>
    </w:p>
    <w:p w:rsidR="00443665" w:rsidRDefault="00443665">
      <w:pPr>
        <w:pStyle w:val="20"/>
        <w:spacing w:line="460" w:lineRule="atLeast"/>
        <w:ind w:firstLine="482"/>
      </w:pPr>
      <w:r>
        <w:rPr>
          <w:rFonts w:hint="eastAsia"/>
        </w:rPr>
        <w:t>（</w:t>
      </w:r>
      <w:r>
        <w:t>3</w:t>
      </w:r>
      <w:r>
        <w:rPr>
          <w:rFonts w:hint="eastAsia"/>
        </w:rPr>
        <w:t>）</w:t>
      </w:r>
      <w:r>
        <w:t>AAA</w:t>
      </w:r>
      <w:r>
        <w:rPr>
          <w:rFonts w:hint="eastAsia"/>
        </w:rPr>
        <w:t>＋、</w:t>
      </w:r>
      <w:r>
        <w:t>AAA</w:t>
      </w:r>
      <w:r>
        <w:rPr>
          <w:rFonts w:hint="eastAsia"/>
        </w:rPr>
        <w:t>、</w:t>
      </w:r>
      <w:r>
        <w:t>AA</w:t>
      </w:r>
      <w:r>
        <w:rPr>
          <w:rFonts w:hint="eastAsia"/>
        </w:rPr>
        <w:t>＋、</w:t>
      </w:r>
      <w:r>
        <w:t>AA</w:t>
      </w:r>
      <w:r>
        <w:rPr>
          <w:rFonts w:hint="eastAsia"/>
        </w:rPr>
        <w:t>级客户信用等级由经营行客户部门调查、初评，同级信贷部门审查初定，行长或主管行长审核同意后报二级分行信贷部门，二级分行信贷部门提出评审意见，经行长或主管行长同意后报一级分行信贷管理部门审定，有权审批人审批；</w:t>
      </w:r>
    </w:p>
    <w:p w:rsidR="00443665" w:rsidRDefault="00443665">
      <w:pPr>
        <w:pStyle w:val="20"/>
        <w:spacing w:line="460" w:lineRule="atLeast"/>
        <w:ind w:firstLine="482"/>
      </w:pPr>
      <w:r>
        <w:rPr>
          <w:rFonts w:hint="eastAsia"/>
        </w:rPr>
        <w:t>（</w:t>
      </w:r>
      <w:r>
        <w:t>4</w:t>
      </w:r>
      <w:r>
        <w:rPr>
          <w:rFonts w:hint="eastAsia"/>
        </w:rPr>
        <w:t>）管理行开发的客户，可由本级客户部门调查、初评，信贷部门审查初定，行长或主管行长同意后报有权审批行审批。</w:t>
      </w:r>
    </w:p>
    <w:p w:rsidR="00443665" w:rsidRDefault="00443665">
      <w:pPr>
        <w:pStyle w:val="20"/>
        <w:spacing w:line="460" w:lineRule="atLeast"/>
        <w:ind w:firstLine="482"/>
      </w:pPr>
      <w:r>
        <w:t>6</w:t>
      </w:r>
      <w:r>
        <w:rPr>
          <w:rFonts w:hint="eastAsia"/>
        </w:rPr>
        <w:t>、评定后管理：</w:t>
      </w:r>
      <w:r>
        <w:t>A</w:t>
      </w:r>
      <w:r>
        <w:rPr>
          <w:rFonts w:hint="eastAsia"/>
        </w:rPr>
        <w:t>级（含）以上客户每半年复测一次信用等级，其它客户可不复测。年度中间复测信用等级原则上不作上升处理。但发生文件规定的降级情况的，必须作降级处理。</w:t>
      </w:r>
    </w:p>
    <w:p w:rsidR="00443665" w:rsidRDefault="00443665">
      <w:pPr>
        <w:pStyle w:val="20"/>
        <w:spacing w:line="460" w:lineRule="atLeast"/>
        <w:ind w:firstLine="482"/>
      </w:pPr>
      <w:r>
        <w:rPr>
          <w:rFonts w:hint="eastAsia"/>
        </w:rPr>
        <w:t>（二）审查中注意的问题</w:t>
      </w:r>
    </w:p>
    <w:p w:rsidR="00443665" w:rsidRDefault="00443665">
      <w:pPr>
        <w:pStyle w:val="20"/>
        <w:spacing w:line="460" w:lineRule="atLeast"/>
        <w:ind w:firstLine="482"/>
      </w:pPr>
      <w:r>
        <w:t>1</w:t>
      </w:r>
      <w:r>
        <w:rPr>
          <w:rFonts w:hint="eastAsia"/>
        </w:rPr>
        <w:t>、审查信贷业务上报行是否按规定对客户进行信用等级评定和定期复测信用等级。</w:t>
      </w:r>
    </w:p>
    <w:p w:rsidR="00443665" w:rsidRDefault="00443665">
      <w:pPr>
        <w:pStyle w:val="20"/>
        <w:spacing w:line="460" w:lineRule="atLeast"/>
        <w:ind w:firstLine="482"/>
      </w:pPr>
      <w:r>
        <w:t>2</w:t>
      </w:r>
      <w:r>
        <w:rPr>
          <w:rFonts w:hint="eastAsia"/>
        </w:rPr>
        <w:t>、审查人员应当按规定复测客户（申请人和担保人）信用等级，对复测结果和上报结果不一致的，要在信贷审查报告中说明；</w:t>
      </w:r>
    </w:p>
    <w:p w:rsidR="00443665" w:rsidRDefault="00443665">
      <w:pPr>
        <w:pStyle w:val="20"/>
        <w:spacing w:line="460" w:lineRule="atLeast"/>
        <w:ind w:firstLine="482"/>
      </w:pPr>
      <w:r>
        <w:t>3</w:t>
      </w:r>
      <w:r>
        <w:rPr>
          <w:rFonts w:hint="eastAsia"/>
        </w:rPr>
        <w:t>、审查客户信用等级评定是否符合总行规定的权限和程序。</w:t>
      </w:r>
    </w:p>
    <w:p w:rsidR="00443665" w:rsidRDefault="00443665">
      <w:pPr>
        <w:pStyle w:val="20"/>
        <w:spacing w:line="460" w:lineRule="atLeast"/>
        <w:ind w:firstLine="482"/>
      </w:pPr>
      <w:r>
        <w:rPr>
          <w:rFonts w:hint="eastAsia"/>
        </w:rPr>
        <w:t>三、客户分类审查</w:t>
      </w:r>
    </w:p>
    <w:p w:rsidR="00443665" w:rsidRDefault="00443665">
      <w:pPr>
        <w:pStyle w:val="20"/>
        <w:spacing w:line="460" w:lineRule="atLeast"/>
        <w:ind w:firstLine="482"/>
      </w:pPr>
      <w:r>
        <w:rPr>
          <w:rFonts w:hint="eastAsia"/>
        </w:rPr>
        <w:t>客户分类是</w:t>
      </w:r>
      <w:r w:rsidR="00B8245F">
        <w:rPr>
          <w:rFonts w:hint="eastAsia"/>
        </w:rPr>
        <w:t>工商</w:t>
      </w:r>
      <w:r>
        <w:rPr>
          <w:rFonts w:hint="eastAsia"/>
        </w:rPr>
        <w:t>银行信贷管理的重要基础工作。在信贷审查中，应以客户信用等级为基础，结合其它因素对客户进行分类，并将分类结果作为确定客户授信额度、信贷审批的依据。对审查分类结果与上报行分类结果有明显差异的，审查人员应当找出原因，并在信贷审查报告中说明。</w:t>
      </w:r>
      <w:r w:rsidR="00B8245F">
        <w:rPr>
          <w:rFonts w:hint="eastAsia"/>
        </w:rPr>
        <w:t>工行</w:t>
      </w:r>
      <w:r>
        <w:rPr>
          <w:rFonts w:hint="eastAsia"/>
        </w:rPr>
        <w:t>客户分类标准是</w:t>
      </w:r>
      <w:r>
        <w:t>L</w:t>
      </w:r>
    </w:p>
    <w:p w:rsidR="00443665" w:rsidRDefault="00443665">
      <w:pPr>
        <w:pStyle w:val="20"/>
        <w:spacing w:line="460" w:lineRule="atLeast"/>
        <w:ind w:firstLine="482"/>
      </w:pPr>
      <w:r>
        <w:rPr>
          <w:rFonts w:hint="eastAsia"/>
        </w:rPr>
        <w:t>（一）优良客户：符合国家产业政策，发展前景和经营状况良好，信用等级在</w:t>
      </w:r>
      <w:r>
        <w:t>AA</w:t>
      </w:r>
      <w:r>
        <w:rPr>
          <w:rFonts w:hint="eastAsia"/>
        </w:rPr>
        <w:t>级及以上，资产负债率低于</w:t>
      </w:r>
      <w:r>
        <w:t>70</w:t>
      </w:r>
      <w:r>
        <w:rPr>
          <w:rFonts w:hint="eastAsia"/>
        </w:rPr>
        <w:t>％，现金流量充足</w:t>
      </w:r>
      <w:r>
        <w:t>。</w:t>
      </w:r>
      <w:r>
        <w:rPr>
          <w:rFonts w:hint="eastAsia"/>
        </w:rPr>
        <w:t>无不良贷款，无欠息，盈利客户。</w:t>
      </w:r>
    </w:p>
    <w:p w:rsidR="00443665" w:rsidRDefault="00443665">
      <w:pPr>
        <w:pStyle w:val="20"/>
        <w:spacing w:line="460" w:lineRule="atLeast"/>
        <w:ind w:firstLine="482"/>
      </w:pPr>
      <w:r>
        <w:rPr>
          <w:rFonts w:hint="eastAsia"/>
        </w:rPr>
        <w:t>（二）一般客户：符合国家产业政策，信用等级为</w:t>
      </w:r>
      <w:r>
        <w:t>A</w:t>
      </w:r>
      <w:r>
        <w:rPr>
          <w:rFonts w:hint="eastAsia"/>
        </w:rPr>
        <w:t>级和</w:t>
      </w:r>
      <w:r>
        <w:t>A</w:t>
      </w:r>
      <w:r>
        <w:rPr>
          <w:rFonts w:hint="eastAsia"/>
        </w:rPr>
        <w:t>＋级，资产负债率在</w:t>
      </w:r>
      <w:r>
        <w:t>85</w:t>
      </w:r>
      <w:r>
        <w:rPr>
          <w:rFonts w:hint="eastAsia"/>
        </w:rPr>
        <w:t>％以下，到期信用偿付率在</w:t>
      </w:r>
      <w:r>
        <w:t>80</w:t>
      </w:r>
      <w:r>
        <w:rPr>
          <w:rFonts w:hint="eastAsia"/>
        </w:rPr>
        <w:t>％以上，贷款利息收回率在</w:t>
      </w:r>
      <w:r>
        <w:t>90</w:t>
      </w:r>
      <w:r>
        <w:rPr>
          <w:rFonts w:hint="eastAsia"/>
        </w:rPr>
        <w:t>%</w:t>
      </w:r>
      <w:r>
        <w:rPr>
          <w:rFonts w:hint="eastAsia"/>
        </w:rPr>
        <w:t>以上，盈利客户。</w:t>
      </w:r>
    </w:p>
    <w:p w:rsidR="00443665" w:rsidRDefault="00443665">
      <w:pPr>
        <w:pStyle w:val="20"/>
        <w:spacing w:line="460" w:lineRule="atLeast"/>
        <w:ind w:firstLine="482"/>
      </w:pPr>
      <w:r>
        <w:rPr>
          <w:rFonts w:hint="eastAsia"/>
        </w:rPr>
        <w:t>（三）限制客户：信用等级在</w:t>
      </w:r>
      <w:r>
        <w:t>B</w:t>
      </w:r>
      <w:r>
        <w:rPr>
          <w:rFonts w:hint="eastAsia"/>
        </w:rPr>
        <w:t>级，生产经营属于国家限制发展或限期调整的行业或产品，企业技术装备水平低、规模小，缺乏竞争实力，经营效益下降并出现亏损，资产负债率在</w:t>
      </w:r>
      <w:r>
        <w:t>85%</w:t>
      </w:r>
      <w:r>
        <w:rPr>
          <w:rFonts w:hint="eastAsia"/>
        </w:rPr>
        <w:t>以上，到期信用偿付率低于</w:t>
      </w:r>
      <w:r>
        <w:t>80%</w:t>
      </w:r>
      <w:r>
        <w:rPr>
          <w:rFonts w:hint="eastAsia"/>
        </w:rPr>
        <w:t>，贷款利息收回率低于</w:t>
      </w:r>
      <w:r>
        <w:t>90</w:t>
      </w:r>
      <w:r>
        <w:rPr>
          <w:rFonts w:hint="eastAsia"/>
        </w:rPr>
        <w:t>％。</w:t>
      </w:r>
    </w:p>
    <w:p w:rsidR="00443665" w:rsidRDefault="00443665">
      <w:pPr>
        <w:pStyle w:val="20"/>
        <w:spacing w:line="460" w:lineRule="atLeast"/>
        <w:ind w:firstLine="482"/>
      </w:pPr>
      <w:r>
        <w:rPr>
          <w:rFonts w:hint="eastAsia"/>
        </w:rPr>
        <w:t>（四）淘汰客户：符合限制客户条件，同时又符合下列条件之一的信贷客户：信用等级为</w:t>
      </w:r>
      <w:r>
        <w:t>C</w:t>
      </w:r>
      <w:r>
        <w:rPr>
          <w:rFonts w:hint="eastAsia"/>
        </w:rPr>
        <w:t>级；国家行业和产品政策禁止发展和明令淘汰的；严重资不抵债的；企业已停止生产经营</w:t>
      </w:r>
      <w:r>
        <w:t>1</w:t>
      </w:r>
      <w:r>
        <w:rPr>
          <w:rFonts w:hint="eastAsia"/>
        </w:rPr>
        <w:t>年以上的；逃废银行债务，且债务无法落实的；到期信用偿付率低于</w:t>
      </w:r>
      <w:r>
        <w:t>30</w:t>
      </w:r>
      <w:r>
        <w:rPr>
          <w:rFonts w:hint="eastAsia"/>
        </w:rPr>
        <w:t>％。</w:t>
      </w:r>
    </w:p>
    <w:p w:rsidR="00443665" w:rsidRDefault="00443665">
      <w:pPr>
        <w:pStyle w:val="20"/>
        <w:spacing w:line="460" w:lineRule="atLeast"/>
        <w:ind w:firstLine="482"/>
      </w:pPr>
      <w:r>
        <w:rPr>
          <w:rFonts w:hint="eastAsia"/>
        </w:rPr>
        <w:lastRenderedPageBreak/>
        <w:t>优良客户和一般客户的各项分类指标中，如有一项达不到相应档次的标准，则下靠一档进行分类。</w:t>
      </w:r>
    </w:p>
    <w:p w:rsidR="00443665" w:rsidRDefault="00443665">
      <w:pPr>
        <w:pStyle w:val="20"/>
        <w:spacing w:line="460" w:lineRule="atLeast"/>
        <w:ind w:firstLine="482"/>
      </w:pPr>
      <w:r>
        <w:rPr>
          <w:rFonts w:hint="eastAsia"/>
        </w:rPr>
        <w:t>四、授信管理审查</w:t>
      </w:r>
    </w:p>
    <w:p w:rsidR="00443665" w:rsidRDefault="00443665">
      <w:pPr>
        <w:pStyle w:val="20"/>
        <w:spacing w:line="460" w:lineRule="atLeast"/>
        <w:ind w:firstLine="482"/>
      </w:pPr>
      <w:r>
        <w:rPr>
          <w:rFonts w:hint="eastAsia"/>
        </w:rPr>
        <w:t>办理信贷业务，必须遵循</w:t>
      </w:r>
      <w:r>
        <w:t>“</w:t>
      </w:r>
      <w:r>
        <w:rPr>
          <w:rFonts w:hint="eastAsia"/>
        </w:rPr>
        <w:t>先授信、后用信</w:t>
      </w:r>
      <w:r>
        <w:t>”</w:t>
      </w:r>
      <w:r>
        <w:rPr>
          <w:rFonts w:hint="eastAsia"/>
        </w:rPr>
        <w:t>的原则。在审查中，应当重点关注以下几个方面的内容：</w:t>
      </w:r>
      <w:r w:rsidR="00B8245F">
        <w:rPr>
          <w:rFonts w:hint="eastAsia"/>
        </w:rPr>
        <w:t>工行</w:t>
      </w:r>
      <w:r>
        <w:rPr>
          <w:rFonts w:hint="eastAsia"/>
        </w:rPr>
        <w:t>是否对申请人实行统一授信管理；授信审批的权限和程序是否符合规定；授信额度的确定是否合理，是否有利于控制信贷风险；新业务审批后是否超过核定的最高综合授信额度等。</w:t>
      </w:r>
    </w:p>
    <w:p w:rsidR="00443665" w:rsidRDefault="00443665">
      <w:pPr>
        <w:pStyle w:val="20"/>
        <w:spacing w:line="460" w:lineRule="atLeast"/>
        <w:ind w:firstLine="482"/>
      </w:pPr>
      <w:r>
        <w:rPr>
          <w:rFonts w:hint="eastAsia"/>
        </w:rPr>
        <w:t>（一）授信管理的一般性规定</w:t>
      </w:r>
    </w:p>
    <w:p w:rsidR="00443665" w:rsidRDefault="00443665">
      <w:pPr>
        <w:pStyle w:val="20"/>
        <w:spacing w:line="460" w:lineRule="atLeast"/>
        <w:ind w:firstLine="482"/>
      </w:pPr>
      <w:r>
        <w:t>1</w:t>
      </w:r>
      <w:r>
        <w:rPr>
          <w:rFonts w:hint="eastAsia"/>
        </w:rPr>
        <w:t>、统一授信的对象。</w:t>
      </w:r>
      <w:r w:rsidR="00B8245F">
        <w:rPr>
          <w:rFonts w:hint="eastAsia"/>
        </w:rPr>
        <w:t>工商</w:t>
      </w:r>
      <w:r>
        <w:rPr>
          <w:rFonts w:hint="eastAsia"/>
        </w:rPr>
        <w:t>银行对在国家工商行政管理机关核准登记，在</w:t>
      </w:r>
      <w:r w:rsidR="00B8245F">
        <w:rPr>
          <w:rFonts w:hint="eastAsia"/>
        </w:rPr>
        <w:t>工行</w:t>
      </w:r>
      <w:r>
        <w:rPr>
          <w:rFonts w:hint="eastAsia"/>
        </w:rPr>
        <w:t>开立基本账户或一般存款账户，并有信用业务关系，或申请建立信用关系的法人客户实施统一授信管理。</w:t>
      </w:r>
    </w:p>
    <w:p w:rsidR="00443665" w:rsidRDefault="00443665">
      <w:pPr>
        <w:pStyle w:val="20"/>
        <w:spacing w:line="460" w:lineRule="atLeast"/>
        <w:ind w:firstLine="482"/>
      </w:pPr>
      <w:r>
        <w:t>2</w:t>
      </w:r>
      <w:r>
        <w:rPr>
          <w:rFonts w:hint="eastAsia"/>
        </w:rPr>
        <w:t>、授信管理方式分为公开统一授信和内部统一授信。</w:t>
      </w:r>
    </w:p>
    <w:p w:rsidR="00443665" w:rsidRDefault="00443665">
      <w:pPr>
        <w:pStyle w:val="20"/>
        <w:spacing w:line="460" w:lineRule="atLeast"/>
        <w:ind w:firstLine="482"/>
      </w:pPr>
      <w:r>
        <w:t>3</w:t>
      </w:r>
      <w:r>
        <w:rPr>
          <w:rFonts w:hint="eastAsia"/>
        </w:rPr>
        <w:t>、对同一客户不同形式的信用都应置于该客户的最高授信限额以内，本币业务、外币业务授信置于同一授信额度之下。对该客户提供的本外币贷款、承兑、贴现、信用证、国际结算项下贸易融资额度、担保、信用卡透支等各类表内外信用余额之和不得超过最高综合授信额度。</w:t>
      </w:r>
    </w:p>
    <w:p w:rsidR="00443665" w:rsidRDefault="00443665">
      <w:pPr>
        <w:pStyle w:val="20"/>
        <w:spacing w:line="460" w:lineRule="atLeast"/>
        <w:ind w:firstLine="482"/>
      </w:pPr>
      <w:r>
        <w:rPr>
          <w:rFonts w:hint="eastAsia"/>
        </w:rPr>
        <w:t>统一授信有效期为一年，最高综合授信额度一年一定。</w:t>
      </w:r>
    </w:p>
    <w:p w:rsidR="00443665" w:rsidRDefault="00443665">
      <w:pPr>
        <w:pStyle w:val="20"/>
        <w:spacing w:line="460" w:lineRule="atLeast"/>
        <w:ind w:firstLine="482"/>
      </w:pPr>
      <w:r>
        <w:t>4</w:t>
      </w:r>
      <w:r>
        <w:rPr>
          <w:rFonts w:hint="eastAsia"/>
        </w:rPr>
        <w:t>、对每一个法人客户都应确定一个最高授信额度，根据风险程度获得相应的担保。</w:t>
      </w:r>
    </w:p>
    <w:p w:rsidR="00443665" w:rsidRDefault="00443665">
      <w:pPr>
        <w:pStyle w:val="20"/>
        <w:spacing w:line="460" w:lineRule="atLeast"/>
        <w:ind w:firstLine="482"/>
      </w:pPr>
      <w:r>
        <w:t>5</w:t>
      </w:r>
      <w:r>
        <w:rPr>
          <w:rFonts w:hint="eastAsia"/>
        </w:rPr>
        <w:t>、不能由不同部门分别对同一或不同客户，不同部门分别对同一或不同信贷品种进行授信。</w:t>
      </w:r>
    </w:p>
    <w:p w:rsidR="00443665" w:rsidRDefault="00443665">
      <w:pPr>
        <w:pStyle w:val="20"/>
        <w:spacing w:line="460" w:lineRule="atLeast"/>
        <w:ind w:firstLine="482"/>
      </w:pPr>
      <w:r>
        <w:t>6</w:t>
      </w:r>
      <w:r>
        <w:rPr>
          <w:rFonts w:hint="eastAsia"/>
        </w:rPr>
        <w:t>、授信的对象是法人，不允许商业银行在一个营业机构或系统内对不具备法人资格的分支公司客户授信。</w:t>
      </w:r>
    </w:p>
    <w:p w:rsidR="00443665" w:rsidRDefault="00443665">
      <w:pPr>
        <w:pStyle w:val="20"/>
        <w:spacing w:line="460" w:lineRule="atLeast"/>
        <w:ind w:firstLine="482"/>
      </w:pPr>
      <w:r>
        <w:t>7</w:t>
      </w:r>
      <w:r>
        <w:rPr>
          <w:rFonts w:hint="eastAsia"/>
        </w:rPr>
        <w:t>、特别授信。</w:t>
      </w:r>
    </w:p>
    <w:p w:rsidR="00443665" w:rsidRDefault="00443665">
      <w:pPr>
        <w:pStyle w:val="20"/>
        <w:spacing w:line="460" w:lineRule="atLeast"/>
        <w:ind w:firstLine="482"/>
      </w:pPr>
      <w:r>
        <w:rPr>
          <w:rFonts w:hint="eastAsia"/>
        </w:rPr>
        <w:t>（</w:t>
      </w:r>
      <w:r>
        <w:t>1</w:t>
      </w:r>
      <w:r>
        <w:rPr>
          <w:rFonts w:hint="eastAsia"/>
        </w:rPr>
        <w:t>）对</w:t>
      </w:r>
      <w:r>
        <w:t>AA</w:t>
      </w:r>
      <w:r>
        <w:rPr>
          <w:rFonts w:hint="eastAsia"/>
        </w:rPr>
        <w:t>级及以上客户临时性的资金需求，可特别授信。特别授信的审批权限，根据原有授信额度和特别授信额度之和确定。特别授信的期限根据客户的具体业务确定，在其有效期生效和结束时，相应调增和调减客户的最高综合授信额度，不得循环使用。</w:t>
      </w:r>
    </w:p>
    <w:p w:rsidR="00443665" w:rsidRDefault="00443665">
      <w:pPr>
        <w:pStyle w:val="20"/>
        <w:spacing w:line="460" w:lineRule="atLeast"/>
        <w:ind w:firstLine="482"/>
      </w:pPr>
      <w:r>
        <w:rPr>
          <w:rFonts w:hint="eastAsia"/>
        </w:rPr>
        <w:t>（</w:t>
      </w:r>
      <w:r>
        <w:t>2</w:t>
      </w:r>
      <w:r>
        <w:rPr>
          <w:rFonts w:hint="eastAsia"/>
        </w:rPr>
        <w:t>）对</w:t>
      </w:r>
      <w:r>
        <w:t>B</w:t>
      </w:r>
      <w:r>
        <w:rPr>
          <w:rFonts w:hint="eastAsia"/>
        </w:rPr>
        <w:t>、</w:t>
      </w:r>
      <w:r>
        <w:t>C</w:t>
      </w:r>
      <w:r>
        <w:rPr>
          <w:rFonts w:hint="eastAsia"/>
        </w:rPr>
        <w:t>级客户基于清收盘活的目的，可按有关规定特别授信。</w:t>
      </w:r>
    </w:p>
    <w:p w:rsidR="00443665" w:rsidRDefault="00443665">
      <w:pPr>
        <w:pStyle w:val="20"/>
        <w:spacing w:line="460" w:lineRule="atLeast"/>
        <w:ind w:firstLine="482"/>
      </w:pPr>
      <w:r>
        <w:rPr>
          <w:rFonts w:hint="eastAsia"/>
        </w:rPr>
        <w:t>（二）确定授信额度的一般性规定</w:t>
      </w:r>
    </w:p>
    <w:p w:rsidR="00443665" w:rsidRDefault="00443665">
      <w:pPr>
        <w:pStyle w:val="20"/>
        <w:spacing w:line="460" w:lineRule="atLeast"/>
        <w:ind w:firstLine="482"/>
      </w:pPr>
      <w:r>
        <w:t>1</w:t>
      </w:r>
      <w:r>
        <w:rPr>
          <w:rFonts w:hint="eastAsia"/>
        </w:rPr>
        <w:t>、对</w:t>
      </w:r>
      <w:r>
        <w:t>AA</w:t>
      </w:r>
      <w:r>
        <w:rPr>
          <w:rFonts w:hint="eastAsia"/>
        </w:rPr>
        <w:t>级及以上客户，核定最高综合授信额度后，其资产负债率不得高于</w:t>
      </w:r>
      <w:r>
        <w:t>70</w:t>
      </w:r>
      <w:r>
        <w:rPr>
          <w:rFonts w:hint="eastAsia"/>
        </w:rPr>
        <w:t>％。</w:t>
      </w:r>
    </w:p>
    <w:p w:rsidR="00443665" w:rsidRDefault="00443665">
      <w:pPr>
        <w:pStyle w:val="20"/>
        <w:spacing w:line="460" w:lineRule="atLeast"/>
        <w:ind w:firstLine="482"/>
      </w:pPr>
      <w:r>
        <w:lastRenderedPageBreak/>
        <w:t>2</w:t>
      </w:r>
      <w:r>
        <w:rPr>
          <w:rFonts w:hint="eastAsia"/>
        </w:rPr>
        <w:t>、对</w:t>
      </w:r>
      <w:r>
        <w:t>A</w:t>
      </w:r>
      <w:r>
        <w:rPr>
          <w:rFonts w:hint="eastAsia"/>
        </w:rPr>
        <w:t>级和</w:t>
      </w:r>
      <w:r>
        <w:t>A</w:t>
      </w:r>
      <w:r>
        <w:rPr>
          <w:rFonts w:hint="eastAsia"/>
        </w:rPr>
        <w:t>＋级客户，核定的最高综合授信额度不得超过客户提供抵押物变现值的</w:t>
      </w:r>
      <w:r>
        <w:t>70</w:t>
      </w:r>
      <w:r>
        <w:rPr>
          <w:rFonts w:hint="eastAsia"/>
        </w:rPr>
        <w:t>％、或质押物变现值的</w:t>
      </w:r>
      <w:r>
        <w:t>90</w:t>
      </w:r>
      <w:r>
        <w:rPr>
          <w:rFonts w:hint="eastAsia"/>
        </w:rPr>
        <w:t>％、或他人</w:t>
      </w:r>
      <w:r>
        <w:t>100</w:t>
      </w:r>
      <w:r>
        <w:rPr>
          <w:rFonts w:hint="eastAsia"/>
        </w:rPr>
        <w:t>％保证担保。对信用总量超过规定的客户，要逐步压缩达到规定要求：也可按资产负债率不超过</w:t>
      </w:r>
      <w:r>
        <w:t>70</w:t>
      </w:r>
      <w:r>
        <w:rPr>
          <w:rFonts w:hint="eastAsia"/>
        </w:rPr>
        <w:t>％的原则核定。</w:t>
      </w:r>
    </w:p>
    <w:p w:rsidR="00443665" w:rsidRDefault="00443665">
      <w:pPr>
        <w:pStyle w:val="20"/>
        <w:spacing w:line="460" w:lineRule="atLeast"/>
        <w:ind w:firstLine="482"/>
      </w:pPr>
      <w:r>
        <w:t>3</w:t>
      </w:r>
      <w:r>
        <w:rPr>
          <w:rFonts w:hint="eastAsia"/>
        </w:rPr>
        <w:t>、对经营期不足两个会计年度或虽然经营期已满两个会计年度但根据经营计划远未达产的新建客户以及其它难以提供两个完整会计年度会计报表的客户，授信额度可根据不超过客户提供有效抵押物变现值的</w:t>
      </w:r>
      <w:r>
        <w:t>70</w:t>
      </w:r>
      <w:r>
        <w:rPr>
          <w:rFonts w:hint="eastAsia"/>
        </w:rPr>
        <w:t>％、质押物变现值的</w:t>
      </w:r>
      <w:r>
        <w:t>90</w:t>
      </w:r>
      <w:r>
        <w:rPr>
          <w:rFonts w:hint="eastAsia"/>
        </w:rPr>
        <w:t>％以及他人</w:t>
      </w:r>
      <w:r>
        <w:t>100</w:t>
      </w:r>
      <w:r>
        <w:rPr>
          <w:rFonts w:hint="eastAsia"/>
        </w:rPr>
        <w:t>％保证担保核定。</w:t>
      </w:r>
    </w:p>
    <w:p w:rsidR="00443665" w:rsidRDefault="00443665">
      <w:pPr>
        <w:pStyle w:val="20"/>
        <w:spacing w:line="460" w:lineRule="atLeast"/>
        <w:ind w:firstLine="482"/>
      </w:pPr>
      <w:r>
        <w:t>4</w:t>
      </w:r>
      <w:r>
        <w:rPr>
          <w:rFonts w:hint="eastAsia"/>
        </w:rPr>
        <w:t>、客户技术改造、基本建设项目贷款，经有权审批行审批同意后，视同增加授信额度，增加授信后，客户的资产负债率要控制在</w:t>
      </w:r>
      <w:r>
        <w:t>70%</w:t>
      </w:r>
      <w:r>
        <w:rPr>
          <w:rFonts w:hint="eastAsia"/>
        </w:rPr>
        <w:t>以内。针对特定项目设立的项目公司执行项目贷款管理的有关规定，经有权审批行审批同意后，视同授信。</w:t>
      </w:r>
    </w:p>
    <w:p w:rsidR="00443665" w:rsidRDefault="00443665">
      <w:pPr>
        <w:pStyle w:val="20"/>
        <w:spacing w:line="460" w:lineRule="atLeast"/>
        <w:ind w:firstLine="482"/>
      </w:pPr>
      <w:r>
        <w:t>5</w:t>
      </w:r>
      <w:r>
        <w:rPr>
          <w:rFonts w:hint="eastAsia"/>
        </w:rPr>
        <w:t>、对</w:t>
      </w:r>
      <w:r>
        <w:t>B</w:t>
      </w:r>
      <w:r>
        <w:rPr>
          <w:rFonts w:hint="eastAsia"/>
        </w:rPr>
        <w:t>、</w:t>
      </w:r>
      <w:r>
        <w:t>C</w:t>
      </w:r>
      <w:r>
        <w:rPr>
          <w:rFonts w:hint="eastAsia"/>
        </w:rPr>
        <w:t>级客户，核定最高综合授信额度只能小于年初实际信用余额，原则上只收不放。</w:t>
      </w:r>
    </w:p>
    <w:p w:rsidR="00443665" w:rsidRDefault="00443665">
      <w:pPr>
        <w:pStyle w:val="20"/>
        <w:spacing w:line="460" w:lineRule="atLeast"/>
        <w:ind w:firstLine="482"/>
      </w:pPr>
      <w:r>
        <w:t>6</w:t>
      </w:r>
      <w:r>
        <w:rPr>
          <w:rFonts w:hint="eastAsia"/>
        </w:rPr>
        <w:t>、核定客户最高综合授信额度后，可根据国家产业政策和市场变化，对客户超过最高综合授信额度的信用需求实行特别授信。特别授信需按照相关业务的管理规定进行报批；在其有效期生效和结束时，相应调增和调减客户的最高综合授信额度。</w:t>
      </w:r>
    </w:p>
    <w:p w:rsidR="00443665" w:rsidRDefault="00443665">
      <w:pPr>
        <w:pStyle w:val="20"/>
        <w:spacing w:line="460" w:lineRule="atLeast"/>
        <w:ind w:firstLine="482"/>
      </w:pPr>
      <w:r>
        <w:t>7</w:t>
      </w:r>
      <w:r>
        <w:rPr>
          <w:rFonts w:hint="eastAsia"/>
        </w:rPr>
        <w:t>、对由多个法人组成的企业集团或集团性关联企业，在分别确定集团内各法人企业的最高综合授信额度的基础上，确定对该集团客户的总体最高授信额度。对该企业集团内各个法人公司设定的最高综合授信额度之和不得超过总体最高授信额度。</w:t>
      </w:r>
    </w:p>
    <w:p w:rsidR="00443665" w:rsidRDefault="00443665">
      <w:pPr>
        <w:pStyle w:val="20"/>
        <w:spacing w:line="460" w:lineRule="atLeast"/>
        <w:ind w:firstLine="482"/>
      </w:pPr>
      <w:r>
        <w:rPr>
          <w:rFonts w:hint="eastAsia"/>
        </w:rPr>
        <w:t>（三）房地产开发企业、建筑安装企业、外资企业、非银行金融企业以及事业法人客户最高综合授信额度的测算</w:t>
      </w:r>
    </w:p>
    <w:p w:rsidR="00443665" w:rsidRDefault="00443665">
      <w:pPr>
        <w:pStyle w:val="20"/>
        <w:spacing w:line="460" w:lineRule="atLeast"/>
        <w:ind w:firstLine="482"/>
      </w:pPr>
      <w:r>
        <w:t>1</w:t>
      </w:r>
      <w:r>
        <w:rPr>
          <w:rFonts w:hint="eastAsia"/>
        </w:rPr>
        <w:t>、</w:t>
      </w:r>
      <w:r>
        <w:t>A</w:t>
      </w:r>
      <w:r>
        <w:rPr>
          <w:rFonts w:hint="eastAsia"/>
        </w:rPr>
        <w:t>级以上（含）客户核定公式：</w:t>
      </w:r>
    </w:p>
    <w:p w:rsidR="00443665" w:rsidRDefault="00443665">
      <w:pPr>
        <w:pStyle w:val="20"/>
        <w:spacing w:line="460" w:lineRule="atLeast"/>
        <w:ind w:firstLine="482"/>
      </w:pPr>
      <w:r>
        <w:t>T</w:t>
      </w:r>
      <w:r>
        <w:rPr>
          <w:rFonts w:hint="eastAsia"/>
        </w:rPr>
        <w:t>＝</w:t>
      </w:r>
      <w:r>
        <w:t>E</w:t>
      </w:r>
      <w:r>
        <w:rPr>
          <w:rFonts w:hint="eastAsia"/>
        </w:rPr>
        <w:t>×</w:t>
      </w:r>
      <w:r>
        <w:t>L</w:t>
      </w:r>
      <w:r>
        <w:rPr>
          <w:rFonts w:hint="eastAsia"/>
        </w:rPr>
        <w:t>×</w:t>
      </w:r>
      <w:r>
        <w:t>R</w:t>
      </w:r>
      <w:r>
        <w:rPr>
          <w:rFonts w:hint="eastAsia"/>
        </w:rPr>
        <w:t>－</w:t>
      </w:r>
      <w:r>
        <w:t>DL</w:t>
      </w:r>
    </w:p>
    <w:p w:rsidR="00443665" w:rsidRDefault="00443665">
      <w:pPr>
        <w:pStyle w:val="20"/>
        <w:spacing w:line="460" w:lineRule="atLeast"/>
        <w:ind w:firstLine="482"/>
      </w:pPr>
      <w:r>
        <w:t>T</w:t>
      </w:r>
      <w:r>
        <w:rPr>
          <w:rFonts w:hint="eastAsia"/>
        </w:rPr>
        <w:t>为客户最高综合授信额度；</w:t>
      </w:r>
      <w:r>
        <w:t>E</w:t>
      </w:r>
      <w:r>
        <w:rPr>
          <w:rFonts w:hint="eastAsia"/>
        </w:rPr>
        <w:t>为客户上年末或报告期有效净资产；</w:t>
      </w:r>
      <w:r>
        <w:t>L</w:t>
      </w:r>
      <w:r>
        <w:rPr>
          <w:rFonts w:hint="eastAsia"/>
        </w:rPr>
        <w:t>为负债与权益的最高控制比率；</w:t>
      </w:r>
      <w:r>
        <w:t>R</w:t>
      </w:r>
      <w:r>
        <w:rPr>
          <w:rFonts w:hint="eastAsia"/>
        </w:rPr>
        <w:t>为信用等级调节系数；</w:t>
      </w:r>
      <w:r>
        <w:t>DL</w:t>
      </w:r>
      <w:r>
        <w:rPr>
          <w:rFonts w:hint="eastAsia"/>
        </w:rPr>
        <w:t>为客户总负债减去目前对</w:t>
      </w:r>
      <w:r w:rsidR="00B8245F">
        <w:rPr>
          <w:rFonts w:hint="eastAsia"/>
        </w:rPr>
        <w:t>工行</w:t>
      </w:r>
      <w:r>
        <w:rPr>
          <w:rFonts w:hint="eastAsia"/>
        </w:rPr>
        <w:t>的负债。</w:t>
      </w:r>
    </w:p>
    <w:p w:rsidR="00443665" w:rsidRDefault="00443665">
      <w:pPr>
        <w:pStyle w:val="20"/>
        <w:spacing w:line="460" w:lineRule="atLeast"/>
        <w:ind w:firstLine="482"/>
        <w:rPr>
          <w:color w:val="000000"/>
          <w:sz w:val="20"/>
        </w:rPr>
      </w:pPr>
      <w:r>
        <w:rPr>
          <w:rFonts w:hint="eastAsia"/>
        </w:rPr>
        <w:t>负债权益最高控制比率（</w:t>
      </w:r>
      <w:r>
        <w:t>L</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1371"/>
        <w:gridCol w:w="1146"/>
        <w:gridCol w:w="1371"/>
        <w:gridCol w:w="1371"/>
        <w:gridCol w:w="1371"/>
        <w:gridCol w:w="1372"/>
      </w:tblGrid>
      <w:tr w:rsidR="00443665">
        <w:tblPrEx>
          <w:tblCellMar>
            <w:top w:w="0" w:type="dxa"/>
            <w:bottom w:w="0" w:type="dxa"/>
          </w:tblCellMar>
        </w:tblPrEx>
        <w:trPr>
          <w:cantSplit/>
          <w:jc w:val="center"/>
        </w:trPr>
        <w:tc>
          <w:tcPr>
            <w:tcW w:w="1371" w:type="dxa"/>
            <w:vMerge w:val="restart"/>
          </w:tcPr>
          <w:p w:rsidR="00443665" w:rsidRDefault="00443665">
            <w:pPr>
              <w:pStyle w:val="20"/>
              <w:spacing w:line="460" w:lineRule="atLeast"/>
              <w:ind w:firstLine="0"/>
              <w:jc w:val="center"/>
              <w:rPr>
                <w:rFonts w:hint="eastAsia"/>
                <w:sz w:val="21"/>
              </w:rPr>
            </w:pPr>
            <w:r>
              <w:rPr>
                <w:rFonts w:hint="eastAsia"/>
                <w:sz w:val="21"/>
              </w:rPr>
              <w:t>客户类型</w:t>
            </w:r>
          </w:p>
        </w:tc>
        <w:tc>
          <w:tcPr>
            <w:tcW w:w="1371" w:type="dxa"/>
            <w:vMerge w:val="restart"/>
          </w:tcPr>
          <w:p w:rsidR="00443665" w:rsidRDefault="00443665">
            <w:pPr>
              <w:pStyle w:val="20"/>
              <w:spacing w:line="460" w:lineRule="atLeast"/>
              <w:ind w:firstLine="0"/>
              <w:jc w:val="center"/>
              <w:rPr>
                <w:rFonts w:hint="eastAsia"/>
                <w:sz w:val="21"/>
              </w:rPr>
            </w:pPr>
            <w:r>
              <w:rPr>
                <w:rFonts w:hint="eastAsia"/>
                <w:sz w:val="21"/>
              </w:rPr>
              <w:t>房地产开发企业</w:t>
            </w:r>
          </w:p>
        </w:tc>
        <w:tc>
          <w:tcPr>
            <w:tcW w:w="1146" w:type="dxa"/>
            <w:vMerge w:val="restart"/>
          </w:tcPr>
          <w:p w:rsidR="00443665" w:rsidRDefault="00443665">
            <w:pPr>
              <w:pStyle w:val="20"/>
              <w:spacing w:line="460" w:lineRule="atLeast"/>
              <w:ind w:firstLine="0"/>
              <w:jc w:val="center"/>
              <w:rPr>
                <w:rFonts w:hint="eastAsia"/>
                <w:sz w:val="21"/>
              </w:rPr>
            </w:pPr>
            <w:r>
              <w:rPr>
                <w:rFonts w:hint="eastAsia"/>
                <w:sz w:val="21"/>
              </w:rPr>
              <w:t>建筑安装企业</w:t>
            </w:r>
          </w:p>
        </w:tc>
        <w:tc>
          <w:tcPr>
            <w:tcW w:w="2742" w:type="dxa"/>
            <w:gridSpan w:val="2"/>
          </w:tcPr>
          <w:p w:rsidR="00443665" w:rsidRDefault="00443665">
            <w:pPr>
              <w:pStyle w:val="20"/>
              <w:spacing w:line="460" w:lineRule="atLeast"/>
              <w:ind w:firstLine="0"/>
              <w:jc w:val="center"/>
              <w:rPr>
                <w:rFonts w:hint="eastAsia"/>
                <w:sz w:val="21"/>
              </w:rPr>
            </w:pPr>
            <w:r>
              <w:rPr>
                <w:rFonts w:hint="eastAsia"/>
                <w:sz w:val="21"/>
              </w:rPr>
              <w:t>外资企业</w:t>
            </w:r>
          </w:p>
        </w:tc>
        <w:tc>
          <w:tcPr>
            <w:tcW w:w="1371" w:type="dxa"/>
            <w:vMerge w:val="restart"/>
          </w:tcPr>
          <w:p w:rsidR="00443665" w:rsidRDefault="00443665">
            <w:pPr>
              <w:pStyle w:val="20"/>
              <w:spacing w:line="460" w:lineRule="atLeast"/>
              <w:ind w:firstLine="0"/>
              <w:jc w:val="center"/>
              <w:rPr>
                <w:rFonts w:hint="eastAsia"/>
                <w:sz w:val="21"/>
              </w:rPr>
            </w:pPr>
            <w:r>
              <w:rPr>
                <w:rFonts w:hint="eastAsia"/>
                <w:sz w:val="21"/>
              </w:rPr>
              <w:t>非银行金融企业</w:t>
            </w:r>
          </w:p>
        </w:tc>
        <w:tc>
          <w:tcPr>
            <w:tcW w:w="1372" w:type="dxa"/>
            <w:vMerge w:val="restart"/>
          </w:tcPr>
          <w:p w:rsidR="00443665" w:rsidRDefault="00443665">
            <w:pPr>
              <w:pStyle w:val="20"/>
              <w:spacing w:line="460" w:lineRule="atLeast"/>
              <w:ind w:firstLine="0"/>
              <w:jc w:val="center"/>
              <w:rPr>
                <w:rFonts w:hint="eastAsia"/>
                <w:sz w:val="21"/>
              </w:rPr>
            </w:pPr>
            <w:r>
              <w:rPr>
                <w:rFonts w:hint="eastAsia"/>
                <w:sz w:val="21"/>
              </w:rPr>
              <w:t>事业法人</w:t>
            </w:r>
          </w:p>
        </w:tc>
      </w:tr>
      <w:tr w:rsidR="00443665">
        <w:tblPrEx>
          <w:tblCellMar>
            <w:top w:w="0" w:type="dxa"/>
            <w:bottom w:w="0" w:type="dxa"/>
          </w:tblCellMar>
        </w:tblPrEx>
        <w:trPr>
          <w:cantSplit/>
          <w:jc w:val="center"/>
        </w:trPr>
        <w:tc>
          <w:tcPr>
            <w:tcW w:w="1371" w:type="dxa"/>
            <w:vMerge/>
          </w:tcPr>
          <w:p w:rsidR="00443665" w:rsidRDefault="00443665">
            <w:pPr>
              <w:pStyle w:val="20"/>
              <w:spacing w:line="460" w:lineRule="atLeast"/>
              <w:ind w:firstLine="0"/>
              <w:jc w:val="center"/>
              <w:rPr>
                <w:sz w:val="21"/>
              </w:rPr>
            </w:pPr>
          </w:p>
        </w:tc>
        <w:tc>
          <w:tcPr>
            <w:tcW w:w="1371" w:type="dxa"/>
            <w:vMerge/>
          </w:tcPr>
          <w:p w:rsidR="00443665" w:rsidRDefault="00443665">
            <w:pPr>
              <w:pStyle w:val="20"/>
              <w:spacing w:line="460" w:lineRule="atLeast"/>
              <w:ind w:firstLine="0"/>
              <w:jc w:val="center"/>
              <w:rPr>
                <w:sz w:val="21"/>
              </w:rPr>
            </w:pPr>
          </w:p>
        </w:tc>
        <w:tc>
          <w:tcPr>
            <w:tcW w:w="1146" w:type="dxa"/>
            <w:vMerge/>
          </w:tcPr>
          <w:p w:rsidR="00443665" w:rsidRDefault="00443665">
            <w:pPr>
              <w:pStyle w:val="20"/>
              <w:spacing w:line="460" w:lineRule="atLeast"/>
              <w:ind w:firstLine="0"/>
              <w:jc w:val="center"/>
              <w:rPr>
                <w:sz w:val="21"/>
              </w:rPr>
            </w:pPr>
          </w:p>
        </w:tc>
        <w:tc>
          <w:tcPr>
            <w:tcW w:w="1371" w:type="dxa"/>
          </w:tcPr>
          <w:p w:rsidR="00443665" w:rsidRDefault="00443665">
            <w:pPr>
              <w:pStyle w:val="20"/>
              <w:spacing w:line="460" w:lineRule="atLeast"/>
              <w:ind w:firstLine="0"/>
              <w:jc w:val="center"/>
              <w:rPr>
                <w:rFonts w:hint="eastAsia"/>
                <w:sz w:val="21"/>
              </w:rPr>
            </w:pPr>
            <w:r>
              <w:rPr>
                <w:rFonts w:hint="eastAsia"/>
                <w:sz w:val="21"/>
              </w:rPr>
              <w:t>商贸型</w:t>
            </w:r>
          </w:p>
        </w:tc>
        <w:tc>
          <w:tcPr>
            <w:tcW w:w="1371" w:type="dxa"/>
          </w:tcPr>
          <w:p w:rsidR="00443665" w:rsidRDefault="00443665">
            <w:pPr>
              <w:pStyle w:val="20"/>
              <w:spacing w:line="460" w:lineRule="atLeast"/>
              <w:ind w:firstLine="0"/>
              <w:jc w:val="center"/>
              <w:rPr>
                <w:rFonts w:hint="eastAsia"/>
                <w:sz w:val="21"/>
              </w:rPr>
            </w:pPr>
            <w:r>
              <w:rPr>
                <w:rFonts w:hint="eastAsia"/>
                <w:sz w:val="21"/>
              </w:rPr>
              <w:t>生产型</w:t>
            </w:r>
          </w:p>
        </w:tc>
        <w:tc>
          <w:tcPr>
            <w:tcW w:w="1371" w:type="dxa"/>
            <w:vMerge/>
          </w:tcPr>
          <w:p w:rsidR="00443665" w:rsidRDefault="00443665">
            <w:pPr>
              <w:pStyle w:val="20"/>
              <w:spacing w:line="460" w:lineRule="atLeast"/>
              <w:ind w:firstLine="0"/>
              <w:jc w:val="center"/>
              <w:rPr>
                <w:sz w:val="21"/>
              </w:rPr>
            </w:pPr>
          </w:p>
        </w:tc>
        <w:tc>
          <w:tcPr>
            <w:tcW w:w="1372" w:type="dxa"/>
            <w:vMerge/>
          </w:tcPr>
          <w:p w:rsidR="00443665" w:rsidRDefault="00443665">
            <w:pPr>
              <w:pStyle w:val="20"/>
              <w:spacing w:line="460" w:lineRule="atLeast"/>
              <w:ind w:firstLine="0"/>
              <w:jc w:val="center"/>
              <w:rPr>
                <w:sz w:val="21"/>
              </w:rPr>
            </w:pPr>
          </w:p>
        </w:tc>
      </w:tr>
      <w:tr w:rsidR="00443665">
        <w:tblPrEx>
          <w:tblCellMar>
            <w:top w:w="0" w:type="dxa"/>
            <w:bottom w:w="0" w:type="dxa"/>
          </w:tblCellMar>
        </w:tblPrEx>
        <w:trPr>
          <w:jc w:val="center"/>
        </w:trPr>
        <w:tc>
          <w:tcPr>
            <w:tcW w:w="1371" w:type="dxa"/>
          </w:tcPr>
          <w:p w:rsidR="00443665" w:rsidRDefault="00443665">
            <w:pPr>
              <w:pStyle w:val="20"/>
              <w:spacing w:line="460" w:lineRule="atLeast"/>
              <w:ind w:firstLine="0"/>
              <w:jc w:val="center"/>
              <w:rPr>
                <w:rFonts w:hint="eastAsia"/>
                <w:sz w:val="21"/>
              </w:rPr>
            </w:pPr>
            <w:r>
              <w:rPr>
                <w:rFonts w:hint="eastAsia"/>
                <w:sz w:val="21"/>
              </w:rPr>
              <w:t>L</w:t>
            </w:r>
            <w:r>
              <w:rPr>
                <w:rFonts w:hint="eastAsia"/>
                <w:sz w:val="21"/>
              </w:rPr>
              <w:t>值</w:t>
            </w:r>
          </w:p>
        </w:tc>
        <w:tc>
          <w:tcPr>
            <w:tcW w:w="1371" w:type="dxa"/>
          </w:tcPr>
          <w:p w:rsidR="00443665" w:rsidRDefault="00443665">
            <w:pPr>
              <w:pStyle w:val="20"/>
              <w:spacing w:line="460" w:lineRule="atLeast"/>
              <w:ind w:firstLine="0"/>
              <w:jc w:val="center"/>
              <w:rPr>
                <w:rFonts w:hint="eastAsia"/>
                <w:sz w:val="21"/>
              </w:rPr>
            </w:pPr>
            <w:r>
              <w:rPr>
                <w:rFonts w:hint="eastAsia"/>
                <w:sz w:val="21"/>
              </w:rPr>
              <w:t>3</w:t>
            </w:r>
          </w:p>
        </w:tc>
        <w:tc>
          <w:tcPr>
            <w:tcW w:w="1146" w:type="dxa"/>
          </w:tcPr>
          <w:p w:rsidR="00443665" w:rsidRDefault="00443665">
            <w:pPr>
              <w:pStyle w:val="20"/>
              <w:spacing w:line="460" w:lineRule="atLeast"/>
              <w:ind w:firstLine="0"/>
              <w:jc w:val="center"/>
              <w:rPr>
                <w:sz w:val="21"/>
              </w:rPr>
            </w:pPr>
            <w:r>
              <w:rPr>
                <w:rFonts w:hint="eastAsia"/>
                <w:sz w:val="21"/>
              </w:rPr>
              <w:t>2</w:t>
            </w:r>
            <w:r>
              <w:rPr>
                <w:sz w:val="21"/>
              </w:rPr>
              <w:t>.33</w:t>
            </w:r>
          </w:p>
        </w:tc>
        <w:tc>
          <w:tcPr>
            <w:tcW w:w="1371" w:type="dxa"/>
          </w:tcPr>
          <w:p w:rsidR="00443665" w:rsidRDefault="00443665">
            <w:pPr>
              <w:pStyle w:val="20"/>
              <w:spacing w:line="460" w:lineRule="atLeast"/>
              <w:ind w:firstLine="0"/>
              <w:jc w:val="center"/>
              <w:rPr>
                <w:sz w:val="21"/>
              </w:rPr>
            </w:pPr>
            <w:r>
              <w:rPr>
                <w:sz w:val="21"/>
              </w:rPr>
              <w:t>6</w:t>
            </w:r>
          </w:p>
        </w:tc>
        <w:tc>
          <w:tcPr>
            <w:tcW w:w="1371" w:type="dxa"/>
          </w:tcPr>
          <w:p w:rsidR="00443665" w:rsidRDefault="00443665">
            <w:pPr>
              <w:pStyle w:val="20"/>
              <w:spacing w:line="460" w:lineRule="atLeast"/>
              <w:ind w:firstLine="0"/>
              <w:jc w:val="center"/>
              <w:rPr>
                <w:sz w:val="21"/>
              </w:rPr>
            </w:pPr>
            <w:r>
              <w:rPr>
                <w:sz w:val="21"/>
              </w:rPr>
              <w:t>3</w:t>
            </w:r>
          </w:p>
        </w:tc>
        <w:tc>
          <w:tcPr>
            <w:tcW w:w="1371" w:type="dxa"/>
          </w:tcPr>
          <w:p w:rsidR="00443665" w:rsidRDefault="00443665">
            <w:pPr>
              <w:pStyle w:val="20"/>
              <w:spacing w:line="460" w:lineRule="atLeast"/>
              <w:ind w:firstLine="0"/>
              <w:jc w:val="center"/>
              <w:rPr>
                <w:sz w:val="21"/>
              </w:rPr>
            </w:pPr>
            <w:r>
              <w:rPr>
                <w:sz w:val="21"/>
              </w:rPr>
              <w:t>8</w:t>
            </w:r>
          </w:p>
        </w:tc>
        <w:tc>
          <w:tcPr>
            <w:tcW w:w="1372" w:type="dxa"/>
          </w:tcPr>
          <w:p w:rsidR="00443665" w:rsidRDefault="00443665">
            <w:pPr>
              <w:pStyle w:val="20"/>
              <w:spacing w:line="460" w:lineRule="atLeast"/>
              <w:ind w:firstLine="0"/>
              <w:jc w:val="center"/>
              <w:rPr>
                <w:sz w:val="21"/>
              </w:rPr>
            </w:pPr>
            <w:r>
              <w:rPr>
                <w:sz w:val="21"/>
              </w:rPr>
              <w:t>1.2</w:t>
            </w:r>
          </w:p>
        </w:tc>
      </w:tr>
    </w:tbl>
    <w:p w:rsidR="00443665" w:rsidRDefault="00443665">
      <w:pPr>
        <w:pStyle w:val="20"/>
        <w:spacing w:line="460" w:lineRule="atLeast"/>
        <w:ind w:firstLine="482"/>
      </w:pPr>
      <w:r>
        <w:rPr>
          <w:rFonts w:hint="eastAsia"/>
        </w:rPr>
        <w:t>信用等级调节系数（</w:t>
      </w:r>
      <w:r>
        <w:t>R</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3780"/>
        <w:gridCol w:w="3200"/>
      </w:tblGrid>
      <w:tr w:rsidR="00443665">
        <w:tblPrEx>
          <w:tblCellMar>
            <w:top w:w="0" w:type="dxa"/>
            <w:bottom w:w="0" w:type="dxa"/>
          </w:tblCellMar>
        </w:tblPrEx>
        <w:tc>
          <w:tcPr>
            <w:tcW w:w="2448" w:type="dxa"/>
          </w:tcPr>
          <w:p w:rsidR="00443665" w:rsidRDefault="00443665">
            <w:pPr>
              <w:pStyle w:val="20"/>
              <w:spacing w:line="460" w:lineRule="atLeast"/>
              <w:ind w:firstLine="0"/>
              <w:jc w:val="center"/>
              <w:rPr>
                <w:rFonts w:hint="eastAsia"/>
                <w:sz w:val="21"/>
              </w:rPr>
            </w:pPr>
            <w:r>
              <w:rPr>
                <w:rFonts w:hint="eastAsia"/>
                <w:sz w:val="21"/>
              </w:rPr>
              <w:t>客户信用等级</w:t>
            </w:r>
          </w:p>
        </w:tc>
        <w:tc>
          <w:tcPr>
            <w:tcW w:w="3780" w:type="dxa"/>
          </w:tcPr>
          <w:p w:rsidR="00443665" w:rsidRDefault="00443665">
            <w:pPr>
              <w:pStyle w:val="20"/>
              <w:spacing w:line="460" w:lineRule="atLeast"/>
              <w:ind w:firstLine="0"/>
              <w:jc w:val="center"/>
              <w:rPr>
                <w:rFonts w:hint="eastAsia"/>
                <w:sz w:val="21"/>
              </w:rPr>
            </w:pPr>
            <w:r>
              <w:rPr>
                <w:rFonts w:hint="eastAsia"/>
                <w:sz w:val="21"/>
              </w:rPr>
              <w:t>得</w:t>
            </w:r>
            <w:r>
              <w:rPr>
                <w:rFonts w:hint="eastAsia"/>
                <w:sz w:val="21"/>
              </w:rPr>
              <w:t xml:space="preserve">  </w:t>
            </w:r>
            <w:r>
              <w:rPr>
                <w:rFonts w:hint="eastAsia"/>
                <w:sz w:val="21"/>
              </w:rPr>
              <w:t>分</w:t>
            </w:r>
          </w:p>
        </w:tc>
        <w:tc>
          <w:tcPr>
            <w:tcW w:w="3200" w:type="dxa"/>
          </w:tcPr>
          <w:p w:rsidR="00443665" w:rsidRDefault="00443665">
            <w:pPr>
              <w:pStyle w:val="20"/>
              <w:spacing w:line="460" w:lineRule="atLeast"/>
              <w:ind w:firstLine="0"/>
              <w:jc w:val="center"/>
              <w:rPr>
                <w:rFonts w:hint="eastAsia"/>
                <w:sz w:val="21"/>
              </w:rPr>
            </w:pPr>
            <w:r>
              <w:rPr>
                <w:rFonts w:hint="eastAsia"/>
                <w:sz w:val="21"/>
              </w:rPr>
              <w:t>信用系数</w:t>
            </w:r>
          </w:p>
        </w:tc>
      </w:tr>
      <w:tr w:rsidR="00443665">
        <w:tblPrEx>
          <w:tblCellMar>
            <w:top w:w="0" w:type="dxa"/>
            <w:bottom w:w="0" w:type="dxa"/>
          </w:tblCellMar>
        </w:tblPrEx>
        <w:tc>
          <w:tcPr>
            <w:tcW w:w="2448" w:type="dxa"/>
          </w:tcPr>
          <w:p w:rsidR="00443665" w:rsidRDefault="00443665">
            <w:pPr>
              <w:pStyle w:val="20"/>
              <w:spacing w:line="460" w:lineRule="atLeast"/>
              <w:ind w:firstLine="0"/>
              <w:jc w:val="center"/>
              <w:rPr>
                <w:rFonts w:hint="eastAsia"/>
                <w:sz w:val="21"/>
              </w:rPr>
            </w:pPr>
            <w:r>
              <w:rPr>
                <w:rFonts w:hint="eastAsia"/>
                <w:sz w:val="21"/>
              </w:rPr>
              <w:lastRenderedPageBreak/>
              <w:t>AAA+</w:t>
            </w:r>
            <w:r>
              <w:rPr>
                <w:rFonts w:hint="eastAsia"/>
                <w:sz w:val="21"/>
              </w:rPr>
              <w:t>、</w:t>
            </w:r>
            <w:r>
              <w:rPr>
                <w:rFonts w:hint="eastAsia"/>
                <w:sz w:val="21"/>
              </w:rPr>
              <w:t>AAA</w:t>
            </w:r>
          </w:p>
        </w:tc>
        <w:tc>
          <w:tcPr>
            <w:tcW w:w="3780" w:type="dxa"/>
          </w:tcPr>
          <w:p w:rsidR="00443665" w:rsidRDefault="00443665">
            <w:pPr>
              <w:pStyle w:val="20"/>
              <w:spacing w:line="460" w:lineRule="atLeast"/>
              <w:ind w:firstLine="0"/>
              <w:jc w:val="center"/>
              <w:rPr>
                <w:rFonts w:hint="eastAsia"/>
                <w:sz w:val="21"/>
              </w:rPr>
            </w:pPr>
            <w:r>
              <w:rPr>
                <w:rFonts w:hint="eastAsia"/>
                <w:sz w:val="21"/>
              </w:rPr>
              <w:t>90</w:t>
            </w:r>
            <w:r>
              <w:rPr>
                <w:rFonts w:hint="eastAsia"/>
                <w:sz w:val="21"/>
              </w:rPr>
              <w:t>（含）</w:t>
            </w:r>
            <w:r>
              <w:rPr>
                <w:rFonts w:hint="eastAsia"/>
                <w:sz w:val="21"/>
              </w:rPr>
              <w:t>-100</w:t>
            </w:r>
          </w:p>
        </w:tc>
        <w:tc>
          <w:tcPr>
            <w:tcW w:w="3200" w:type="dxa"/>
          </w:tcPr>
          <w:p w:rsidR="00443665" w:rsidRDefault="00443665">
            <w:pPr>
              <w:pStyle w:val="20"/>
              <w:spacing w:line="460" w:lineRule="atLeast"/>
              <w:ind w:firstLine="0"/>
              <w:jc w:val="center"/>
              <w:rPr>
                <w:rFonts w:hint="eastAsia"/>
                <w:sz w:val="21"/>
              </w:rPr>
            </w:pPr>
            <w:r>
              <w:rPr>
                <w:rFonts w:hint="eastAsia"/>
                <w:sz w:val="21"/>
              </w:rPr>
              <w:t>1.0</w:t>
            </w:r>
          </w:p>
        </w:tc>
      </w:tr>
      <w:tr w:rsidR="00443665">
        <w:tblPrEx>
          <w:tblCellMar>
            <w:top w:w="0" w:type="dxa"/>
            <w:bottom w:w="0" w:type="dxa"/>
          </w:tblCellMar>
        </w:tblPrEx>
        <w:trPr>
          <w:cantSplit/>
        </w:trPr>
        <w:tc>
          <w:tcPr>
            <w:tcW w:w="2448" w:type="dxa"/>
            <w:vMerge w:val="restart"/>
          </w:tcPr>
          <w:p w:rsidR="00443665" w:rsidRDefault="00443665">
            <w:pPr>
              <w:pStyle w:val="20"/>
              <w:spacing w:line="460" w:lineRule="atLeast"/>
              <w:ind w:firstLine="0"/>
              <w:jc w:val="center"/>
              <w:rPr>
                <w:rFonts w:hint="eastAsia"/>
                <w:sz w:val="21"/>
              </w:rPr>
            </w:pPr>
            <w:r>
              <w:rPr>
                <w:rFonts w:hint="eastAsia"/>
                <w:sz w:val="21"/>
              </w:rPr>
              <w:t>AA+</w:t>
            </w:r>
          </w:p>
          <w:p w:rsidR="00443665" w:rsidRDefault="00443665">
            <w:pPr>
              <w:pStyle w:val="20"/>
              <w:spacing w:line="460" w:lineRule="atLeast"/>
              <w:ind w:firstLine="0"/>
              <w:jc w:val="center"/>
              <w:rPr>
                <w:rFonts w:hint="eastAsia"/>
                <w:sz w:val="21"/>
              </w:rPr>
            </w:pPr>
            <w:r>
              <w:rPr>
                <w:rFonts w:hint="eastAsia"/>
                <w:sz w:val="21"/>
              </w:rPr>
              <w:t>AA</w:t>
            </w:r>
          </w:p>
        </w:tc>
        <w:tc>
          <w:tcPr>
            <w:tcW w:w="3780" w:type="dxa"/>
          </w:tcPr>
          <w:p w:rsidR="00443665" w:rsidRDefault="00443665">
            <w:pPr>
              <w:pStyle w:val="20"/>
              <w:spacing w:line="460" w:lineRule="atLeast"/>
              <w:ind w:firstLine="0"/>
              <w:jc w:val="center"/>
              <w:rPr>
                <w:rFonts w:hint="eastAsia"/>
                <w:sz w:val="21"/>
              </w:rPr>
            </w:pPr>
            <w:r>
              <w:rPr>
                <w:rFonts w:hint="eastAsia"/>
                <w:sz w:val="21"/>
              </w:rPr>
              <w:t>85</w:t>
            </w:r>
            <w:r>
              <w:rPr>
                <w:rFonts w:hint="eastAsia"/>
                <w:sz w:val="21"/>
              </w:rPr>
              <w:t>（含）</w:t>
            </w:r>
            <w:r>
              <w:rPr>
                <w:rFonts w:hint="eastAsia"/>
                <w:sz w:val="21"/>
              </w:rPr>
              <w:t>-90</w:t>
            </w:r>
            <w:r>
              <w:rPr>
                <w:rFonts w:hint="eastAsia"/>
                <w:sz w:val="21"/>
              </w:rPr>
              <w:t>（不含）</w:t>
            </w:r>
          </w:p>
        </w:tc>
        <w:tc>
          <w:tcPr>
            <w:tcW w:w="3200" w:type="dxa"/>
          </w:tcPr>
          <w:p w:rsidR="00443665" w:rsidRDefault="00443665">
            <w:pPr>
              <w:pStyle w:val="20"/>
              <w:spacing w:line="460" w:lineRule="atLeast"/>
              <w:ind w:firstLine="0"/>
              <w:jc w:val="center"/>
              <w:rPr>
                <w:rFonts w:hint="eastAsia"/>
                <w:sz w:val="21"/>
              </w:rPr>
            </w:pPr>
            <w:r>
              <w:rPr>
                <w:rFonts w:hint="eastAsia"/>
                <w:sz w:val="21"/>
              </w:rPr>
              <w:t>0.9</w:t>
            </w:r>
          </w:p>
        </w:tc>
      </w:tr>
      <w:tr w:rsidR="00443665">
        <w:tblPrEx>
          <w:tblCellMar>
            <w:top w:w="0" w:type="dxa"/>
            <w:bottom w:w="0" w:type="dxa"/>
          </w:tblCellMar>
        </w:tblPrEx>
        <w:trPr>
          <w:cantSplit/>
        </w:trPr>
        <w:tc>
          <w:tcPr>
            <w:tcW w:w="2448" w:type="dxa"/>
            <w:vMerge/>
          </w:tcPr>
          <w:p w:rsidR="00443665" w:rsidRDefault="00443665">
            <w:pPr>
              <w:pStyle w:val="20"/>
              <w:spacing w:line="460" w:lineRule="atLeast"/>
              <w:ind w:firstLine="0"/>
              <w:jc w:val="center"/>
              <w:rPr>
                <w:sz w:val="21"/>
              </w:rPr>
            </w:pPr>
          </w:p>
        </w:tc>
        <w:tc>
          <w:tcPr>
            <w:tcW w:w="3780" w:type="dxa"/>
          </w:tcPr>
          <w:p w:rsidR="00443665" w:rsidRDefault="00443665">
            <w:pPr>
              <w:pStyle w:val="20"/>
              <w:spacing w:line="460" w:lineRule="atLeast"/>
              <w:ind w:firstLine="0"/>
              <w:jc w:val="center"/>
              <w:rPr>
                <w:sz w:val="21"/>
              </w:rPr>
            </w:pPr>
            <w:r>
              <w:rPr>
                <w:rFonts w:hint="eastAsia"/>
                <w:sz w:val="21"/>
              </w:rPr>
              <w:t>80-85</w:t>
            </w:r>
            <w:r>
              <w:rPr>
                <w:rFonts w:hint="eastAsia"/>
                <w:sz w:val="21"/>
              </w:rPr>
              <w:t>（不含）</w:t>
            </w:r>
          </w:p>
        </w:tc>
        <w:tc>
          <w:tcPr>
            <w:tcW w:w="3200" w:type="dxa"/>
          </w:tcPr>
          <w:p w:rsidR="00443665" w:rsidRDefault="00443665">
            <w:pPr>
              <w:pStyle w:val="20"/>
              <w:spacing w:line="460" w:lineRule="atLeast"/>
              <w:ind w:firstLine="0"/>
              <w:jc w:val="center"/>
              <w:rPr>
                <w:rFonts w:hint="eastAsia"/>
                <w:sz w:val="21"/>
              </w:rPr>
            </w:pPr>
            <w:r>
              <w:rPr>
                <w:rFonts w:hint="eastAsia"/>
                <w:sz w:val="21"/>
              </w:rPr>
              <w:t>0.8</w:t>
            </w:r>
          </w:p>
        </w:tc>
      </w:tr>
      <w:tr w:rsidR="00443665">
        <w:tblPrEx>
          <w:tblCellMar>
            <w:top w:w="0" w:type="dxa"/>
            <w:bottom w:w="0" w:type="dxa"/>
          </w:tblCellMar>
        </w:tblPrEx>
        <w:trPr>
          <w:cantSplit/>
        </w:trPr>
        <w:tc>
          <w:tcPr>
            <w:tcW w:w="2448" w:type="dxa"/>
            <w:vMerge w:val="restart"/>
          </w:tcPr>
          <w:p w:rsidR="00443665" w:rsidRDefault="00443665">
            <w:pPr>
              <w:pStyle w:val="20"/>
              <w:spacing w:line="460" w:lineRule="atLeast"/>
              <w:ind w:firstLine="0"/>
              <w:jc w:val="center"/>
              <w:rPr>
                <w:rFonts w:hint="eastAsia"/>
                <w:sz w:val="21"/>
              </w:rPr>
            </w:pPr>
            <w:r>
              <w:rPr>
                <w:rFonts w:hint="eastAsia"/>
                <w:sz w:val="21"/>
              </w:rPr>
              <w:t>A+</w:t>
            </w:r>
          </w:p>
          <w:p w:rsidR="00443665" w:rsidRDefault="00443665">
            <w:pPr>
              <w:pStyle w:val="20"/>
              <w:spacing w:line="460" w:lineRule="atLeast"/>
              <w:ind w:firstLine="0"/>
              <w:jc w:val="center"/>
              <w:rPr>
                <w:rFonts w:hint="eastAsia"/>
                <w:sz w:val="21"/>
              </w:rPr>
            </w:pPr>
            <w:r>
              <w:rPr>
                <w:rFonts w:hint="eastAsia"/>
                <w:sz w:val="21"/>
              </w:rPr>
              <w:t>A</w:t>
            </w:r>
          </w:p>
        </w:tc>
        <w:tc>
          <w:tcPr>
            <w:tcW w:w="3780" w:type="dxa"/>
          </w:tcPr>
          <w:p w:rsidR="00443665" w:rsidRDefault="00443665">
            <w:pPr>
              <w:pStyle w:val="20"/>
              <w:spacing w:line="460" w:lineRule="atLeast"/>
              <w:ind w:firstLine="0"/>
              <w:jc w:val="center"/>
              <w:rPr>
                <w:sz w:val="21"/>
              </w:rPr>
            </w:pPr>
            <w:r>
              <w:rPr>
                <w:rFonts w:hint="eastAsia"/>
                <w:sz w:val="21"/>
              </w:rPr>
              <w:t>75</w:t>
            </w:r>
            <w:r>
              <w:rPr>
                <w:rFonts w:hint="eastAsia"/>
                <w:sz w:val="21"/>
              </w:rPr>
              <w:t>（含）</w:t>
            </w:r>
            <w:r>
              <w:rPr>
                <w:rFonts w:hint="eastAsia"/>
                <w:sz w:val="21"/>
              </w:rPr>
              <w:t>-80</w:t>
            </w:r>
            <w:r>
              <w:rPr>
                <w:rFonts w:hint="eastAsia"/>
                <w:sz w:val="21"/>
              </w:rPr>
              <w:t>（不含）</w:t>
            </w:r>
          </w:p>
        </w:tc>
        <w:tc>
          <w:tcPr>
            <w:tcW w:w="3200" w:type="dxa"/>
          </w:tcPr>
          <w:p w:rsidR="00443665" w:rsidRDefault="00443665">
            <w:pPr>
              <w:pStyle w:val="20"/>
              <w:spacing w:line="460" w:lineRule="atLeast"/>
              <w:ind w:firstLine="0"/>
              <w:jc w:val="center"/>
              <w:rPr>
                <w:rFonts w:hint="eastAsia"/>
                <w:sz w:val="21"/>
              </w:rPr>
            </w:pPr>
            <w:r>
              <w:rPr>
                <w:rFonts w:hint="eastAsia"/>
                <w:sz w:val="21"/>
              </w:rPr>
              <w:t>0.6</w:t>
            </w:r>
          </w:p>
        </w:tc>
      </w:tr>
      <w:tr w:rsidR="00443665">
        <w:tblPrEx>
          <w:tblCellMar>
            <w:top w:w="0" w:type="dxa"/>
            <w:bottom w:w="0" w:type="dxa"/>
          </w:tblCellMar>
        </w:tblPrEx>
        <w:trPr>
          <w:cantSplit/>
        </w:trPr>
        <w:tc>
          <w:tcPr>
            <w:tcW w:w="2448" w:type="dxa"/>
            <w:vMerge/>
          </w:tcPr>
          <w:p w:rsidR="00443665" w:rsidRDefault="00443665">
            <w:pPr>
              <w:pStyle w:val="20"/>
              <w:spacing w:line="460" w:lineRule="atLeast"/>
              <w:ind w:firstLine="0"/>
              <w:jc w:val="center"/>
              <w:rPr>
                <w:sz w:val="21"/>
              </w:rPr>
            </w:pPr>
          </w:p>
        </w:tc>
        <w:tc>
          <w:tcPr>
            <w:tcW w:w="3780" w:type="dxa"/>
          </w:tcPr>
          <w:p w:rsidR="00443665" w:rsidRDefault="00443665">
            <w:pPr>
              <w:pStyle w:val="20"/>
              <w:spacing w:line="460" w:lineRule="atLeast"/>
              <w:ind w:firstLine="0"/>
              <w:jc w:val="center"/>
              <w:rPr>
                <w:sz w:val="21"/>
              </w:rPr>
            </w:pPr>
            <w:r>
              <w:rPr>
                <w:rFonts w:hint="eastAsia"/>
                <w:sz w:val="21"/>
              </w:rPr>
              <w:t>70</w:t>
            </w:r>
            <w:r>
              <w:rPr>
                <w:rFonts w:hint="eastAsia"/>
                <w:sz w:val="21"/>
              </w:rPr>
              <w:t>（含）</w:t>
            </w:r>
            <w:r>
              <w:rPr>
                <w:rFonts w:hint="eastAsia"/>
                <w:sz w:val="21"/>
              </w:rPr>
              <w:t>-75</w:t>
            </w:r>
            <w:r>
              <w:rPr>
                <w:rFonts w:hint="eastAsia"/>
                <w:sz w:val="21"/>
              </w:rPr>
              <w:t>（不含）</w:t>
            </w:r>
          </w:p>
        </w:tc>
        <w:tc>
          <w:tcPr>
            <w:tcW w:w="3200" w:type="dxa"/>
          </w:tcPr>
          <w:p w:rsidR="00443665" w:rsidRDefault="00443665">
            <w:pPr>
              <w:pStyle w:val="20"/>
              <w:spacing w:line="460" w:lineRule="atLeast"/>
              <w:ind w:firstLine="0"/>
              <w:jc w:val="center"/>
              <w:rPr>
                <w:rFonts w:hint="eastAsia"/>
                <w:sz w:val="21"/>
              </w:rPr>
            </w:pPr>
            <w:r>
              <w:rPr>
                <w:rFonts w:hint="eastAsia"/>
                <w:sz w:val="21"/>
              </w:rPr>
              <w:t>0.4</w:t>
            </w:r>
          </w:p>
        </w:tc>
      </w:tr>
    </w:tbl>
    <w:p w:rsidR="00443665" w:rsidRDefault="00443665">
      <w:pPr>
        <w:pStyle w:val="20"/>
        <w:spacing w:line="460" w:lineRule="atLeast"/>
        <w:ind w:firstLine="482"/>
      </w:pPr>
      <w:r>
        <w:t>A</w:t>
      </w:r>
      <w:r>
        <w:rPr>
          <w:rFonts w:hint="eastAsia"/>
        </w:rPr>
        <w:t>级及以上级别客户的最离综合授信额度也可根据不超过客户可提供有效抵押物变现值的</w:t>
      </w:r>
      <w:r>
        <w:t>70</w:t>
      </w:r>
      <w:r>
        <w:rPr>
          <w:rFonts w:hint="eastAsia"/>
        </w:rPr>
        <w:t>％、质押物变现值的</w:t>
      </w:r>
      <w:r>
        <w:t>90</w:t>
      </w:r>
      <w:r>
        <w:rPr>
          <w:rFonts w:hint="eastAsia"/>
        </w:rPr>
        <w:t>％以及他人</w:t>
      </w:r>
      <w:r>
        <w:t>100</w:t>
      </w:r>
      <w:r>
        <w:rPr>
          <w:rFonts w:hint="eastAsia"/>
        </w:rPr>
        <w:t>％保证担保核定。</w:t>
      </w:r>
    </w:p>
    <w:p w:rsidR="00443665" w:rsidRDefault="00443665">
      <w:pPr>
        <w:pStyle w:val="20"/>
        <w:spacing w:line="460" w:lineRule="atLeast"/>
        <w:ind w:firstLine="482"/>
      </w:pPr>
      <w:r>
        <w:t>2</w:t>
      </w:r>
      <w:r>
        <w:rPr>
          <w:rFonts w:hint="eastAsia"/>
        </w:rPr>
        <w:t>、对</w:t>
      </w:r>
      <w:r>
        <w:t>B</w:t>
      </w:r>
      <w:r>
        <w:rPr>
          <w:rFonts w:hint="eastAsia"/>
        </w:rPr>
        <w:t>、</w:t>
      </w:r>
      <w:r>
        <w:t>C</w:t>
      </w:r>
      <w:r>
        <w:rPr>
          <w:rFonts w:hint="eastAsia"/>
        </w:rPr>
        <w:t>级客户最高综合授信额度按年初实际余额掌握，但必须作出当年信用压缩计划，授信额度核定的手续可适当简化。</w:t>
      </w:r>
    </w:p>
    <w:p w:rsidR="00443665" w:rsidRDefault="00443665">
      <w:pPr>
        <w:pStyle w:val="20"/>
        <w:spacing w:line="460" w:lineRule="atLeast"/>
        <w:ind w:firstLine="482"/>
      </w:pPr>
      <w:r>
        <w:rPr>
          <w:rFonts w:hint="eastAsia"/>
        </w:rPr>
        <w:t>（四）城市土地开发贷款授信额度的确定</w:t>
      </w:r>
    </w:p>
    <w:p w:rsidR="00443665" w:rsidRDefault="00443665">
      <w:pPr>
        <w:pStyle w:val="20"/>
        <w:spacing w:line="460" w:lineRule="atLeast"/>
        <w:ind w:firstLine="482"/>
        <w:rPr>
          <w:rFonts w:hint="eastAsia"/>
        </w:rPr>
      </w:pPr>
      <w:r>
        <w:t>1</w:t>
      </w:r>
      <w:r>
        <w:rPr>
          <w:rFonts w:hint="eastAsia"/>
        </w:rPr>
        <w:t>、对政府土地储备机构，可以根据其本年度合理土地储备计划的实际信用需求核定其授信额度，但最高综合授信额度应控制在以下额度内：借款人为地级市（含）以上城市本级土地储备机构的，最高综合授信额度不宜超过</w:t>
      </w:r>
      <w:r>
        <w:t>FR</w:t>
      </w:r>
      <w:r>
        <w:rPr>
          <w:rFonts w:hint="eastAsia"/>
        </w:rPr>
        <w:t>／</w:t>
      </w:r>
      <w:r>
        <w:t>4</w:t>
      </w:r>
      <w:r>
        <w:rPr>
          <w:rFonts w:hint="eastAsia"/>
        </w:rPr>
        <w:t>－</w:t>
      </w:r>
      <w:r>
        <w:t>DL</w:t>
      </w:r>
      <w:r>
        <w:rPr>
          <w:rFonts w:hint="eastAsia"/>
        </w:rPr>
        <w:t>（</w:t>
      </w:r>
      <w:r>
        <w:t>FR</w:t>
      </w:r>
      <w:r>
        <w:rPr>
          <w:rFonts w:hint="eastAsia"/>
        </w:rPr>
        <w:t>为前一年度城市辖区内地方财政收入，</w:t>
      </w:r>
      <w:r>
        <w:t>DL</w:t>
      </w:r>
      <w:r>
        <w:rPr>
          <w:rFonts w:hint="eastAsia"/>
        </w:rPr>
        <w:t>为客户总负债减去目前对</w:t>
      </w:r>
      <w:r w:rsidR="00B8245F">
        <w:rPr>
          <w:rFonts w:hint="eastAsia"/>
        </w:rPr>
        <w:t>工行</w:t>
      </w:r>
      <w:r>
        <w:rPr>
          <w:rFonts w:hint="eastAsia"/>
        </w:rPr>
        <w:t>的负债）；借款人为县（县级市）本级土地储备机构的，最高综合授信额度不宜超过</w:t>
      </w:r>
      <w:r>
        <w:t>F</w:t>
      </w:r>
      <w:r>
        <w:rPr>
          <w:rFonts w:hint="eastAsia"/>
        </w:rPr>
        <w:t>R/3</w:t>
      </w:r>
      <w:r>
        <w:rPr>
          <w:rFonts w:hint="eastAsia"/>
        </w:rPr>
        <w:t>－</w:t>
      </w:r>
      <w:r>
        <w:t>DL</w:t>
      </w:r>
      <w:r>
        <w:t>；</w:t>
      </w:r>
      <w:r>
        <w:rPr>
          <w:rFonts w:hint="eastAsia"/>
        </w:rPr>
        <w:t>借款人为市下辖区级土地储备机构的，最高授信额度不宜超过</w:t>
      </w:r>
      <w:r>
        <w:t>F</w:t>
      </w:r>
      <w:r>
        <w:rPr>
          <w:rFonts w:hint="eastAsia"/>
        </w:rPr>
        <w:t>R/2</w:t>
      </w:r>
      <w:r>
        <w:rPr>
          <w:rFonts w:hint="eastAsia"/>
        </w:rPr>
        <w:t>－</w:t>
      </w:r>
      <w:r>
        <w:t>DL</w:t>
      </w:r>
      <w:r>
        <w:t>。</w:t>
      </w:r>
    </w:p>
    <w:p w:rsidR="00443665" w:rsidRDefault="00443665">
      <w:pPr>
        <w:pStyle w:val="20"/>
        <w:spacing w:line="460" w:lineRule="atLeast"/>
        <w:ind w:firstLine="482"/>
      </w:pPr>
      <w:r>
        <w:t>2</w:t>
      </w:r>
      <w:r>
        <w:rPr>
          <w:rFonts w:hint="eastAsia"/>
        </w:rPr>
        <w:t>、政府园区土地开发机构和其它土地开发机构的授信按</w:t>
      </w:r>
      <w:r w:rsidR="00B8245F">
        <w:rPr>
          <w:rFonts w:hint="eastAsia"/>
        </w:rPr>
        <w:t>工行</w:t>
      </w:r>
      <w:r>
        <w:rPr>
          <w:rFonts w:hint="eastAsia"/>
        </w:rPr>
        <w:t>现行有关授信管理办法执行，确因情况特殊难以进行合理授信的，根据项目贷款管理有关规定，由有权审批行审批项目后视同增加授信。</w:t>
      </w:r>
    </w:p>
    <w:p w:rsidR="00443665" w:rsidRDefault="00443665">
      <w:pPr>
        <w:pStyle w:val="20"/>
        <w:spacing w:line="460" w:lineRule="atLeast"/>
        <w:ind w:firstLine="482"/>
      </w:pPr>
      <w:r>
        <w:t>3</w:t>
      </w:r>
      <w:r>
        <w:rPr>
          <w:rFonts w:hint="eastAsia"/>
        </w:rPr>
        <w:t>、对前一年度全市（含下辖区县）</w:t>
      </w:r>
      <w:r>
        <w:t>GDP</w:t>
      </w:r>
      <w:r>
        <w:rPr>
          <w:rFonts w:hint="eastAsia"/>
        </w:rPr>
        <w:t>在</w:t>
      </w:r>
      <w:r>
        <w:t>400</w:t>
      </w:r>
      <w:r>
        <w:rPr>
          <w:rFonts w:hint="eastAsia"/>
        </w:rPr>
        <w:t>亿元以上的地级以上城市的本级土地储备机构或辖内</w:t>
      </w:r>
      <w:r>
        <w:t>GDP</w:t>
      </w:r>
      <w:r>
        <w:rPr>
          <w:rFonts w:hint="eastAsia"/>
        </w:rPr>
        <w:t>在</w:t>
      </w:r>
      <w:r>
        <w:t>200</w:t>
      </w:r>
      <w:r>
        <w:rPr>
          <w:rFonts w:hint="eastAsia"/>
        </w:rPr>
        <w:t>亿元以上的县级市（县、市辖区）的本级土地储备机构，在同业竞争激烈的情况下可实行公开统一授信。</w:t>
      </w:r>
    </w:p>
    <w:p w:rsidR="00443665" w:rsidRDefault="00443665">
      <w:pPr>
        <w:pStyle w:val="20"/>
        <w:spacing w:line="460" w:lineRule="atLeast"/>
        <w:ind w:firstLine="482"/>
      </w:pPr>
      <w:r>
        <w:rPr>
          <w:rFonts w:hint="eastAsia"/>
        </w:rPr>
        <w:t>（五）对</w:t>
      </w:r>
      <w:r>
        <w:t>B</w:t>
      </w:r>
      <w:r>
        <w:rPr>
          <w:rFonts w:hint="eastAsia"/>
        </w:rPr>
        <w:t>、</w:t>
      </w:r>
      <w:r>
        <w:t>C</w:t>
      </w:r>
      <w:r>
        <w:rPr>
          <w:rFonts w:hint="eastAsia"/>
        </w:rPr>
        <w:t>级信用等级客户特别授信的规定</w:t>
      </w:r>
    </w:p>
    <w:p w:rsidR="00443665" w:rsidRDefault="00443665">
      <w:pPr>
        <w:pStyle w:val="20"/>
        <w:spacing w:line="460" w:lineRule="atLeast"/>
        <w:ind w:firstLine="482"/>
      </w:pPr>
      <w:r>
        <w:t>1</w:t>
      </w:r>
      <w:r>
        <w:rPr>
          <w:rFonts w:hint="eastAsia"/>
        </w:rPr>
        <w:t>、对</w:t>
      </w:r>
      <w:r>
        <w:t>B</w:t>
      </w:r>
      <w:r>
        <w:rPr>
          <w:rFonts w:hint="eastAsia"/>
        </w:rPr>
        <w:t>、</w:t>
      </w:r>
      <w:r>
        <w:t>C</w:t>
      </w:r>
      <w:r>
        <w:rPr>
          <w:rFonts w:hint="eastAsia"/>
        </w:rPr>
        <w:t>级客户核定特别授信额度的条件。</w:t>
      </w:r>
    </w:p>
    <w:p w:rsidR="00443665" w:rsidRDefault="00443665">
      <w:pPr>
        <w:pStyle w:val="20"/>
        <w:spacing w:line="460" w:lineRule="atLeast"/>
        <w:ind w:firstLine="482"/>
      </w:pPr>
      <w:r>
        <w:rPr>
          <w:rFonts w:hint="eastAsia"/>
        </w:rPr>
        <w:t>（</w:t>
      </w:r>
      <w:r>
        <w:t>1</w:t>
      </w:r>
      <w:r>
        <w:rPr>
          <w:rFonts w:hint="eastAsia"/>
        </w:rPr>
        <w:t>）必须有利于清收盘活现有存量不良资产；</w:t>
      </w:r>
    </w:p>
    <w:p w:rsidR="00443665" w:rsidRDefault="00443665">
      <w:pPr>
        <w:pStyle w:val="20"/>
        <w:spacing w:line="460" w:lineRule="atLeast"/>
        <w:ind w:firstLine="482"/>
      </w:pPr>
      <w:r>
        <w:rPr>
          <w:rFonts w:hint="eastAsia"/>
        </w:rPr>
        <w:t>（</w:t>
      </w:r>
      <w:r>
        <w:t>2</w:t>
      </w:r>
      <w:r>
        <w:rPr>
          <w:rFonts w:hint="eastAsia"/>
        </w:rPr>
        <w:t>）经营活动合规合法，符合国家产业政策和社会发展规划要求；领导班子健全，有良好的个人信誉，与</w:t>
      </w:r>
      <w:r w:rsidR="00B8245F">
        <w:rPr>
          <w:rFonts w:hint="eastAsia"/>
        </w:rPr>
        <w:t>工行</w:t>
      </w:r>
      <w:r>
        <w:rPr>
          <w:rFonts w:hint="eastAsia"/>
        </w:rPr>
        <w:t>保持长久的合作关系；产品符合相关质量标准，有稳定的销路，生产设备、工艺流程有一定的先进性；注手盘活资金后经营有显著效益；新增贷款能按时还本付息并逐步偿还部分老贷款本息：</w:t>
      </w:r>
    </w:p>
    <w:p w:rsidR="00443665" w:rsidRDefault="00443665">
      <w:pPr>
        <w:pStyle w:val="20"/>
        <w:spacing w:line="460" w:lineRule="atLeast"/>
        <w:ind w:firstLine="482"/>
      </w:pPr>
      <w:r>
        <w:rPr>
          <w:rFonts w:hint="eastAsia"/>
        </w:rPr>
        <w:lastRenderedPageBreak/>
        <w:t>（</w:t>
      </w:r>
      <w:r>
        <w:t>3</w:t>
      </w:r>
      <w:r>
        <w:rPr>
          <w:rFonts w:hint="eastAsia"/>
        </w:rPr>
        <w:t>）资产风险管理部门拟定切实可行的不良贷款盘活及清收计划，并报有权审批行批准；</w:t>
      </w:r>
    </w:p>
    <w:p w:rsidR="00443665" w:rsidRDefault="00443665">
      <w:pPr>
        <w:pStyle w:val="20"/>
        <w:spacing w:line="460" w:lineRule="atLeast"/>
        <w:ind w:firstLine="482"/>
      </w:pPr>
      <w:r>
        <w:rPr>
          <w:rFonts w:hint="eastAsia"/>
        </w:rPr>
        <w:t>（</w:t>
      </w:r>
      <w:r>
        <w:t>4</w:t>
      </w:r>
      <w:r>
        <w:rPr>
          <w:rFonts w:hint="eastAsia"/>
        </w:rPr>
        <w:t>）坚持个案处理、一事一议的原则，选择有把握能够盘活的贷款企业实施。</w:t>
      </w:r>
    </w:p>
    <w:p w:rsidR="00443665" w:rsidRDefault="00443665">
      <w:pPr>
        <w:pStyle w:val="20"/>
        <w:spacing w:line="460" w:lineRule="atLeast"/>
        <w:ind w:firstLine="482"/>
      </w:pPr>
      <w:r>
        <w:t>2</w:t>
      </w:r>
      <w:r>
        <w:rPr>
          <w:rFonts w:hint="eastAsia"/>
        </w:rPr>
        <w:t>、额度核定。</w:t>
      </w:r>
    </w:p>
    <w:p w:rsidR="00443665" w:rsidRDefault="00443665">
      <w:pPr>
        <w:pStyle w:val="20"/>
        <w:spacing w:line="460" w:lineRule="atLeast"/>
        <w:ind w:firstLine="482"/>
      </w:pPr>
      <w:r>
        <w:rPr>
          <w:rFonts w:hint="eastAsia"/>
        </w:rPr>
        <w:t>（</w:t>
      </w:r>
      <w:r>
        <w:t>1</w:t>
      </w:r>
      <w:r>
        <w:rPr>
          <w:rFonts w:hint="eastAsia"/>
        </w:rPr>
        <w:t>）</w:t>
      </w:r>
      <w:r>
        <w:t>B</w:t>
      </w:r>
      <w:r>
        <w:rPr>
          <w:rFonts w:hint="eastAsia"/>
        </w:rPr>
        <w:t>、</w:t>
      </w:r>
      <w:r>
        <w:t>C</w:t>
      </w:r>
      <w:r>
        <w:rPr>
          <w:rFonts w:hint="eastAsia"/>
        </w:rPr>
        <w:t>级客户特别授信总量不得超过一级分行不良贷款余额下降数额；</w:t>
      </w:r>
    </w:p>
    <w:p w:rsidR="00443665" w:rsidRDefault="00443665">
      <w:pPr>
        <w:pStyle w:val="20"/>
        <w:spacing w:line="460" w:lineRule="atLeast"/>
        <w:ind w:firstLine="482"/>
      </w:pPr>
      <w:r>
        <w:rPr>
          <w:rFonts w:hint="eastAsia"/>
        </w:rPr>
        <w:t>（</w:t>
      </w:r>
      <w:r>
        <w:t>2</w:t>
      </w:r>
      <w:r>
        <w:rPr>
          <w:rFonts w:hint="eastAsia"/>
        </w:rPr>
        <w:t>）单个客户特别授信额度原则上不得超过其</w:t>
      </w:r>
      <w:r w:rsidR="00B8245F">
        <w:rPr>
          <w:rFonts w:hint="eastAsia"/>
        </w:rPr>
        <w:t>工行</w:t>
      </w:r>
      <w:r>
        <w:rPr>
          <w:rFonts w:hint="eastAsia"/>
        </w:rPr>
        <w:t>现有贷款余额的</w:t>
      </w:r>
      <w:r>
        <w:t>20</w:t>
      </w:r>
      <w:r>
        <w:rPr>
          <w:rFonts w:hint="eastAsia"/>
        </w:rPr>
        <w:t>％；</w:t>
      </w:r>
    </w:p>
    <w:p w:rsidR="00443665" w:rsidRDefault="00443665">
      <w:pPr>
        <w:pStyle w:val="20"/>
        <w:spacing w:line="460" w:lineRule="atLeast"/>
        <w:ind w:firstLine="482"/>
      </w:pPr>
      <w:r>
        <w:rPr>
          <w:rFonts w:hint="eastAsia"/>
        </w:rPr>
        <w:t>（</w:t>
      </w:r>
      <w:r>
        <w:t>3</w:t>
      </w:r>
      <w:r>
        <w:rPr>
          <w:rFonts w:hint="eastAsia"/>
        </w:rPr>
        <w:t>）对符合扶贫贷款条件的客户应优先占用扶贫贷款计划。</w:t>
      </w:r>
    </w:p>
    <w:p w:rsidR="00443665" w:rsidRDefault="00443665">
      <w:pPr>
        <w:pStyle w:val="20"/>
        <w:spacing w:line="460" w:lineRule="atLeast"/>
        <w:ind w:firstLine="482"/>
      </w:pPr>
      <w:r>
        <w:t>3</w:t>
      </w:r>
      <w:r>
        <w:rPr>
          <w:rFonts w:hint="eastAsia"/>
        </w:rPr>
        <w:t>、额度使用管理。</w:t>
      </w:r>
    </w:p>
    <w:p w:rsidR="00443665" w:rsidRDefault="00443665">
      <w:pPr>
        <w:pStyle w:val="20"/>
        <w:spacing w:line="460" w:lineRule="atLeast"/>
        <w:ind w:firstLine="482"/>
      </w:pPr>
      <w:r>
        <w:rPr>
          <w:rFonts w:hint="eastAsia"/>
        </w:rPr>
        <w:t>（</w:t>
      </w:r>
      <w:r>
        <w:t>1</w:t>
      </w:r>
      <w:r>
        <w:rPr>
          <w:rFonts w:hint="eastAsia"/>
        </w:rPr>
        <w:t>）只能发放用于客户正常生产经营周转需要的短期流动资金贷款；</w:t>
      </w:r>
    </w:p>
    <w:p w:rsidR="00443665" w:rsidRDefault="00443665">
      <w:pPr>
        <w:pStyle w:val="20"/>
        <w:spacing w:line="460" w:lineRule="atLeast"/>
        <w:ind w:firstLine="482"/>
      </w:pPr>
      <w:r>
        <w:rPr>
          <w:rFonts w:hint="eastAsia"/>
        </w:rPr>
        <w:t>（</w:t>
      </w:r>
      <w:r>
        <w:t>2</w:t>
      </w:r>
      <w:r>
        <w:rPr>
          <w:rFonts w:hint="eastAsia"/>
        </w:rPr>
        <w:t>）核定特别授信额度或者注人单笔启动贷款必须落实合法有效担保手续；</w:t>
      </w:r>
    </w:p>
    <w:p w:rsidR="00443665" w:rsidRDefault="00443665">
      <w:pPr>
        <w:pStyle w:val="20"/>
        <w:spacing w:line="460" w:lineRule="atLeast"/>
        <w:ind w:firstLine="482"/>
      </w:pPr>
      <w:r>
        <w:rPr>
          <w:rFonts w:hint="eastAsia"/>
        </w:rPr>
        <w:t>（</w:t>
      </w:r>
      <w:r>
        <w:t>3</w:t>
      </w:r>
      <w:r>
        <w:rPr>
          <w:rFonts w:hint="eastAsia"/>
        </w:rPr>
        <w:t>）必须根据客户获得的订单、已经取得的订单承诺或购货合同核定客户所需原料款以及正常的生产经营费用逐笔发放贷款；</w:t>
      </w:r>
    </w:p>
    <w:p w:rsidR="00443665" w:rsidRDefault="00443665">
      <w:pPr>
        <w:pStyle w:val="20"/>
        <w:spacing w:line="460" w:lineRule="atLeast"/>
        <w:ind w:firstLine="482"/>
      </w:pPr>
      <w:r>
        <w:rPr>
          <w:rFonts w:hint="eastAsia"/>
        </w:rPr>
        <w:t>（</w:t>
      </w:r>
      <w:r>
        <w:t>4</w:t>
      </w:r>
      <w:r>
        <w:rPr>
          <w:rFonts w:hint="eastAsia"/>
        </w:rPr>
        <w:t>）特别授信到期必须全部收回，不得循环使用；</w:t>
      </w:r>
    </w:p>
    <w:p w:rsidR="00443665" w:rsidRDefault="00443665">
      <w:pPr>
        <w:pStyle w:val="20"/>
        <w:spacing w:line="460" w:lineRule="atLeast"/>
        <w:ind w:firstLine="482"/>
      </w:pPr>
      <w:r>
        <w:rPr>
          <w:rFonts w:hint="eastAsia"/>
        </w:rPr>
        <w:t>（</w:t>
      </w:r>
      <w:r>
        <w:t>5</w:t>
      </w:r>
      <w:r>
        <w:rPr>
          <w:rFonts w:hint="eastAsia"/>
        </w:rPr>
        <w:t>）单笔启动贷款到期后，不得办理展期，不得办理借新还旧。</w:t>
      </w:r>
    </w:p>
    <w:p w:rsidR="00443665" w:rsidRDefault="00443665">
      <w:pPr>
        <w:pStyle w:val="20"/>
        <w:spacing w:line="460" w:lineRule="atLeast"/>
        <w:ind w:firstLine="482"/>
      </w:pPr>
      <w:r>
        <w:rPr>
          <w:rFonts w:hint="eastAsia"/>
        </w:rPr>
        <w:t>（六）审查中应注意的问题</w:t>
      </w:r>
    </w:p>
    <w:p w:rsidR="00443665" w:rsidRDefault="00443665">
      <w:pPr>
        <w:pStyle w:val="20"/>
        <w:spacing w:line="460" w:lineRule="atLeast"/>
        <w:ind w:firstLine="482"/>
      </w:pPr>
      <w:r>
        <w:t>1</w:t>
      </w:r>
      <w:r>
        <w:rPr>
          <w:rFonts w:hint="eastAsia"/>
        </w:rPr>
        <w:t>、对客户的最高授信额度不得超过利用公式测算的最高理论综合授信额度。</w:t>
      </w:r>
    </w:p>
    <w:p w:rsidR="00443665" w:rsidRDefault="00443665">
      <w:pPr>
        <w:pStyle w:val="20"/>
        <w:spacing w:line="460" w:lineRule="atLeast"/>
        <w:ind w:firstLine="482"/>
      </w:pPr>
      <w:r>
        <w:t>2</w:t>
      </w:r>
      <w:r>
        <w:rPr>
          <w:rFonts w:hint="eastAsia"/>
        </w:rPr>
        <w:t>、审查中要根据客户经营、发展情况、资金需求、风险控制能力等情况合理确定客户的统一授信额度，防止出现过度授信。</w:t>
      </w:r>
    </w:p>
    <w:p w:rsidR="00443665" w:rsidRDefault="00443665">
      <w:pPr>
        <w:pStyle w:val="20"/>
        <w:spacing w:line="460" w:lineRule="atLeast"/>
        <w:ind w:firstLine="482"/>
      </w:pPr>
      <w:r>
        <w:rPr>
          <w:rFonts w:hint="eastAsia"/>
        </w:rPr>
        <w:t>五、集团性客户风险管理审查</w:t>
      </w:r>
    </w:p>
    <w:p w:rsidR="00443665" w:rsidRDefault="00443665">
      <w:pPr>
        <w:pStyle w:val="20"/>
        <w:spacing w:line="460" w:lineRule="atLeast"/>
        <w:ind w:firstLine="482"/>
      </w:pPr>
      <w:r>
        <w:rPr>
          <w:rFonts w:hint="eastAsia"/>
        </w:rPr>
        <w:t>集团性客户授信业务风险是指由于商业银行对集团性客户多头授信、过度授信和不适当分配授信额度，或集团性客户经营不善以及集团性客户通过关联交易、资产重组等手段在内部关联方之间不按公允价格原则转移资产或利润等情况，导致商业银行不能按时收回由于授信产生的贷款本金及利息，或给商业银行带来其他损失的可能性。审查集团性客户信贷业务要按照银监会《商业银行集团客户授信业务管理指引》和</w:t>
      </w:r>
      <w:r w:rsidR="00B8245F">
        <w:rPr>
          <w:rFonts w:hint="eastAsia"/>
        </w:rPr>
        <w:t>工行</w:t>
      </w:r>
      <w:r>
        <w:rPr>
          <w:rFonts w:hint="eastAsia"/>
        </w:rPr>
        <w:t>《关于进一步加强集团性客户风险管理的意见》等文件要求，根据集团性客户的不同类型和管理模式，确定授信管理类型、授信方式和用信方式，防范多头授信、过度授信，切实加强集团性客户的风险管理。</w:t>
      </w:r>
    </w:p>
    <w:p w:rsidR="00443665" w:rsidRDefault="00443665">
      <w:pPr>
        <w:pStyle w:val="20"/>
        <w:spacing w:line="460" w:lineRule="atLeast"/>
        <w:ind w:firstLine="482"/>
      </w:pPr>
      <w:r>
        <w:rPr>
          <w:rFonts w:hint="eastAsia"/>
        </w:rPr>
        <w:t>（一）授信管理类型</w:t>
      </w:r>
    </w:p>
    <w:p w:rsidR="00443665" w:rsidRDefault="00443665">
      <w:pPr>
        <w:pStyle w:val="20"/>
        <w:spacing w:line="460" w:lineRule="atLeast"/>
        <w:ind w:firstLine="482"/>
      </w:pPr>
      <w:r>
        <w:rPr>
          <w:rFonts w:hint="eastAsia"/>
        </w:rPr>
        <w:t>集团性客户授信分为</w:t>
      </w:r>
      <w:r>
        <w:t>“</w:t>
      </w:r>
      <w:r>
        <w:rPr>
          <w:rFonts w:hint="eastAsia"/>
        </w:rPr>
        <w:t>整体授信、统一使用额度</w:t>
      </w:r>
      <w:r>
        <w:t>”</w:t>
      </w:r>
      <w:r>
        <w:rPr>
          <w:rFonts w:hint="eastAsia"/>
        </w:rPr>
        <w:t>、</w:t>
      </w:r>
      <w:r>
        <w:t>“</w:t>
      </w:r>
      <w:r>
        <w:rPr>
          <w:rFonts w:hint="eastAsia"/>
        </w:rPr>
        <w:t>整体授信、分配额度</w:t>
      </w:r>
      <w:r>
        <w:t>”</w:t>
      </w:r>
      <w:r>
        <w:rPr>
          <w:rFonts w:hint="eastAsia"/>
        </w:rPr>
        <w:t>、</w:t>
      </w:r>
      <w:r>
        <w:t>“</w:t>
      </w:r>
      <w:r>
        <w:rPr>
          <w:rFonts w:hint="eastAsia"/>
        </w:rPr>
        <w:t>单独授信、</w:t>
      </w:r>
      <w:r>
        <w:rPr>
          <w:rFonts w:hint="eastAsia"/>
        </w:rPr>
        <w:lastRenderedPageBreak/>
        <w:t>汇总额度</w:t>
      </w:r>
      <w:r>
        <w:t>”</w:t>
      </w:r>
      <w:r>
        <w:rPr>
          <w:rFonts w:hint="eastAsia"/>
        </w:rPr>
        <w:t>三种类型。</w:t>
      </w:r>
    </w:p>
    <w:p w:rsidR="00443665" w:rsidRDefault="00443665">
      <w:pPr>
        <w:pStyle w:val="20"/>
        <w:spacing w:line="460" w:lineRule="atLeast"/>
        <w:ind w:firstLine="482"/>
      </w:pPr>
      <w:r>
        <w:t>1</w:t>
      </w:r>
      <w:r>
        <w:rPr>
          <w:rFonts w:hint="eastAsia"/>
        </w:rPr>
        <w:t>、</w:t>
      </w:r>
      <w:r>
        <w:t>“</w:t>
      </w:r>
      <w:r>
        <w:rPr>
          <w:rFonts w:hint="eastAsia"/>
        </w:rPr>
        <w:t>整体授信、统一使用额度</w:t>
      </w:r>
      <w:r>
        <w:t>”</w:t>
      </w:r>
      <w:r>
        <w:rPr>
          <w:rFonts w:hint="eastAsia"/>
        </w:rPr>
        <w:t>授信主体为集团本部，根据集团合并报表核定最高综合授信额度，由集团本部统一承贷承还，对其下属分（子）公司不单独授信。</w:t>
      </w:r>
    </w:p>
    <w:p w:rsidR="00443665" w:rsidRDefault="00443665">
      <w:pPr>
        <w:pStyle w:val="20"/>
        <w:spacing w:line="460" w:lineRule="atLeast"/>
        <w:ind w:firstLine="482"/>
      </w:pPr>
      <w:r>
        <w:t>2</w:t>
      </w:r>
      <w:r>
        <w:rPr>
          <w:rFonts w:hint="eastAsia"/>
        </w:rPr>
        <w:t>、</w:t>
      </w:r>
      <w:r>
        <w:t>“</w:t>
      </w:r>
      <w:r>
        <w:rPr>
          <w:rFonts w:hint="eastAsia"/>
        </w:rPr>
        <w:t>整体授信、分配额度</w:t>
      </w:r>
      <w:r>
        <w:t>”</w:t>
      </w:r>
      <w:r>
        <w:rPr>
          <w:rFonts w:hint="eastAsia"/>
        </w:rPr>
        <w:t>授信主体为集团本部，根据集团合并报表核定集团最高综合授信额度，同时根据子（分）公司财务报表和资信状况分配授信额度，由其分别承贷承还。</w:t>
      </w:r>
    </w:p>
    <w:p w:rsidR="00443665" w:rsidRDefault="00443665">
      <w:pPr>
        <w:pStyle w:val="20"/>
        <w:spacing w:line="460" w:lineRule="atLeast"/>
        <w:ind w:firstLine="482"/>
      </w:pPr>
      <w:r>
        <w:t>3</w:t>
      </w:r>
      <w:r>
        <w:rPr>
          <w:rFonts w:hint="eastAsia"/>
        </w:rPr>
        <w:t>、</w:t>
      </w:r>
      <w:r>
        <w:t>“</w:t>
      </w:r>
      <w:r>
        <w:rPr>
          <w:rFonts w:hint="eastAsia"/>
        </w:rPr>
        <w:t>单独授信、汇总额度</w:t>
      </w:r>
      <w:r>
        <w:t>”</w:t>
      </w:r>
      <w:r>
        <w:rPr>
          <w:rFonts w:hint="eastAsia"/>
        </w:rPr>
        <w:t>授信主体为各独立法人公司，授信额度根据自身财务报表核定。集团各成员企业授信额度应及时上报管理行客户部门，由其汇总集团整体授信额度。</w:t>
      </w:r>
    </w:p>
    <w:p w:rsidR="00443665" w:rsidRDefault="00443665">
      <w:pPr>
        <w:pStyle w:val="20"/>
        <w:spacing w:line="460" w:lineRule="atLeast"/>
        <w:ind w:firstLine="482"/>
      </w:pPr>
      <w:r>
        <w:rPr>
          <w:rFonts w:hint="eastAsia"/>
        </w:rPr>
        <w:t>（二）针对不同类型、不同管理模式采取不同的授信方式</w:t>
      </w:r>
    </w:p>
    <w:p w:rsidR="00443665" w:rsidRDefault="00443665">
      <w:pPr>
        <w:pStyle w:val="20"/>
        <w:spacing w:line="460" w:lineRule="atLeast"/>
        <w:ind w:firstLine="482"/>
      </w:pPr>
      <w:r>
        <w:t>1</w:t>
      </w:r>
      <w:r>
        <w:rPr>
          <w:rFonts w:hint="eastAsia"/>
        </w:rPr>
        <w:t>、由若干分公司组成，财务实行统一管理、统一核算的总分制集团性客户，原则上采取</w:t>
      </w:r>
      <w:r>
        <w:t>“</w:t>
      </w:r>
      <w:r>
        <w:rPr>
          <w:rFonts w:hint="eastAsia"/>
        </w:rPr>
        <w:t>整体授信、统一使用额度</w:t>
      </w:r>
      <w:r>
        <w:t>”</w:t>
      </w:r>
      <w:r>
        <w:rPr>
          <w:rFonts w:hint="eastAsia"/>
        </w:rPr>
        <w:t>方式。</w:t>
      </w:r>
    </w:p>
    <w:p w:rsidR="00443665" w:rsidRDefault="00443665">
      <w:pPr>
        <w:pStyle w:val="20"/>
        <w:spacing w:line="460" w:lineRule="atLeast"/>
        <w:ind w:firstLine="482"/>
      </w:pPr>
      <w:r>
        <w:t>2</w:t>
      </w:r>
      <w:r>
        <w:rPr>
          <w:rFonts w:hint="eastAsia"/>
        </w:rPr>
        <w:t>、由多个法人公司组成，资金财务管理高度集权，产、供、销牛统一管理，并实行统分结合、分级管理的紧密型集团性客户，原则上采取</w:t>
      </w:r>
      <w:r>
        <w:t>“</w:t>
      </w:r>
      <w:r>
        <w:rPr>
          <w:rFonts w:hint="eastAsia"/>
        </w:rPr>
        <w:t>整体授信、分配额度</w:t>
      </w:r>
      <w:r>
        <w:t>”</w:t>
      </w:r>
      <w:r>
        <w:rPr>
          <w:rFonts w:hint="eastAsia"/>
        </w:rPr>
        <w:t>的方式。</w:t>
      </w:r>
    </w:p>
    <w:p w:rsidR="00443665" w:rsidRDefault="00443665">
      <w:pPr>
        <w:pStyle w:val="20"/>
        <w:spacing w:line="460" w:lineRule="atLeast"/>
        <w:ind w:firstLine="482"/>
      </w:pPr>
      <w:r>
        <w:t>3</w:t>
      </w:r>
      <w:r>
        <w:rPr>
          <w:rFonts w:hint="eastAsia"/>
        </w:rPr>
        <w:t>、资产主要集中在子公司，集团本部不从事生产经营活动，无营业收入和现金流的控股管理型集团性客户，原则上采取</w:t>
      </w:r>
      <w:r>
        <w:t>“</w:t>
      </w:r>
      <w:r>
        <w:rPr>
          <w:rFonts w:hint="eastAsia"/>
        </w:rPr>
        <w:t>单独授信、汇总额度</w:t>
      </w:r>
      <w:r>
        <w:t>”</w:t>
      </w:r>
      <w:r>
        <w:rPr>
          <w:rFonts w:hint="eastAsia"/>
        </w:rPr>
        <w:t>方式，不对集团本部授信。但如实行统贷统还融资方式的此类集团性客户，集团本部掌握下属企业资金筹集及调配权的，也可采取</w:t>
      </w:r>
      <w:r>
        <w:t>“</w:t>
      </w:r>
      <w:r>
        <w:rPr>
          <w:rFonts w:hint="eastAsia"/>
        </w:rPr>
        <w:t>整体授信、分配额度</w:t>
      </w:r>
      <w:r>
        <w:t>”</w:t>
      </w:r>
      <w:r>
        <w:rPr>
          <w:rFonts w:hint="eastAsia"/>
        </w:rPr>
        <w:t>方式。</w:t>
      </w:r>
    </w:p>
    <w:p w:rsidR="00443665" w:rsidRDefault="00443665">
      <w:pPr>
        <w:pStyle w:val="20"/>
        <w:spacing w:line="460" w:lineRule="atLeast"/>
        <w:ind w:firstLine="482"/>
      </w:pPr>
      <w:r>
        <w:t>4</w:t>
      </w:r>
      <w:r>
        <w:rPr>
          <w:rFonts w:hint="eastAsia"/>
        </w:rPr>
        <w:t>、以资金、技术、设备、供销等方式联合协作，各自相对独立的松散型集团性客户，采取</w:t>
      </w:r>
      <w:r>
        <w:t>“</w:t>
      </w:r>
      <w:r>
        <w:rPr>
          <w:rFonts w:hint="eastAsia"/>
        </w:rPr>
        <w:t>单独授信、汇总额度</w:t>
      </w:r>
      <w:r>
        <w:t>”</w:t>
      </w:r>
      <w:r>
        <w:rPr>
          <w:rFonts w:hint="eastAsia"/>
        </w:rPr>
        <w:t>方式。</w:t>
      </w:r>
    </w:p>
    <w:p w:rsidR="00443665" w:rsidRDefault="00443665">
      <w:pPr>
        <w:pStyle w:val="20"/>
        <w:spacing w:line="460" w:lineRule="atLeast"/>
        <w:ind w:firstLine="482"/>
      </w:pPr>
      <w:r>
        <w:t>5</w:t>
      </w:r>
      <w:r>
        <w:rPr>
          <w:rFonts w:hint="eastAsia"/>
        </w:rPr>
        <w:t>、由同一个主要投资者个人、关键管理人员、关系密切的家庭成员控制的集团性客户，或存在其他关联关系，可能不按公允价格原则转移资产的松散型集团性客户，采取</w:t>
      </w:r>
      <w:r>
        <w:t>“</w:t>
      </w:r>
      <w:r>
        <w:rPr>
          <w:rFonts w:hint="eastAsia"/>
        </w:rPr>
        <w:t>单独授信、汇总额度</w:t>
      </w:r>
      <w:r>
        <w:t>”</w:t>
      </w:r>
      <w:r>
        <w:rPr>
          <w:rFonts w:hint="eastAsia"/>
        </w:rPr>
        <w:t>的方式。</w:t>
      </w:r>
    </w:p>
    <w:p w:rsidR="00443665" w:rsidRDefault="00443665">
      <w:pPr>
        <w:pStyle w:val="20"/>
        <w:spacing w:line="460" w:lineRule="atLeast"/>
        <w:ind w:firstLine="482"/>
      </w:pPr>
      <w:r>
        <w:rPr>
          <w:rFonts w:hint="eastAsia"/>
        </w:rPr>
        <w:t>（三）用信方式</w:t>
      </w:r>
    </w:p>
    <w:p w:rsidR="00443665" w:rsidRDefault="00443665">
      <w:pPr>
        <w:pStyle w:val="20"/>
        <w:spacing w:line="460" w:lineRule="atLeast"/>
        <w:ind w:firstLine="482"/>
        <w:rPr>
          <w:rFonts w:hint="eastAsia"/>
        </w:rPr>
      </w:pPr>
      <w:r>
        <w:t>1</w:t>
      </w:r>
      <w:r>
        <w:rPr>
          <w:rFonts w:hint="eastAsia"/>
        </w:rPr>
        <w:t>、采取</w:t>
      </w:r>
      <w:r>
        <w:t>“</w:t>
      </w:r>
      <w:r>
        <w:rPr>
          <w:rFonts w:hint="eastAsia"/>
        </w:rPr>
        <w:t>整体授信、统一使用额度</w:t>
      </w:r>
      <w:r>
        <w:t>”</w:t>
      </w:r>
      <w:r>
        <w:rPr>
          <w:rFonts w:hint="eastAsia"/>
        </w:rPr>
        <w:t>的集团性客户用信时，由集团本部作为承贷和还款主体，统一承贷承还</w:t>
      </w:r>
      <w:r>
        <w:t>。</w:t>
      </w:r>
    </w:p>
    <w:p w:rsidR="00443665" w:rsidRDefault="00443665">
      <w:pPr>
        <w:pStyle w:val="20"/>
        <w:spacing w:line="460" w:lineRule="atLeast"/>
        <w:ind w:firstLine="482"/>
      </w:pPr>
      <w:r>
        <w:t>2</w:t>
      </w:r>
      <w:r>
        <w:rPr>
          <w:rFonts w:hint="eastAsia"/>
        </w:rPr>
        <w:t>、采取</w:t>
      </w:r>
      <w:r>
        <w:t>“</w:t>
      </w:r>
      <w:r>
        <w:rPr>
          <w:rFonts w:hint="eastAsia"/>
        </w:rPr>
        <w:t>整体授信、分配额度</w:t>
      </w:r>
      <w:r>
        <w:t>”</w:t>
      </w:r>
      <w:r>
        <w:rPr>
          <w:rFonts w:hint="eastAsia"/>
        </w:rPr>
        <w:t>的集团性客户用信时，由具体用信的成员企业作为承贷主体，在核定的授信额度内用信并负责偿还。经总公司授权的分公司也可作为承贷主体，并由分公司或总公司负责偿还贷款。</w:t>
      </w:r>
    </w:p>
    <w:p w:rsidR="00443665" w:rsidRDefault="00443665">
      <w:pPr>
        <w:pStyle w:val="20"/>
        <w:spacing w:line="460" w:lineRule="atLeast"/>
        <w:ind w:firstLine="482"/>
      </w:pPr>
      <w:r>
        <w:rPr>
          <w:rFonts w:hint="eastAsia"/>
        </w:rPr>
        <w:t>授信额度分配方案可在集团整体授信额度核定时确定，也可在整体授信额度核定后具体用信时，由主办行或协办行提出申请，由管理行客户部门受理并提出分配意见，信贷管</w:t>
      </w:r>
      <w:r>
        <w:rPr>
          <w:rFonts w:hint="eastAsia"/>
        </w:rPr>
        <w:lastRenderedPageBreak/>
        <w:t>理部门会签，行长审批后执行，同时向原审批行备案。</w:t>
      </w:r>
    </w:p>
    <w:p w:rsidR="00443665" w:rsidRDefault="00443665">
      <w:pPr>
        <w:pStyle w:val="20"/>
        <w:spacing w:line="460" w:lineRule="atLeast"/>
        <w:ind w:firstLine="482"/>
      </w:pPr>
      <w:r>
        <w:rPr>
          <w:rFonts w:hint="eastAsia"/>
        </w:rPr>
        <w:t>授信额度分配后，如需在各成员之间进行调剂的，可由主办行或协办行提出申请，风险没有增加的，由管理行客户部门进行调整；风险增加的，由管理行客户部门受理提出分配意见，信贷管理部门会签，行长审批后执行。调配后的授信额度，不能超过单个子公司最高理论测算授信额度。</w:t>
      </w:r>
    </w:p>
    <w:p w:rsidR="00443665" w:rsidRDefault="00443665">
      <w:pPr>
        <w:pStyle w:val="20"/>
        <w:spacing w:line="460" w:lineRule="atLeast"/>
        <w:ind w:firstLine="482"/>
      </w:pPr>
      <w:r>
        <w:rPr>
          <w:rFonts w:hint="eastAsia"/>
        </w:rPr>
        <w:t>集团授信额度核定后，其成员企业因特殊原因需增加授信（突破集团原审批的授信额度），由主办行或协办行提出申请，逐级上报原审批行客户部门受理并提出增加授信的意见，信贷管理部门会签，行长审批后执行。</w:t>
      </w:r>
    </w:p>
    <w:p w:rsidR="00443665" w:rsidRDefault="00443665">
      <w:pPr>
        <w:pStyle w:val="20"/>
        <w:spacing w:line="460" w:lineRule="atLeast"/>
        <w:ind w:firstLine="482"/>
      </w:pPr>
      <w:r>
        <w:t>3</w:t>
      </w:r>
      <w:r>
        <w:rPr>
          <w:rFonts w:hint="eastAsia"/>
        </w:rPr>
        <w:t>、采取</w:t>
      </w:r>
      <w:r>
        <w:t>“</w:t>
      </w:r>
      <w:r>
        <w:rPr>
          <w:rFonts w:hint="eastAsia"/>
        </w:rPr>
        <w:t>单独授信、汇总额度</w:t>
      </w:r>
      <w:r>
        <w:t>”</w:t>
      </w:r>
      <w:r>
        <w:rPr>
          <w:rFonts w:hint="eastAsia"/>
        </w:rPr>
        <w:t>的集团性客户用信时，由具体用信的成员企业作为承贷主体，并负责偿还。各级行在核定集团性客户授信额度时应及时将信息上报管理行，以便管理行从总体上把握集团性客户的授信总额，防止授信过度集中。</w:t>
      </w:r>
    </w:p>
    <w:p w:rsidR="00443665" w:rsidRDefault="00443665">
      <w:pPr>
        <w:pStyle w:val="20"/>
        <w:spacing w:line="460" w:lineRule="atLeast"/>
        <w:ind w:firstLine="482"/>
      </w:pPr>
      <w:r>
        <w:rPr>
          <w:rFonts w:hint="eastAsia"/>
        </w:rPr>
        <w:t>（四）审查中应注意的问题</w:t>
      </w:r>
    </w:p>
    <w:p w:rsidR="00443665" w:rsidRDefault="00443665">
      <w:pPr>
        <w:pStyle w:val="20"/>
        <w:spacing w:line="460" w:lineRule="atLeast"/>
        <w:ind w:firstLine="482"/>
      </w:pPr>
      <w:r>
        <w:t>1</w:t>
      </w:r>
      <w:r>
        <w:rPr>
          <w:rFonts w:hint="eastAsia"/>
        </w:rPr>
        <w:t>、判别集团性客户应以是否存在</w:t>
      </w:r>
      <w:r>
        <w:t>“</w:t>
      </w:r>
      <w:r>
        <w:rPr>
          <w:rFonts w:hint="eastAsia"/>
        </w:rPr>
        <w:t>控制</w:t>
      </w:r>
      <w:r>
        <w:t>”</w:t>
      </w:r>
      <w:r>
        <w:rPr>
          <w:rFonts w:hint="eastAsia"/>
        </w:rPr>
        <w:t>关系，或可能不按公允价格转移资产和利润为标准，可以通过研究集团性客户运作模式、财务决策机制判断关联程度，也可通过分析股权结构、高级管理人员、有关合同等线索，结合实地考察判断客户关联程度。要特别关注通过间接持股方式形成的关联关系，或通过非股权投资方式形成的关联关系，如：通过表决权转移合同、管理合同、托管合同等方式形成的控制、共同控制或重大影响关系；通过直接委派关键管理人员等方式形成的控制、共同控制或重大影响关系等。</w:t>
      </w:r>
    </w:p>
    <w:p w:rsidR="00443665" w:rsidRDefault="00443665">
      <w:pPr>
        <w:pStyle w:val="20"/>
        <w:spacing w:line="460" w:lineRule="atLeast"/>
        <w:ind w:firstLine="482"/>
      </w:pPr>
      <w:r>
        <w:t>2</w:t>
      </w:r>
      <w:r>
        <w:rPr>
          <w:rFonts w:hint="eastAsia"/>
        </w:rPr>
        <w:t>、集团性客户所提供的财务报表原则上必须经会计师事务所审计。对不按</w:t>
      </w:r>
      <w:r w:rsidR="00B8245F">
        <w:rPr>
          <w:rFonts w:hint="eastAsia"/>
        </w:rPr>
        <w:t>工行</w:t>
      </w:r>
      <w:r>
        <w:rPr>
          <w:rFonts w:hint="eastAsia"/>
        </w:rPr>
        <w:t>要求提供调查资料，尤其是财务报表等关键资料，故意隐瞒财务状况的集团性客户不得予以信贷支持。</w:t>
      </w:r>
    </w:p>
    <w:p w:rsidR="00443665" w:rsidRDefault="00443665">
      <w:pPr>
        <w:pStyle w:val="20"/>
        <w:spacing w:line="460" w:lineRule="atLeast"/>
        <w:ind w:firstLine="482"/>
      </w:pPr>
      <w:r>
        <w:t>3</w:t>
      </w:r>
      <w:r>
        <w:rPr>
          <w:rFonts w:hint="eastAsia"/>
        </w:rPr>
        <w:t>、对主营业务不突出，财务制度不健全、关联交易不按照市场规则进行，关联关系不明显、无法充分掌握关联方信息，或客户不愿意提供关联方信息的集团性客户，应审慎介入。</w:t>
      </w:r>
    </w:p>
    <w:p w:rsidR="00443665" w:rsidRDefault="00443665">
      <w:pPr>
        <w:pStyle w:val="20"/>
        <w:spacing w:line="460" w:lineRule="atLeast"/>
        <w:ind w:firstLine="482"/>
      </w:pPr>
      <w:r>
        <w:rPr>
          <w:rFonts w:hint="eastAsia"/>
        </w:rPr>
        <w:t>对单纯依靠银行信用膨胀进行规模扩张的家族式民营企业，公司治理混乱、涉足股市、期市等高风险市场、资本运作频繁的集团性客户，要严格控制其授信额度，并作为重点关注和风险监控对象，建立逐步退出机制。</w:t>
      </w:r>
    </w:p>
    <w:p w:rsidR="00443665" w:rsidRDefault="00443665">
      <w:pPr>
        <w:pStyle w:val="20"/>
        <w:spacing w:line="460" w:lineRule="atLeast"/>
        <w:ind w:firstLine="482"/>
      </w:pPr>
      <w:r>
        <w:t>4</w:t>
      </w:r>
      <w:r>
        <w:rPr>
          <w:rFonts w:hint="eastAsia"/>
        </w:rPr>
        <w:t>、审查抵（质）押物的权属，抵（质）押人必须依法享有对抵质押物的所有权或处分权。不得接受集团本部以自己的名义将子公司的资产向银行进行抵押。</w:t>
      </w:r>
    </w:p>
    <w:p w:rsidR="00443665" w:rsidRDefault="00443665">
      <w:pPr>
        <w:pStyle w:val="20"/>
        <w:spacing w:line="460" w:lineRule="atLeast"/>
        <w:ind w:firstLine="482"/>
      </w:pPr>
      <w:r>
        <w:lastRenderedPageBreak/>
        <w:t>5</w:t>
      </w:r>
      <w:r>
        <w:rPr>
          <w:rFonts w:hint="eastAsia"/>
        </w:rPr>
        <w:t>、对集团本部为子公司或关联公司提供保证担保的，应严格审查集团本部实际担保能力，严禁接受以空壳的集团本部为所属企业提供的保证担保。原则上不接受子公司或参股公司为集团本部提供的保证担保，可以采用以集团公司所持有的子公司或参股公司股份设定质押担保。如要接受子公司为其股东提供保证担保的，应认真研究子公司章程，按规定程序和权限办理担保手续，确保担保的效力。不得接受上市公司为股东所提供的担保。</w:t>
      </w:r>
    </w:p>
    <w:p w:rsidR="00443665" w:rsidRDefault="00443665">
      <w:pPr>
        <w:pStyle w:val="20"/>
        <w:spacing w:line="460" w:lineRule="atLeast"/>
        <w:ind w:firstLine="482"/>
      </w:pPr>
      <w:r>
        <w:t>6</w:t>
      </w:r>
      <w:r>
        <w:rPr>
          <w:rFonts w:hint="eastAsia"/>
        </w:rPr>
        <w:t>、对不具备法人资格的分公司申请贷款或提供担保的，要有其总公司明确的书面授权，并严格在其总公司的授权范围内办理信贷业务。</w:t>
      </w:r>
    </w:p>
    <w:p w:rsidR="00443665" w:rsidRDefault="00443665">
      <w:pPr>
        <w:pStyle w:val="20"/>
        <w:spacing w:line="460" w:lineRule="atLeast"/>
        <w:ind w:firstLine="482"/>
      </w:pPr>
      <w:r>
        <w:t>7</w:t>
      </w:r>
      <w:r>
        <w:rPr>
          <w:rFonts w:hint="eastAsia"/>
        </w:rPr>
        <w:t>、集团内各关联企业之间相互担保或循环担保额度不得超过集团整体授信额度的</w:t>
      </w:r>
      <w:r>
        <w:t>30</w:t>
      </w:r>
      <w:r>
        <w:rPr>
          <w:rFonts w:hint="eastAsia"/>
        </w:rPr>
        <w:t>％。对于超过的部分，应相应扣减集团整体授信额度。</w:t>
      </w:r>
    </w:p>
    <w:p w:rsidR="00443665" w:rsidRDefault="00443665">
      <w:pPr>
        <w:pStyle w:val="20"/>
        <w:spacing w:line="460" w:lineRule="atLeast"/>
        <w:ind w:firstLine="482"/>
      </w:pPr>
      <w:r>
        <w:t>8</w:t>
      </w:r>
      <w:r>
        <w:rPr>
          <w:rFonts w:hint="eastAsia"/>
        </w:rPr>
        <w:t>、对民营企业可尝试增加股东的连带保证担保和还款责任。</w:t>
      </w:r>
    </w:p>
    <w:p w:rsidR="00443665" w:rsidRDefault="00443665">
      <w:pPr>
        <w:pStyle w:val="20"/>
        <w:spacing w:line="460" w:lineRule="atLeast"/>
        <w:ind w:firstLine="482"/>
      </w:pPr>
      <w:r>
        <w:rPr>
          <w:rFonts w:hint="eastAsia"/>
        </w:rPr>
        <w:t>六、人民币贷款定价审查</w:t>
      </w:r>
    </w:p>
    <w:p w:rsidR="00443665" w:rsidRDefault="00443665">
      <w:pPr>
        <w:pStyle w:val="20"/>
        <w:spacing w:line="460" w:lineRule="atLeast"/>
        <w:ind w:firstLine="482"/>
      </w:pPr>
      <w:r>
        <w:rPr>
          <w:rFonts w:hint="eastAsia"/>
        </w:rPr>
        <w:t>人民币贷款定价管理是指在中国人民银行规定的贷款基准利率和利率浮动范围内，</w:t>
      </w:r>
      <w:r w:rsidR="00B8245F">
        <w:rPr>
          <w:rFonts w:hint="eastAsia"/>
        </w:rPr>
        <w:t>工行</w:t>
      </w:r>
      <w:r>
        <w:rPr>
          <w:rFonts w:hint="eastAsia"/>
        </w:rPr>
        <w:t>根据成本、效益、风险和信贷政策等因素确定贷款执行利率的管理行为。客户部门根据定价管理办法，针对信贷业务的区域差异、客户类别和风险程度，就单一客户或单笔信贷业务提出具体定价方案（包括计息方式），信贷管理部门负责对具体定价方案提出审查意见。</w:t>
      </w:r>
    </w:p>
    <w:p w:rsidR="00443665" w:rsidRDefault="00443665">
      <w:pPr>
        <w:pStyle w:val="20"/>
        <w:spacing w:line="460" w:lineRule="atLeast"/>
        <w:ind w:firstLine="482"/>
      </w:pPr>
      <w:r>
        <w:rPr>
          <w:rFonts w:hint="eastAsia"/>
        </w:rPr>
        <w:t>（一）</w:t>
      </w:r>
      <w:r w:rsidR="00B8245F">
        <w:rPr>
          <w:rFonts w:hint="eastAsia"/>
        </w:rPr>
        <w:t>工行</w:t>
      </w:r>
      <w:r>
        <w:rPr>
          <w:rFonts w:hint="eastAsia"/>
        </w:rPr>
        <w:t>现行人民币贷款定价主要规定</w:t>
      </w:r>
    </w:p>
    <w:p w:rsidR="00443665" w:rsidRDefault="00443665">
      <w:pPr>
        <w:pStyle w:val="20"/>
        <w:spacing w:line="460" w:lineRule="atLeast"/>
        <w:ind w:firstLine="482"/>
      </w:pPr>
      <w:r>
        <w:t>1</w:t>
      </w:r>
      <w:r>
        <w:rPr>
          <w:rFonts w:hint="eastAsia"/>
        </w:rPr>
        <w:t>、计结息方式。</w:t>
      </w:r>
    </w:p>
    <w:p w:rsidR="00443665" w:rsidRDefault="00443665">
      <w:pPr>
        <w:pStyle w:val="20"/>
        <w:spacing w:line="460" w:lineRule="atLeast"/>
        <w:ind w:firstLine="482"/>
      </w:pPr>
      <w:r>
        <w:rPr>
          <w:rFonts w:hint="eastAsia"/>
        </w:rPr>
        <w:t>（</w:t>
      </w:r>
      <w:r>
        <w:t>1</w:t>
      </w:r>
      <w:r>
        <w:rPr>
          <w:rFonts w:hint="eastAsia"/>
        </w:rPr>
        <w:t>）结息方式：法人类客户人民币各项贷款继续执行按月或按季结息两种方式，如采取其它结息方式（按半年、按年结息）需报经总行（资产负债管理部）批准。</w:t>
      </w:r>
    </w:p>
    <w:p w:rsidR="00443665" w:rsidRDefault="00443665">
      <w:pPr>
        <w:pStyle w:val="20"/>
        <w:spacing w:line="460" w:lineRule="atLeast"/>
        <w:ind w:firstLine="482"/>
      </w:pPr>
      <w:r>
        <w:rPr>
          <w:rFonts w:hint="eastAsia"/>
        </w:rPr>
        <w:t>（</w:t>
      </w:r>
      <w:r>
        <w:t>2</w:t>
      </w:r>
      <w:r>
        <w:rPr>
          <w:rFonts w:hint="eastAsia"/>
        </w:rPr>
        <w:t>）计息方式：各期限贷款可采取浮动利率或固定利率两种计息方式，具体由银行与客户商定并在合同中载明。确定选择贷款浮动利率或固定利率计息方式要以利率变动趋势的研究和预测为基础。在预测利率上升时，尽量选择浮动利率并注意缩短贷款再定价间隔期，以按月浮动或按季浮动为主要方式，不选择或少选择固定利率；在预测利率下行时，尽量选择固定利率，也可选择浮动利率但要适当延长贷款再定价间隔期。</w:t>
      </w:r>
    </w:p>
    <w:p w:rsidR="00443665" w:rsidRDefault="00443665">
      <w:pPr>
        <w:pStyle w:val="20"/>
        <w:spacing w:line="460" w:lineRule="atLeast"/>
        <w:ind w:firstLine="482"/>
        <w:rPr>
          <w:rFonts w:hint="eastAsia"/>
        </w:rPr>
      </w:pPr>
      <w:r>
        <w:t>2</w:t>
      </w:r>
      <w:r>
        <w:rPr>
          <w:rFonts w:hint="eastAsia"/>
        </w:rPr>
        <w:t>、贷款指导利率和执行利率的确定。</w:t>
      </w:r>
    </w:p>
    <w:p w:rsidR="00443665" w:rsidRDefault="00443665">
      <w:pPr>
        <w:pStyle w:val="20"/>
        <w:spacing w:line="460" w:lineRule="atLeast"/>
        <w:ind w:firstLine="482"/>
      </w:pPr>
      <w:r>
        <w:rPr>
          <w:rFonts w:hint="eastAsia"/>
        </w:rPr>
        <w:t>（</w:t>
      </w:r>
      <w:r>
        <w:t>1</w:t>
      </w:r>
      <w:r>
        <w:rPr>
          <w:rFonts w:hint="eastAsia"/>
        </w:rPr>
        <w:t>）对已评定信用等级的法人客户贷款主要依据信用等级制定指导利率。</w:t>
      </w:r>
    </w:p>
    <w:p w:rsidR="00443665" w:rsidRDefault="00443665">
      <w:pPr>
        <w:pStyle w:val="20"/>
        <w:spacing w:line="460" w:lineRule="atLeast"/>
        <w:ind w:firstLine="482"/>
      </w:pPr>
      <w:r>
        <w:rPr>
          <w:rFonts w:hint="eastAsia"/>
        </w:rPr>
        <w:t>（</w:t>
      </w:r>
      <w:r>
        <w:t>2</w:t>
      </w:r>
      <w:r>
        <w:rPr>
          <w:rFonts w:hint="eastAsia"/>
        </w:rPr>
        <w:t>）对未评定信用等级的法人贷款客户，在经营中现金净流量为正值的前提下，主要依据其资产负债率制定贷款指导利率。在实际执行中，根据企业经营状况，综合考虑企业</w:t>
      </w:r>
      <w:r>
        <w:rPr>
          <w:rFonts w:hint="eastAsia"/>
        </w:rPr>
        <w:lastRenderedPageBreak/>
        <w:t>资产利润率、总投资、产业行业政策和投资方综合实力等方面具体情况，在指导利率基础上进行适当调整。</w:t>
      </w:r>
    </w:p>
    <w:p w:rsidR="00443665" w:rsidRDefault="00443665">
      <w:pPr>
        <w:pStyle w:val="20"/>
        <w:spacing w:line="460" w:lineRule="atLeast"/>
        <w:ind w:firstLine="482"/>
      </w:pPr>
      <w:r>
        <w:rPr>
          <w:rFonts w:hint="eastAsia"/>
        </w:rPr>
        <w:t>（</w:t>
      </w:r>
      <w:r>
        <w:t>3</w:t>
      </w:r>
      <w:r>
        <w:rPr>
          <w:rFonts w:hint="eastAsia"/>
        </w:rPr>
        <w:t>）对因各类原因无法按照客户信用等级和资产负债率进行定价管理的法人客户贷款，由贷款行在成本效益测算的基础上，根据收回贷款本息的保证程度、行业违约率的高低，确定定价标准或实际执行利率，并保持合理的利率浮动幅度。</w:t>
      </w:r>
    </w:p>
    <w:p w:rsidR="00443665" w:rsidRDefault="00443665">
      <w:pPr>
        <w:pStyle w:val="20"/>
        <w:spacing w:line="460" w:lineRule="atLeast"/>
        <w:ind w:firstLine="482"/>
      </w:pPr>
      <w:r>
        <w:rPr>
          <w:rFonts w:hint="eastAsia"/>
        </w:rPr>
        <w:t>（</w:t>
      </w:r>
      <w:r>
        <w:t>4</w:t>
      </w:r>
      <w:r>
        <w:rPr>
          <w:rFonts w:hint="eastAsia"/>
        </w:rPr>
        <w:t>）根据国家产业政策、技术标准、环保标准和银行信贷政策，对国家宏观调控中进行风险提示的重点行业，技术标准、环保标准偏低的企业和列入重点退出的客户加大利率风险权重，扩大利率上浮幅度。信贷审查人员可根据有关规定，对客户加载风险定价系数。</w:t>
      </w:r>
    </w:p>
    <w:p w:rsidR="00443665" w:rsidRDefault="00443665">
      <w:pPr>
        <w:pStyle w:val="20"/>
        <w:spacing w:line="460" w:lineRule="atLeast"/>
        <w:ind w:firstLine="482"/>
      </w:pPr>
      <w:r>
        <w:t>3</w:t>
      </w:r>
      <w:r>
        <w:rPr>
          <w:rFonts w:hint="eastAsia"/>
        </w:rPr>
        <w:t>、中长期贷款定价管理。</w:t>
      </w:r>
    </w:p>
    <w:p w:rsidR="00443665" w:rsidRDefault="00443665">
      <w:pPr>
        <w:pStyle w:val="20"/>
        <w:spacing w:line="460" w:lineRule="atLeast"/>
        <w:ind w:firstLine="482"/>
      </w:pPr>
      <w:r>
        <w:rPr>
          <w:rFonts w:hint="eastAsia"/>
        </w:rPr>
        <w:t>（</w:t>
      </w:r>
      <w:r>
        <w:t>1</w:t>
      </w:r>
      <w:r>
        <w:rPr>
          <w:rFonts w:hint="eastAsia"/>
        </w:rPr>
        <w:t>）对五年以上长期贷款以总行制定的分档利率为定价基准。五年期以上长期贷款各期限档次利率实行上下浮动，最高上浮幅度不限，最低下浮不得低于人民银行规定的五年以上贷款利率下限，并由一级分行按贷款定价管理的需要具体掌握。</w:t>
      </w:r>
    </w:p>
    <w:p w:rsidR="00443665" w:rsidRDefault="00443665">
      <w:pPr>
        <w:pStyle w:val="20"/>
        <w:spacing w:line="460" w:lineRule="atLeast"/>
        <w:ind w:firstLine="482"/>
      </w:pPr>
      <w:r>
        <w:rPr>
          <w:rFonts w:hint="eastAsia"/>
        </w:rPr>
        <w:t>（</w:t>
      </w:r>
      <w:r>
        <w:t>2</w:t>
      </w:r>
      <w:r>
        <w:rPr>
          <w:rFonts w:hint="eastAsia"/>
        </w:rPr>
        <w:t>）对在基准利率基础上下浮的中长期贷款，未经总行批准，不得实行固定利率。</w:t>
      </w:r>
    </w:p>
    <w:p w:rsidR="00443665" w:rsidRDefault="00443665">
      <w:pPr>
        <w:pStyle w:val="20"/>
        <w:spacing w:line="460" w:lineRule="atLeast"/>
        <w:ind w:firstLine="482"/>
      </w:pPr>
      <w:r>
        <w:rPr>
          <w:rFonts w:hint="eastAsia"/>
        </w:rPr>
        <w:t>（</w:t>
      </w:r>
      <w:r>
        <w:t>3</w:t>
      </w:r>
      <w:r>
        <w:rPr>
          <w:rFonts w:hint="eastAsia"/>
        </w:rPr>
        <w:t>）对总行审批的项目贷款，由总行（资产负债管理部门提出意见并报贷审会审议）根据市场营销和利率风险管理需要确定是否实行固定利率。对一级分行审批的期限在</w:t>
      </w:r>
      <w:r>
        <w:t>3</w:t>
      </w:r>
      <w:r>
        <w:rPr>
          <w:rFonts w:hint="eastAsia"/>
        </w:rPr>
        <w:t>年以上的项目贷款实行固定利率，须报总行（资产负债管理部和信贷管理部）批准。二级分行及以下机构审批的</w:t>
      </w:r>
      <w:r>
        <w:t>1</w:t>
      </w:r>
      <w:r>
        <w:rPr>
          <w:rFonts w:hint="eastAsia"/>
        </w:rPr>
        <w:t>年期以上贷款原则上不得实行固定利率。</w:t>
      </w:r>
    </w:p>
    <w:p w:rsidR="00443665" w:rsidRDefault="00443665">
      <w:pPr>
        <w:pStyle w:val="20"/>
        <w:spacing w:line="460" w:lineRule="atLeast"/>
        <w:ind w:firstLine="482"/>
      </w:pPr>
      <w:r>
        <w:rPr>
          <w:rFonts w:hint="eastAsia"/>
        </w:rPr>
        <w:t>（</w:t>
      </w:r>
      <w:r>
        <w:t>4</w:t>
      </w:r>
      <w:r>
        <w:rPr>
          <w:rFonts w:hint="eastAsia"/>
        </w:rPr>
        <w:t>）对</w:t>
      </w:r>
      <w:r>
        <w:t>2003</w:t>
      </w:r>
      <w:r>
        <w:rPr>
          <w:rFonts w:hint="eastAsia"/>
        </w:rPr>
        <w:t>年底前发放的中长期贷款可继续实行一年一定的再定价规则，也可根据利率变动趋势和利率风险管理的需要，与客户协商，从</w:t>
      </w:r>
      <w:r>
        <w:t>2004</w:t>
      </w:r>
      <w:r>
        <w:rPr>
          <w:rFonts w:hint="eastAsia"/>
        </w:rPr>
        <w:t>年开始调整为按月、按季、按半年等间隔期再定价。</w:t>
      </w:r>
    </w:p>
    <w:p w:rsidR="00443665" w:rsidRDefault="00443665">
      <w:pPr>
        <w:pStyle w:val="20"/>
        <w:spacing w:line="460" w:lineRule="atLeast"/>
        <w:ind w:firstLine="482"/>
      </w:pPr>
      <w:r>
        <w:t>4</w:t>
      </w:r>
      <w:r>
        <w:rPr>
          <w:rFonts w:hint="eastAsia"/>
        </w:rPr>
        <w:t>、利率管理授权与审批。</w:t>
      </w:r>
    </w:p>
    <w:p w:rsidR="00443665" w:rsidRDefault="00443665">
      <w:pPr>
        <w:pStyle w:val="20"/>
        <w:spacing w:line="460" w:lineRule="atLeast"/>
        <w:ind w:firstLine="482"/>
      </w:pPr>
      <w:r>
        <w:rPr>
          <w:rFonts w:hint="eastAsia"/>
        </w:rPr>
        <w:t>（</w:t>
      </w:r>
      <w:r>
        <w:t>1</w:t>
      </w:r>
      <w:r>
        <w:rPr>
          <w:rFonts w:hint="eastAsia"/>
        </w:rPr>
        <w:t>）</w:t>
      </w:r>
      <w:r>
        <w:t>A</w:t>
      </w:r>
      <w:r>
        <w:rPr>
          <w:rFonts w:hint="eastAsia"/>
        </w:rPr>
        <w:t>、</w:t>
      </w:r>
      <w:r>
        <w:t>B</w:t>
      </w:r>
      <w:r>
        <w:rPr>
          <w:rFonts w:hint="eastAsia"/>
        </w:rPr>
        <w:t>类行最低可按总行规定的指导利率（指同期同档贷款基准利率基础上的浮动幅度，下同）下浮</w:t>
      </w:r>
      <w:r>
        <w:t>10</w:t>
      </w:r>
      <w:r>
        <w:rPr>
          <w:rFonts w:hint="eastAsia"/>
        </w:rPr>
        <w:t>％对下制定贷款分类指导利率或确定执行利率。</w:t>
      </w:r>
    </w:p>
    <w:p w:rsidR="00443665" w:rsidRDefault="00443665">
      <w:pPr>
        <w:pStyle w:val="20"/>
        <w:spacing w:line="460" w:lineRule="atLeast"/>
        <w:ind w:firstLine="482"/>
      </w:pPr>
      <w:r>
        <w:rPr>
          <w:rFonts w:hint="eastAsia"/>
        </w:rPr>
        <w:t>（</w:t>
      </w:r>
      <w:r>
        <w:t>2</w:t>
      </w:r>
      <w:r>
        <w:rPr>
          <w:rFonts w:hint="eastAsia"/>
        </w:rPr>
        <w:t>）</w:t>
      </w:r>
      <w:r>
        <w:t>C</w:t>
      </w:r>
      <w:r>
        <w:rPr>
          <w:rFonts w:hint="eastAsia"/>
        </w:rPr>
        <w:t>、</w:t>
      </w:r>
      <w:r>
        <w:t>D</w:t>
      </w:r>
      <w:r>
        <w:rPr>
          <w:rFonts w:hint="eastAsia"/>
        </w:rPr>
        <w:t>类行对信用等级</w:t>
      </w:r>
      <w:r>
        <w:t>AAA</w:t>
      </w:r>
      <w:r>
        <w:rPr>
          <w:rFonts w:hint="eastAsia"/>
        </w:rPr>
        <w:t>级及以上客户最低可按总行规定的指导利率下浮</w:t>
      </w:r>
      <w:r>
        <w:t>10</w:t>
      </w:r>
      <w:r>
        <w:rPr>
          <w:rFonts w:hint="eastAsia"/>
        </w:rPr>
        <w:t>%</w:t>
      </w:r>
      <w:r>
        <w:rPr>
          <w:rFonts w:hint="eastAsia"/>
        </w:rPr>
        <w:t>对下制定贷款指导利率或确定执行利率；对信用等级</w:t>
      </w:r>
      <w:r>
        <w:t>AA</w:t>
      </w:r>
      <w:r>
        <w:rPr>
          <w:rFonts w:hint="eastAsia"/>
        </w:rPr>
        <w:t>＋级及</w:t>
      </w:r>
      <w:r>
        <w:t>AA</w:t>
      </w:r>
      <w:r>
        <w:rPr>
          <w:rFonts w:hint="eastAsia"/>
        </w:rPr>
        <w:t>级客户最低可按总行规定的指导利率下浮</w:t>
      </w:r>
      <w:r>
        <w:t>5</w:t>
      </w:r>
      <w:r>
        <w:rPr>
          <w:rFonts w:hint="eastAsia"/>
        </w:rPr>
        <w:t>％对下制定贷款指导利率或确定执行利率；对信用等级</w:t>
      </w:r>
      <w:r>
        <w:t>A</w:t>
      </w:r>
      <w:r>
        <w:rPr>
          <w:rFonts w:hint="eastAsia"/>
        </w:rPr>
        <w:t>＋级（含）以下客户最低按总行规定的指导利率对下制定贷款指导利率或确定执行利率。</w:t>
      </w:r>
    </w:p>
    <w:p w:rsidR="00443665" w:rsidRDefault="00443665">
      <w:pPr>
        <w:pStyle w:val="20"/>
        <w:spacing w:line="460" w:lineRule="atLeast"/>
        <w:ind w:firstLine="482"/>
      </w:pPr>
      <w:r>
        <w:rPr>
          <w:rFonts w:hint="eastAsia"/>
        </w:rPr>
        <w:t>（</w:t>
      </w:r>
      <w:r>
        <w:t>3</w:t>
      </w:r>
      <w:r>
        <w:rPr>
          <w:rFonts w:hint="eastAsia"/>
        </w:rPr>
        <w:t>）对总行统一授权的优势行业的重点客户、对总行将贷款意向书、银企合作框架协议意向额度审批权限全部授予一级分行的垄断性大中城市公用事业客户、对总行认定的低</w:t>
      </w:r>
      <w:r>
        <w:rPr>
          <w:rFonts w:hint="eastAsia"/>
        </w:rPr>
        <w:lastRenderedPageBreak/>
        <w:t>风险业务品种，一级分行的利率管理权限为同期同档贷款基准利率下浮</w:t>
      </w:r>
      <w:r>
        <w:t>10</w:t>
      </w:r>
      <w:r>
        <w:rPr>
          <w:rFonts w:hint="eastAsia"/>
        </w:rPr>
        <w:t>%</w:t>
      </w:r>
      <w:r>
        <w:rPr>
          <w:rFonts w:hint="eastAsia"/>
        </w:rPr>
        <w:t>，在执行中区分企业信用等级、贷款企业具体情况以及成本、效益测算情况，并参照当地金融机构同类业务利率水平具体掌握。</w:t>
      </w:r>
    </w:p>
    <w:p w:rsidR="00443665" w:rsidRDefault="00443665">
      <w:pPr>
        <w:pStyle w:val="20"/>
        <w:spacing w:line="460" w:lineRule="atLeast"/>
        <w:ind w:firstLine="482"/>
      </w:pPr>
      <w:r>
        <w:rPr>
          <w:rFonts w:hint="eastAsia"/>
        </w:rPr>
        <w:t>（</w:t>
      </w:r>
      <w:r>
        <w:t>4</w:t>
      </w:r>
      <w:r>
        <w:rPr>
          <w:rFonts w:hint="eastAsia"/>
        </w:rPr>
        <w:t>）一级分行在总行利率授权的标准范围内，确定下级行的利率管理权限，建立利率审批制度。一级分行对下级行进行基准利率下浮的业务转授权，须报总行备案并进行说明。</w:t>
      </w:r>
    </w:p>
    <w:p w:rsidR="00443665" w:rsidRDefault="00443665">
      <w:pPr>
        <w:pStyle w:val="20"/>
        <w:spacing w:line="460" w:lineRule="atLeast"/>
        <w:ind w:firstLine="482"/>
      </w:pPr>
      <w:r>
        <w:rPr>
          <w:rFonts w:hint="eastAsia"/>
        </w:rPr>
        <w:t>（</w:t>
      </w:r>
      <w:r>
        <w:t>5</w:t>
      </w:r>
      <w:r>
        <w:rPr>
          <w:rFonts w:hint="eastAsia"/>
        </w:rPr>
        <w:t>）一级分行在贷款定价中有以下情形之一的，要报总行审批：对下规定的贷款指导利率超出总行授权的；对单一客户贷款利率超出总行授权的；对三年期以上贷款实行固定利率的；对变更（下调）总行贷审会确定的贷款利率的。</w:t>
      </w:r>
    </w:p>
    <w:p w:rsidR="00443665" w:rsidRDefault="00443665">
      <w:pPr>
        <w:pStyle w:val="20"/>
        <w:spacing w:line="460" w:lineRule="atLeast"/>
        <w:ind w:firstLine="482"/>
      </w:pPr>
      <w:r>
        <w:rPr>
          <w:rFonts w:hint="eastAsia"/>
        </w:rPr>
        <w:t>（二）审查应注意的问题</w:t>
      </w:r>
    </w:p>
    <w:p w:rsidR="00443665" w:rsidRDefault="00443665">
      <w:pPr>
        <w:pStyle w:val="20"/>
        <w:spacing w:line="460" w:lineRule="atLeast"/>
        <w:ind w:firstLine="482"/>
      </w:pPr>
      <w:r>
        <w:rPr>
          <w:rFonts w:hint="eastAsia"/>
        </w:rPr>
        <w:t>信贷审查人员在审查单一客户的人民币贷款定价时，应当以客户部门提交的资料为基础，按照中国</w:t>
      </w:r>
      <w:r w:rsidR="00B8245F">
        <w:rPr>
          <w:rFonts w:hint="eastAsia"/>
        </w:rPr>
        <w:t>工商</w:t>
      </w:r>
      <w:r>
        <w:rPr>
          <w:rFonts w:hint="eastAsia"/>
        </w:rPr>
        <w:t>银行人民币贷款基准利率、《中国</w:t>
      </w:r>
      <w:r w:rsidR="00B8245F">
        <w:rPr>
          <w:rFonts w:hint="eastAsia"/>
        </w:rPr>
        <w:t>工商</w:t>
      </w:r>
      <w:r>
        <w:rPr>
          <w:rFonts w:hint="eastAsia"/>
        </w:rPr>
        <w:t>银行人民币贷款指导利率及授权利率表》、《中国</w:t>
      </w:r>
      <w:r w:rsidR="00B8245F">
        <w:rPr>
          <w:rFonts w:hint="eastAsia"/>
        </w:rPr>
        <w:t>工商</w:t>
      </w:r>
      <w:r>
        <w:rPr>
          <w:rFonts w:hint="eastAsia"/>
        </w:rPr>
        <w:t>银行人民币贷款利率定价测算表》及相关规定，重点审查：</w:t>
      </w:r>
    </w:p>
    <w:p w:rsidR="00443665" w:rsidRDefault="00443665">
      <w:pPr>
        <w:pStyle w:val="20"/>
        <w:spacing w:line="460" w:lineRule="atLeast"/>
        <w:ind w:firstLine="482"/>
        <w:rPr>
          <w:rFonts w:hint="eastAsia"/>
        </w:rPr>
      </w:pPr>
      <w:r>
        <w:t>1</w:t>
      </w:r>
      <w:r>
        <w:rPr>
          <w:rFonts w:hint="eastAsia"/>
        </w:rPr>
        <w:t>、贷款定价是否以成本效益测算为基础，是否保持了合理利差。</w:t>
      </w:r>
    </w:p>
    <w:p w:rsidR="00443665" w:rsidRDefault="00443665">
      <w:pPr>
        <w:pStyle w:val="20"/>
        <w:spacing w:line="460" w:lineRule="atLeast"/>
        <w:ind w:firstLine="482"/>
      </w:pPr>
      <w:r>
        <w:rPr>
          <w:rFonts w:hint="eastAsia"/>
        </w:rPr>
        <w:t>2</w:t>
      </w:r>
      <w:r>
        <w:rPr>
          <w:rFonts w:hint="eastAsia"/>
        </w:rPr>
        <w:t>、贷款定价测算是否准确；贷款定价是否考虑信贷业务的风险程度、客户信用状况，实行了风险定价原则；是否针对不同区域、不同客户实行了差别定价原则。</w:t>
      </w:r>
    </w:p>
    <w:p w:rsidR="00443665" w:rsidRDefault="00443665">
      <w:pPr>
        <w:pStyle w:val="20"/>
        <w:spacing w:line="460" w:lineRule="atLeast"/>
        <w:ind w:firstLine="482"/>
      </w:pPr>
      <w:r>
        <w:t>3</w:t>
      </w:r>
      <w:r>
        <w:rPr>
          <w:rFonts w:hint="eastAsia"/>
        </w:rPr>
        <w:t>、贷款定价是否考虑了金融同业报价和竞争情况。</w:t>
      </w:r>
    </w:p>
    <w:p w:rsidR="00443665" w:rsidRDefault="00443665">
      <w:pPr>
        <w:pStyle w:val="20"/>
        <w:spacing w:line="460" w:lineRule="atLeast"/>
        <w:ind w:firstLine="482"/>
      </w:pPr>
      <w:r>
        <w:t>4</w:t>
      </w:r>
      <w:r>
        <w:rPr>
          <w:rFonts w:hint="eastAsia"/>
        </w:rPr>
        <w:t>、贷款定价是否符合相关制度规定。</w:t>
      </w:r>
    </w:p>
    <w:p w:rsidR="00443665" w:rsidRDefault="00443665">
      <w:pPr>
        <w:pStyle w:val="20"/>
        <w:spacing w:line="460" w:lineRule="atLeast"/>
        <w:ind w:firstLine="482"/>
      </w:pPr>
      <w:r>
        <w:rPr>
          <w:rFonts w:hint="eastAsia"/>
        </w:rPr>
        <w:t>七、客户部门或下级行调查工作是否尽职审查</w:t>
      </w:r>
    </w:p>
    <w:p w:rsidR="00443665" w:rsidRDefault="00443665">
      <w:pPr>
        <w:pStyle w:val="20"/>
        <w:spacing w:line="460" w:lineRule="atLeast"/>
        <w:ind w:firstLine="482"/>
      </w:pPr>
      <w:r>
        <w:rPr>
          <w:rFonts w:hint="eastAsia"/>
        </w:rPr>
        <w:t>审查人员应当根据银监会颁布的《商业银行授信工作尽职指引》及</w:t>
      </w:r>
      <w:r w:rsidR="00B8245F">
        <w:rPr>
          <w:rFonts w:hint="eastAsia"/>
        </w:rPr>
        <w:t>工行</w:t>
      </w:r>
      <w:r>
        <w:rPr>
          <w:rFonts w:hint="eastAsia"/>
        </w:rPr>
        <w:t>信贷业务调查有关规定，对客户部门移送或下级行报送的信贷业务进行调查尽职审查。所谓调查尽职是指客户部门或下级行根据有关规定对受理的信贷业务履行了最基本的职责。对客户部门或下级行未尽职调查的，审查人员应在审查报告中揭示并进行风险提示。</w:t>
      </w:r>
    </w:p>
    <w:p w:rsidR="00443665" w:rsidRDefault="00443665">
      <w:pPr>
        <w:pStyle w:val="20"/>
        <w:spacing w:line="460" w:lineRule="atLeast"/>
        <w:ind w:firstLine="482"/>
      </w:pPr>
      <w:r>
        <w:rPr>
          <w:rFonts w:hint="eastAsia"/>
        </w:rPr>
        <w:t>（一）调查尽职审查的主要内容</w:t>
      </w:r>
    </w:p>
    <w:p w:rsidR="00443665" w:rsidRDefault="00443665">
      <w:pPr>
        <w:pStyle w:val="20"/>
        <w:spacing w:line="460" w:lineRule="atLeast"/>
        <w:ind w:firstLine="482"/>
      </w:pPr>
      <w:r>
        <w:t>1</w:t>
      </w:r>
      <w:r>
        <w:rPr>
          <w:rFonts w:hint="eastAsia"/>
        </w:rPr>
        <w:t>、信贷调查是否根据要求搜集客户基本资料，资料是否齐全。</w:t>
      </w:r>
    </w:p>
    <w:p w:rsidR="00443665" w:rsidRDefault="00443665">
      <w:pPr>
        <w:pStyle w:val="20"/>
        <w:spacing w:line="460" w:lineRule="atLeast"/>
        <w:ind w:firstLine="482"/>
      </w:pPr>
      <w:r>
        <w:t>2</w:t>
      </w:r>
      <w:r>
        <w:rPr>
          <w:rFonts w:hint="eastAsia"/>
        </w:rPr>
        <w:t>、信贷调查是否搜集集团客户及关联客户的有关信息，对可能出现的授信集中风险、过度授倍、关联客户授信风险是否充分揭示。</w:t>
      </w:r>
    </w:p>
    <w:p w:rsidR="00443665" w:rsidRDefault="00443665">
      <w:pPr>
        <w:pStyle w:val="20"/>
        <w:spacing w:line="460" w:lineRule="atLeast"/>
        <w:ind w:firstLine="482"/>
      </w:pPr>
      <w:r>
        <w:t>3</w:t>
      </w:r>
      <w:r>
        <w:rPr>
          <w:rFonts w:hint="eastAsia"/>
        </w:rPr>
        <w:t>、对客户提供的身份证明、主体资格、财务状况、担保情况等资料的合法性、真实性和有效性是否进行了核实，并将核实的过程和核实结果进行书面记载。</w:t>
      </w:r>
    </w:p>
    <w:p w:rsidR="00443665" w:rsidRDefault="00443665">
      <w:pPr>
        <w:pStyle w:val="20"/>
        <w:spacing w:line="460" w:lineRule="atLeast"/>
        <w:ind w:firstLine="482"/>
      </w:pPr>
      <w:r>
        <w:t>4</w:t>
      </w:r>
      <w:r>
        <w:rPr>
          <w:rFonts w:hint="eastAsia"/>
        </w:rPr>
        <w:t>、对客户的调查和资料验证是否进行了实地调查，在必要情况下，是否通过外部征信</w:t>
      </w:r>
      <w:r>
        <w:rPr>
          <w:rFonts w:hint="eastAsia"/>
        </w:rPr>
        <w:lastRenderedPageBreak/>
        <w:t>机构、政府有关部门、社会中介机构对客户资料的真实性进行核实，并将核实结果在档案资料中进行记载。</w:t>
      </w:r>
    </w:p>
    <w:p w:rsidR="00443665" w:rsidRDefault="00443665">
      <w:pPr>
        <w:pStyle w:val="20"/>
        <w:spacing w:line="460" w:lineRule="atLeast"/>
        <w:ind w:firstLine="482"/>
      </w:pPr>
      <w:r>
        <w:t>5</w:t>
      </w:r>
      <w:r>
        <w:t>、</w:t>
      </w:r>
      <w:r>
        <w:rPr>
          <w:rFonts w:hint="eastAsia"/>
        </w:rPr>
        <w:t>客户部门对客户资料补充或变更时，是否进行了真实性确认。</w:t>
      </w:r>
    </w:p>
    <w:p w:rsidR="00443665" w:rsidRDefault="00443665">
      <w:pPr>
        <w:pStyle w:val="20"/>
        <w:spacing w:line="460" w:lineRule="atLeast"/>
        <w:ind w:firstLine="482"/>
      </w:pPr>
      <w:r>
        <w:t>6</w:t>
      </w:r>
      <w:r>
        <w:rPr>
          <w:rFonts w:hint="eastAsia"/>
        </w:rPr>
        <w:t>、客户发生突发事件或重大变更时，客户部门或下级行是否及时实地调查，是否及时与审查人员沟通，并对原资料进行修改、确认。</w:t>
      </w:r>
    </w:p>
    <w:p w:rsidR="00443665" w:rsidRDefault="00443665">
      <w:pPr>
        <w:pStyle w:val="20"/>
        <w:spacing w:line="460" w:lineRule="atLeast"/>
        <w:ind w:firstLine="482"/>
      </w:pPr>
      <w:r>
        <w:t>7</w:t>
      </w:r>
      <w:r>
        <w:rPr>
          <w:rFonts w:hint="eastAsia"/>
        </w:rPr>
        <w:t>、其它调查尽职应包括的内容。</w:t>
      </w:r>
    </w:p>
    <w:p w:rsidR="00443665" w:rsidRDefault="00443665">
      <w:pPr>
        <w:pStyle w:val="20"/>
        <w:spacing w:line="460" w:lineRule="atLeast"/>
        <w:ind w:firstLine="482"/>
      </w:pPr>
      <w:r>
        <w:rPr>
          <w:rFonts w:hint="eastAsia"/>
        </w:rPr>
        <w:t>（二）未尽职调查的信号提示</w:t>
      </w:r>
    </w:p>
    <w:p w:rsidR="00443665" w:rsidRDefault="00443665">
      <w:pPr>
        <w:pStyle w:val="20"/>
        <w:spacing w:line="460" w:lineRule="atLeast"/>
        <w:ind w:firstLine="482"/>
      </w:pPr>
      <w:r>
        <w:rPr>
          <w:rFonts w:hint="eastAsia"/>
        </w:rPr>
        <w:t>审查中如发现以下问题，则客户部门或下级行可能存在未尽职行为，应作进一步的核实工作：</w:t>
      </w:r>
    </w:p>
    <w:p w:rsidR="00443665" w:rsidRDefault="00443665">
      <w:pPr>
        <w:pStyle w:val="20"/>
        <w:spacing w:line="460" w:lineRule="atLeast"/>
        <w:ind w:firstLine="482"/>
      </w:pPr>
      <w:r>
        <w:t>1</w:t>
      </w:r>
      <w:r>
        <w:rPr>
          <w:rFonts w:hint="eastAsia"/>
        </w:rPr>
        <w:t>、未对客户资料进行认真和全面核实的；</w:t>
      </w:r>
    </w:p>
    <w:p w:rsidR="00443665" w:rsidRDefault="00443665">
      <w:pPr>
        <w:pStyle w:val="20"/>
        <w:spacing w:line="460" w:lineRule="atLeast"/>
        <w:ind w:firstLine="482"/>
      </w:pPr>
      <w:r>
        <w:t>2</w:t>
      </w:r>
      <w:r>
        <w:rPr>
          <w:rFonts w:hint="eastAsia"/>
        </w:rPr>
        <w:t>、未进行实地调查的；</w:t>
      </w:r>
    </w:p>
    <w:p w:rsidR="00443665" w:rsidRDefault="00443665">
      <w:pPr>
        <w:pStyle w:val="20"/>
        <w:spacing w:line="460" w:lineRule="atLeast"/>
        <w:ind w:firstLine="482"/>
      </w:pPr>
      <w:r>
        <w:t>3</w:t>
      </w:r>
      <w:r>
        <w:rPr>
          <w:rFonts w:hint="eastAsia"/>
        </w:rPr>
        <w:t>、进行虚假记载或虚假性陈述或重大疏漏的；</w:t>
      </w:r>
    </w:p>
    <w:p w:rsidR="00443665" w:rsidRDefault="00443665">
      <w:pPr>
        <w:pStyle w:val="20"/>
        <w:spacing w:line="460" w:lineRule="atLeast"/>
        <w:ind w:firstLine="482"/>
      </w:pPr>
      <w:r>
        <w:t>4</w:t>
      </w:r>
      <w:r>
        <w:rPr>
          <w:rFonts w:hint="eastAsia"/>
        </w:rPr>
        <w:t>、客户发生重大变化和突发事件，没有及时实地调查和反馈沟通的；</w:t>
      </w:r>
    </w:p>
    <w:p w:rsidR="00443665" w:rsidRDefault="00443665">
      <w:pPr>
        <w:pStyle w:val="20"/>
        <w:spacing w:line="460" w:lineRule="atLeast"/>
        <w:ind w:firstLine="482"/>
      </w:pPr>
      <w:r>
        <w:t>5</w:t>
      </w:r>
      <w:r>
        <w:rPr>
          <w:rFonts w:hint="eastAsia"/>
        </w:rPr>
        <w:t>、调查人员拒绝在补充资料上签字确认的：</w:t>
      </w:r>
    </w:p>
    <w:p w:rsidR="00443665" w:rsidRDefault="00443665">
      <w:pPr>
        <w:pStyle w:val="20"/>
        <w:spacing w:line="460" w:lineRule="atLeast"/>
        <w:ind w:firstLine="482"/>
      </w:pPr>
      <w:r>
        <w:t>6</w:t>
      </w:r>
      <w:r>
        <w:rPr>
          <w:rFonts w:hint="eastAsia"/>
        </w:rPr>
        <w:t>、调查报告、评估报告数据前后不一致、发生重大错误的；</w:t>
      </w:r>
    </w:p>
    <w:p w:rsidR="00443665" w:rsidRDefault="00443665">
      <w:pPr>
        <w:pStyle w:val="20"/>
        <w:spacing w:line="460" w:lineRule="atLeast"/>
        <w:ind w:firstLine="482"/>
      </w:pPr>
      <w:r>
        <w:t>7</w:t>
      </w:r>
      <w:r>
        <w:rPr>
          <w:rFonts w:hint="eastAsia"/>
        </w:rPr>
        <w:t>、沟通中，主要调查人员对客户情况不清楚的；</w:t>
      </w:r>
    </w:p>
    <w:p w:rsidR="00443665" w:rsidRDefault="00443665">
      <w:pPr>
        <w:pStyle w:val="20"/>
        <w:spacing w:line="460" w:lineRule="atLeast"/>
        <w:ind w:firstLine="482"/>
      </w:pPr>
      <w:r>
        <w:t>8</w:t>
      </w:r>
      <w:r>
        <w:rPr>
          <w:rFonts w:hint="eastAsia"/>
        </w:rPr>
        <w:t>、违规授权下级行评估的。</w:t>
      </w:r>
    </w:p>
    <w:p w:rsidR="00443665" w:rsidRDefault="00443665">
      <w:pPr>
        <w:pStyle w:val="20"/>
        <w:spacing w:line="460" w:lineRule="atLeast"/>
        <w:ind w:firstLine="482"/>
      </w:pPr>
      <w:r>
        <w:rPr>
          <w:rFonts w:hint="eastAsia"/>
        </w:rPr>
        <w:t>八、内部运作规范化审查</w:t>
      </w:r>
    </w:p>
    <w:p w:rsidR="00443665" w:rsidRDefault="00443665">
      <w:pPr>
        <w:pStyle w:val="20"/>
        <w:spacing w:line="460" w:lineRule="atLeast"/>
        <w:ind w:firstLine="482"/>
      </w:pPr>
      <w:r>
        <w:rPr>
          <w:rFonts w:hint="eastAsia"/>
        </w:rPr>
        <w:t>（一）审查信贷业务运作是否符合</w:t>
      </w:r>
      <w:r w:rsidR="00B8245F">
        <w:rPr>
          <w:rFonts w:hint="eastAsia"/>
        </w:rPr>
        <w:t>工行</w:t>
      </w:r>
      <w:r>
        <w:rPr>
          <w:rFonts w:hint="eastAsia"/>
        </w:rPr>
        <w:t>规定</w:t>
      </w:r>
    </w:p>
    <w:p w:rsidR="00443665" w:rsidRDefault="00443665">
      <w:pPr>
        <w:pStyle w:val="20"/>
        <w:spacing w:line="460" w:lineRule="atLeast"/>
        <w:ind w:firstLine="482"/>
        <w:rPr>
          <w:rFonts w:hint="eastAsia"/>
        </w:rPr>
      </w:pPr>
      <w:r>
        <w:t>1</w:t>
      </w:r>
      <w:r>
        <w:rPr>
          <w:rFonts w:hint="eastAsia"/>
        </w:rPr>
        <w:t>、是否按照《信贷业务基</w:t>
      </w:r>
      <w:r>
        <w:t>zk</w:t>
      </w:r>
      <w:r>
        <w:rPr>
          <w:rFonts w:hint="eastAsia"/>
        </w:rPr>
        <w:t>规程》的有关规定，按程序办理信贷业务，有无逆程序、越程序办理信贷业务的行为</w:t>
      </w:r>
      <w:r>
        <w:t>。</w:t>
      </w:r>
    </w:p>
    <w:p w:rsidR="00443665" w:rsidRDefault="00443665">
      <w:pPr>
        <w:pStyle w:val="20"/>
        <w:spacing w:line="460" w:lineRule="atLeast"/>
        <w:ind w:firstLine="482"/>
      </w:pPr>
      <w:r>
        <w:t>2</w:t>
      </w:r>
      <w:r>
        <w:rPr>
          <w:rFonts w:hint="eastAsia"/>
        </w:rPr>
        <w:t>、下级行信贷审批是否符合</w:t>
      </w:r>
      <w:r w:rsidR="00B8245F">
        <w:rPr>
          <w:rFonts w:hint="eastAsia"/>
        </w:rPr>
        <w:t>工行</w:t>
      </w:r>
      <w:r>
        <w:rPr>
          <w:rFonts w:hint="eastAsia"/>
        </w:rPr>
        <w:t>有关授权管理规定。</w:t>
      </w:r>
    </w:p>
    <w:p w:rsidR="00443665" w:rsidRDefault="00443665">
      <w:pPr>
        <w:pStyle w:val="20"/>
        <w:spacing w:line="460" w:lineRule="atLeast"/>
        <w:ind w:firstLine="482"/>
      </w:pPr>
      <w:r>
        <w:t>3</w:t>
      </w:r>
      <w:r>
        <w:rPr>
          <w:rFonts w:hint="eastAsia"/>
        </w:rPr>
        <w:t>、下级行贷审会运作是否规范；是否按规定填写《贷款审查委员会审议表》。</w:t>
      </w:r>
    </w:p>
    <w:p w:rsidR="00443665" w:rsidRDefault="00443665">
      <w:pPr>
        <w:pStyle w:val="20"/>
        <w:spacing w:line="460" w:lineRule="atLeast"/>
        <w:ind w:firstLine="482"/>
      </w:pPr>
      <w:r>
        <w:t>4</w:t>
      </w:r>
      <w:r>
        <w:rPr>
          <w:rFonts w:hint="eastAsia"/>
        </w:rPr>
        <w:t>、是否按规定确认信贷业务各环节的主责任人。</w:t>
      </w:r>
    </w:p>
    <w:p w:rsidR="00443665" w:rsidRDefault="00443665">
      <w:pPr>
        <w:pStyle w:val="20"/>
        <w:spacing w:line="460" w:lineRule="atLeast"/>
        <w:ind w:firstLine="482"/>
      </w:pPr>
      <w:r>
        <w:t>5</w:t>
      </w:r>
      <w:r>
        <w:rPr>
          <w:rFonts w:hint="eastAsia"/>
        </w:rPr>
        <w:t>、信贷业务的受理、调查、评估是否按规定执行。</w:t>
      </w:r>
    </w:p>
    <w:p w:rsidR="00443665" w:rsidRDefault="00443665">
      <w:pPr>
        <w:pStyle w:val="20"/>
        <w:spacing w:line="460" w:lineRule="atLeast"/>
        <w:ind w:firstLine="482"/>
      </w:pPr>
      <w:r>
        <w:rPr>
          <w:rFonts w:hint="eastAsia"/>
        </w:rPr>
        <w:t>（二）审查中应注意的问题</w:t>
      </w:r>
    </w:p>
    <w:p w:rsidR="00443665" w:rsidRDefault="00443665">
      <w:pPr>
        <w:pStyle w:val="20"/>
        <w:spacing w:line="460" w:lineRule="atLeast"/>
        <w:ind w:firstLine="482"/>
      </w:pPr>
      <w:r>
        <w:t>1</w:t>
      </w:r>
      <w:r>
        <w:rPr>
          <w:rFonts w:hint="eastAsia"/>
        </w:rPr>
        <w:t>、存在逆程序、越程序办理信贷业务的，将业务退回客户部门或下级行，按程序重新办理。</w:t>
      </w:r>
    </w:p>
    <w:p w:rsidR="00443665" w:rsidRDefault="00443665">
      <w:pPr>
        <w:pStyle w:val="20"/>
        <w:spacing w:line="460" w:lineRule="atLeast"/>
        <w:ind w:firstLine="482"/>
      </w:pPr>
      <w:r>
        <w:t>2</w:t>
      </w:r>
      <w:r>
        <w:rPr>
          <w:rFonts w:hint="eastAsia"/>
        </w:rPr>
        <w:t>、下级行超授权审批信贷业务的，应通知下级行按规定的权限办理信贷业务，并报告</w:t>
      </w:r>
      <w:r>
        <w:rPr>
          <w:rFonts w:hint="eastAsia"/>
        </w:rPr>
        <w:lastRenderedPageBreak/>
        <w:t>信贷部门负责人按有关规定处理。</w:t>
      </w:r>
    </w:p>
    <w:p w:rsidR="00443665" w:rsidRDefault="00443665">
      <w:pPr>
        <w:pStyle w:val="20"/>
        <w:spacing w:line="460" w:lineRule="atLeast"/>
        <w:ind w:firstLine="482"/>
      </w:pPr>
      <w:r>
        <w:t>3</w:t>
      </w:r>
      <w:r>
        <w:rPr>
          <w:rFonts w:hint="eastAsia"/>
        </w:rPr>
        <w:t>、超权限信贷业务需下级行召开贷审会、或下级行权限内业务向上级行报备的，下级行贷审会严重违背贷审会工作规则规定的，应认定其贷审会审议结果无效，将业务退回下级行。</w:t>
      </w:r>
    </w:p>
    <w:p w:rsidR="00443665" w:rsidRDefault="00443665">
      <w:pPr>
        <w:pStyle w:val="20"/>
        <w:spacing w:line="460" w:lineRule="atLeast"/>
        <w:ind w:firstLine="482"/>
      </w:pPr>
      <w:r>
        <w:t>4</w:t>
      </w:r>
      <w:r>
        <w:rPr>
          <w:rFonts w:hint="eastAsia"/>
        </w:rPr>
        <w:t>、主责任人未按规定签字的，要求有关人员补充签字。</w:t>
      </w:r>
    </w:p>
    <w:p w:rsidR="00443665" w:rsidRDefault="00443665">
      <w:pPr>
        <w:pStyle w:val="20"/>
        <w:spacing w:line="460" w:lineRule="atLeast"/>
        <w:ind w:firstLine="482"/>
      </w:pPr>
      <w:r>
        <w:t>5</w:t>
      </w:r>
      <w:r>
        <w:rPr>
          <w:rFonts w:hint="eastAsia"/>
        </w:rPr>
        <w:t>、信贷业务未进行调查、评估的，终止信贷审查，将该信贷业务退回申报行。</w:t>
      </w:r>
    </w:p>
    <w:p w:rsidR="00443665" w:rsidRDefault="00443665">
      <w:pPr>
        <w:pStyle w:val="20"/>
        <w:spacing w:line="460" w:lineRule="atLeast"/>
        <w:ind w:firstLine="482"/>
        <w:rPr>
          <w:rFonts w:hint="eastAsia"/>
        </w:rPr>
      </w:pPr>
      <w:r>
        <w:t>6</w:t>
      </w:r>
      <w:r>
        <w:rPr>
          <w:rFonts w:hint="eastAsia"/>
        </w:rPr>
        <w:t>、信贷业务未按规定内容进行调查、评估或虽进行调查、评估，但调查或评估报告有重大漏项，财务、市场分析出现重大失误的，暂停信贷审查，应要求客户部门或下级行补充完善，或要求其重新调查、评估。</w:t>
      </w:r>
    </w:p>
    <w:p w:rsidR="00443665" w:rsidRPr="00FC6449" w:rsidRDefault="00443665" w:rsidP="00FC6449">
      <w:pPr>
        <w:overflowPunct/>
        <w:spacing w:line="240" w:lineRule="auto"/>
        <w:jc w:val="center"/>
        <w:textAlignment w:val="auto"/>
        <w:rPr>
          <w:rFonts w:ascii="Arial" w:hAnsi="Arial"/>
          <w:b/>
          <w:bCs/>
          <w:sz w:val="32"/>
        </w:rPr>
      </w:pPr>
      <w:r>
        <w:br w:type="page"/>
      </w:r>
      <w:r w:rsidRPr="00FC6449">
        <w:rPr>
          <w:rFonts w:ascii="Arial" w:hAnsi="Arial" w:hint="eastAsia"/>
          <w:b/>
          <w:bCs/>
          <w:sz w:val="32"/>
        </w:rPr>
        <w:lastRenderedPageBreak/>
        <w:t>第</w:t>
      </w:r>
      <w:r w:rsidR="00B8245F">
        <w:rPr>
          <w:rFonts w:ascii="Arial" w:hAnsi="Arial" w:hint="eastAsia"/>
          <w:b/>
          <w:bCs/>
          <w:sz w:val="32"/>
        </w:rPr>
        <w:t>二</w:t>
      </w:r>
      <w:r w:rsidRPr="00FC6449">
        <w:rPr>
          <w:rFonts w:ascii="Arial" w:hAnsi="Arial" w:hint="eastAsia"/>
          <w:b/>
          <w:bCs/>
          <w:sz w:val="32"/>
        </w:rPr>
        <w:t>章</w:t>
      </w:r>
      <w:r w:rsidR="00FC6449">
        <w:rPr>
          <w:rFonts w:ascii="Arial" w:hAnsi="Arial" w:hint="eastAsia"/>
          <w:b/>
          <w:bCs/>
          <w:sz w:val="32"/>
        </w:rPr>
        <w:t xml:space="preserve">  </w:t>
      </w:r>
      <w:r w:rsidRPr="00FC6449">
        <w:rPr>
          <w:rFonts w:ascii="Arial" w:hAnsi="Arial" w:hint="eastAsia"/>
          <w:b/>
          <w:bCs/>
          <w:sz w:val="32"/>
        </w:rPr>
        <w:t>建设条件和生产条件审查</w:t>
      </w:r>
    </w:p>
    <w:p w:rsidR="00443665" w:rsidRDefault="00443665">
      <w:pPr>
        <w:pStyle w:val="20"/>
        <w:spacing w:line="460" w:lineRule="atLeast"/>
        <w:ind w:firstLine="482"/>
      </w:pPr>
    </w:p>
    <w:p w:rsidR="00443665" w:rsidRDefault="00443665">
      <w:pPr>
        <w:pStyle w:val="20"/>
        <w:spacing w:line="460" w:lineRule="atLeast"/>
        <w:ind w:firstLine="482"/>
      </w:pPr>
      <w:r>
        <w:rPr>
          <w:rFonts w:hint="eastAsia"/>
        </w:rPr>
        <w:t>项目建设和生产条件是项目顺利实施并实现预期经济效益的必备条件，主要包括技术和工艺水平、设备选择、工程选址、原材料和能源供应、交通运输、设计和施工力量、配套设施、安全生产等方面。在审查中对上述内容应逐一进行审查，但对于不同的贷款项目，应根据上述内容对项目重要性和影响性的不同，有所侧重、突出重点。</w:t>
      </w:r>
    </w:p>
    <w:p w:rsidR="00443665" w:rsidRDefault="00443665">
      <w:pPr>
        <w:pStyle w:val="20"/>
        <w:spacing w:line="460" w:lineRule="atLeast"/>
        <w:ind w:firstLine="482"/>
      </w:pPr>
      <w:r>
        <w:rPr>
          <w:rFonts w:hint="eastAsia"/>
        </w:rPr>
        <w:t>一、技术、工艺审查</w:t>
      </w:r>
    </w:p>
    <w:p w:rsidR="00443665" w:rsidRDefault="00443665">
      <w:pPr>
        <w:pStyle w:val="20"/>
        <w:spacing w:line="460" w:lineRule="atLeast"/>
        <w:ind w:firstLine="482"/>
      </w:pPr>
      <w:r>
        <w:rPr>
          <w:rFonts w:hint="eastAsia"/>
        </w:rPr>
        <w:t>主要审查项目采用的技术、工艺的先进性、适用性、可靠性和经济合理性。</w:t>
      </w:r>
    </w:p>
    <w:p w:rsidR="00443665" w:rsidRDefault="00443665">
      <w:pPr>
        <w:pStyle w:val="20"/>
        <w:spacing w:line="460" w:lineRule="atLeast"/>
        <w:ind w:firstLine="482"/>
      </w:pPr>
      <w:r>
        <w:rPr>
          <w:rFonts w:hint="eastAsia"/>
        </w:rPr>
        <w:t>（一）先进性。审查拟采用工艺技术，对产品质量、性能、使用寿命、单位产品物耗能耗、劳动生产率、自动化水平、装备水平等方面比较、分析，判定项目技术和工艺水平的先进性。对接近国际先进水平或者居国内领先水平的项目应优先支持。如水泥行业的新型干法水泥生产线、火电行业的超临界发电机组等。</w:t>
      </w:r>
    </w:p>
    <w:p w:rsidR="00443665" w:rsidRDefault="00443665">
      <w:pPr>
        <w:pStyle w:val="20"/>
        <w:spacing w:line="460" w:lineRule="atLeast"/>
        <w:ind w:firstLine="482"/>
      </w:pPr>
      <w:r>
        <w:rPr>
          <w:rFonts w:hint="eastAsia"/>
        </w:rPr>
        <w:t>（二）适用性。通过对项目正常运行所要求的原辅材料、设备、产品性能要求和目标市场定位、员工素质和管理水平提供的可能性分析，判定技术和工艺水平的适用性。</w:t>
      </w:r>
    </w:p>
    <w:p w:rsidR="00443665" w:rsidRDefault="00443665">
      <w:pPr>
        <w:pStyle w:val="20"/>
        <w:spacing w:line="460" w:lineRule="atLeast"/>
        <w:ind w:firstLine="482"/>
      </w:pPr>
      <w:r>
        <w:rPr>
          <w:rFonts w:hint="eastAsia"/>
        </w:rPr>
        <w:t>（三）可靠性。通过对项目技术的成熟程度分析，对初试、中试结果或相同技术应用、运行情况的分析，判定技术和工艺水平的可靠性，对技术和工艺尚不成熟或不稳定的项目应保持必要的审慎。</w:t>
      </w:r>
    </w:p>
    <w:p w:rsidR="00443665" w:rsidRDefault="00443665">
      <w:pPr>
        <w:pStyle w:val="20"/>
        <w:spacing w:line="460" w:lineRule="atLeast"/>
        <w:ind w:firstLine="482"/>
      </w:pPr>
      <w:r>
        <w:rPr>
          <w:rFonts w:hint="eastAsia"/>
        </w:rPr>
        <w:t>（四）经济合理性。通过对项目技术引进费用与同类技术引进费用的对比分析，判定技术和工艺水平的经济合理性。</w:t>
      </w:r>
    </w:p>
    <w:p w:rsidR="00443665" w:rsidRDefault="00443665">
      <w:pPr>
        <w:pStyle w:val="20"/>
        <w:spacing w:line="460" w:lineRule="atLeast"/>
        <w:ind w:firstLine="482"/>
      </w:pPr>
      <w:r>
        <w:rPr>
          <w:rFonts w:hint="eastAsia"/>
        </w:rPr>
        <w:t>二、设备选型审查</w:t>
      </w:r>
    </w:p>
    <w:p w:rsidR="00443665" w:rsidRDefault="00443665">
      <w:pPr>
        <w:pStyle w:val="20"/>
        <w:spacing w:line="460" w:lineRule="atLeast"/>
        <w:ind w:firstLine="482"/>
      </w:pPr>
      <w:r>
        <w:rPr>
          <w:rFonts w:hint="eastAsia"/>
        </w:rPr>
        <w:t>（一）设备选型的可靠性。审查拟选设备是否符合政府部门或专门机构发布的技术标准要求，判定设备选型的可靠性。</w:t>
      </w:r>
    </w:p>
    <w:p w:rsidR="00443665" w:rsidRDefault="00443665">
      <w:pPr>
        <w:pStyle w:val="20"/>
        <w:spacing w:line="460" w:lineRule="atLeast"/>
        <w:ind w:firstLine="482"/>
      </w:pPr>
      <w:r>
        <w:rPr>
          <w:rFonts w:hint="eastAsia"/>
        </w:rPr>
        <w:t>（二）设备选型的适应性。对拟选设备生产能力与项目设计生产能力进行比较分析，对引进国外先进设备与原材料的特殊要求、国内配套设备、设备维修能力进行比较分析，判定设备的适应性，防止项目建成后产能无法有效发挥。</w:t>
      </w:r>
    </w:p>
    <w:p w:rsidR="00443665" w:rsidRDefault="00443665">
      <w:pPr>
        <w:pStyle w:val="20"/>
        <w:spacing w:line="460" w:lineRule="atLeast"/>
        <w:ind w:firstLine="482"/>
      </w:pPr>
      <w:r>
        <w:rPr>
          <w:rFonts w:hint="eastAsia"/>
        </w:rPr>
        <w:t>（三）设备选型的经济性。通过对拟选设备价格与同类产品的价格对比分析，以及对采购方式的合理性（是否采用招标方式等）的分析，判定拟选设备的经济性。</w:t>
      </w:r>
    </w:p>
    <w:p w:rsidR="00443665" w:rsidRDefault="00443665">
      <w:pPr>
        <w:pStyle w:val="20"/>
        <w:spacing w:line="460" w:lineRule="atLeast"/>
        <w:ind w:firstLine="482"/>
      </w:pPr>
      <w:r>
        <w:rPr>
          <w:rFonts w:hint="eastAsia"/>
        </w:rPr>
        <w:t>三、工程选址审查</w:t>
      </w:r>
    </w:p>
    <w:p w:rsidR="00443665" w:rsidRDefault="00443665">
      <w:pPr>
        <w:pStyle w:val="20"/>
        <w:spacing w:line="460" w:lineRule="atLeast"/>
        <w:ind w:firstLine="482"/>
      </w:pPr>
      <w:r>
        <w:rPr>
          <w:rFonts w:hint="eastAsia"/>
        </w:rPr>
        <w:t>工程选址合理性的审查主要应包括：</w:t>
      </w:r>
    </w:p>
    <w:p w:rsidR="00443665" w:rsidRDefault="00443665">
      <w:pPr>
        <w:pStyle w:val="20"/>
        <w:spacing w:line="460" w:lineRule="atLeast"/>
        <w:ind w:firstLine="482"/>
      </w:pPr>
      <w:r>
        <w:rPr>
          <w:rFonts w:hint="eastAsia"/>
        </w:rPr>
        <w:lastRenderedPageBreak/>
        <w:t>（一）工程选址应当符合国家和本区域产业布局和发展规划。</w:t>
      </w:r>
    </w:p>
    <w:p w:rsidR="00443665" w:rsidRDefault="00443665">
      <w:pPr>
        <w:pStyle w:val="20"/>
        <w:spacing w:line="460" w:lineRule="atLeast"/>
        <w:ind w:firstLine="482"/>
      </w:pPr>
      <w:r>
        <w:rPr>
          <w:rFonts w:hint="eastAsia"/>
        </w:rPr>
        <w:t>（二）场址地形、地貌、水文和地质条件、气象条件应当满足项目建设的要求，例如水电项目坝址地基必须具备较强的承载能力和抗洪能力。</w:t>
      </w:r>
    </w:p>
    <w:p w:rsidR="00443665" w:rsidRDefault="00443665">
      <w:pPr>
        <w:pStyle w:val="20"/>
        <w:spacing w:line="460" w:lineRule="atLeast"/>
        <w:ind w:firstLine="482"/>
      </w:pPr>
      <w:r>
        <w:rPr>
          <w:rFonts w:hint="eastAsia"/>
        </w:rPr>
        <w:t>（三）对厂址与原料产地或产品消费地的距离和交通运输等方面进行分析，审查判定厂址选择是否符合靠近原料产地或产品消费地的要求。</w:t>
      </w:r>
    </w:p>
    <w:p w:rsidR="00443665" w:rsidRDefault="00443665">
      <w:pPr>
        <w:pStyle w:val="20"/>
        <w:spacing w:line="460" w:lineRule="atLeast"/>
        <w:ind w:firstLine="482"/>
      </w:pPr>
      <w:r>
        <w:rPr>
          <w:rFonts w:hint="eastAsia"/>
        </w:rPr>
        <w:t>（四）对项目建设内容、产品性质与当地环境保护要求进行分析，审查判定厂址选择是否符合国家环境保护法规的要求。例如，不得在水资源保护区、风景名胜区、自然保护区内建设项目；产生严重粉尘、气体污染的项目，厂址应位于城镇的下风向；生产或使用易燃、易爆、辐射产品的项目，厂址应远离城镇和居民密集区等。</w:t>
      </w:r>
    </w:p>
    <w:p w:rsidR="00443665" w:rsidRDefault="00443665">
      <w:pPr>
        <w:pStyle w:val="20"/>
        <w:spacing w:line="460" w:lineRule="atLeast"/>
        <w:ind w:firstLine="482"/>
      </w:pPr>
      <w:r>
        <w:rPr>
          <w:rFonts w:hint="eastAsia"/>
        </w:rPr>
        <w:t>四、原材料供应状况审查</w:t>
      </w:r>
    </w:p>
    <w:p w:rsidR="00443665" w:rsidRDefault="00443665">
      <w:pPr>
        <w:pStyle w:val="20"/>
        <w:spacing w:line="460" w:lineRule="atLeast"/>
        <w:ind w:firstLine="482"/>
      </w:pPr>
      <w:r>
        <w:rPr>
          <w:rFonts w:hint="eastAsia"/>
        </w:rPr>
        <w:t>（一）原材料的数量保证</w:t>
      </w:r>
    </w:p>
    <w:p w:rsidR="00443665" w:rsidRDefault="00443665">
      <w:pPr>
        <w:pStyle w:val="20"/>
        <w:spacing w:line="460" w:lineRule="atLeast"/>
        <w:ind w:firstLine="482"/>
      </w:pPr>
      <w:r>
        <w:t>1</w:t>
      </w:r>
      <w:r>
        <w:rPr>
          <w:rFonts w:hint="eastAsia"/>
        </w:rPr>
        <w:t>、根据项目的设计生产能力、工艺技术估算原材料的数量，综合考虑供应商和运输等因素，审查判定原材料的数量稳定性和保证程度。</w:t>
      </w:r>
    </w:p>
    <w:p w:rsidR="00443665" w:rsidRDefault="00443665">
      <w:pPr>
        <w:pStyle w:val="20"/>
        <w:spacing w:line="460" w:lineRule="atLeast"/>
        <w:ind w:firstLine="482"/>
      </w:pPr>
      <w:r>
        <w:t>2</w:t>
      </w:r>
      <w:r>
        <w:rPr>
          <w:rFonts w:hint="eastAsia"/>
        </w:rPr>
        <w:t>、对评估报告和调查报告所确定的原材料需求数量进行分析，审查判定原材料供应测算的合理性。</w:t>
      </w:r>
    </w:p>
    <w:p w:rsidR="00443665" w:rsidRDefault="00443665">
      <w:pPr>
        <w:pStyle w:val="20"/>
        <w:spacing w:line="460" w:lineRule="atLeast"/>
        <w:ind w:firstLine="482"/>
      </w:pPr>
      <w:r>
        <w:t>3</w:t>
      </w:r>
      <w:r>
        <w:rPr>
          <w:rFonts w:hint="eastAsia"/>
        </w:rPr>
        <w:t>、对供应较为紧张的原材料，要了解是否落实了供销合同或意向书，审查判定其供应的保证程度。</w:t>
      </w:r>
    </w:p>
    <w:p w:rsidR="00443665" w:rsidRDefault="00443665">
      <w:pPr>
        <w:pStyle w:val="20"/>
        <w:spacing w:line="460" w:lineRule="atLeast"/>
        <w:ind w:firstLine="482"/>
      </w:pPr>
      <w:r>
        <w:rPr>
          <w:rFonts w:hint="eastAsia"/>
        </w:rPr>
        <w:t>（二）原材料的质量保证</w:t>
      </w:r>
    </w:p>
    <w:p w:rsidR="00443665" w:rsidRDefault="00443665">
      <w:pPr>
        <w:pStyle w:val="20"/>
        <w:spacing w:line="460" w:lineRule="atLeast"/>
        <w:ind w:firstLine="482"/>
      </w:pPr>
      <w:r>
        <w:rPr>
          <w:rFonts w:hint="eastAsia"/>
        </w:rPr>
        <w:t>了解项目所需主要原材料的品种、规格、性能及其它质量要求，分析供应商所提供原材料在质量上能否满足要求，审查判定原材料的质量保证程度。</w:t>
      </w:r>
    </w:p>
    <w:p w:rsidR="00443665" w:rsidRDefault="00443665">
      <w:pPr>
        <w:pStyle w:val="20"/>
        <w:spacing w:line="460" w:lineRule="atLeast"/>
        <w:ind w:firstLine="482"/>
      </w:pPr>
      <w:r>
        <w:rPr>
          <w:rFonts w:hint="eastAsia"/>
        </w:rPr>
        <w:t>（三）原材料价格确定的经济性和合理性</w:t>
      </w:r>
    </w:p>
    <w:p w:rsidR="00443665" w:rsidRDefault="00443665">
      <w:pPr>
        <w:pStyle w:val="20"/>
        <w:spacing w:line="460" w:lineRule="atLeast"/>
        <w:ind w:firstLine="482"/>
      </w:pPr>
      <w:r>
        <w:t>1</w:t>
      </w:r>
      <w:r>
        <w:rPr>
          <w:rFonts w:hint="eastAsia"/>
        </w:rPr>
        <w:t>、对供应商确定的原材料价格与市场上同类产品的价格对比分析，审查判定原材料价格确定的经济性和合理性。</w:t>
      </w:r>
    </w:p>
    <w:p w:rsidR="00443665" w:rsidRDefault="00443665">
      <w:pPr>
        <w:pStyle w:val="20"/>
        <w:spacing w:line="460" w:lineRule="atLeast"/>
        <w:ind w:firstLine="482"/>
      </w:pPr>
      <w:r>
        <w:t>2</w:t>
      </w:r>
      <w:r>
        <w:rPr>
          <w:rFonts w:hint="eastAsia"/>
        </w:rPr>
        <w:t>、调查、评估是否考虑了未来原材料价格变化趋势、原材料运输费用变化对原材料价格的影响。</w:t>
      </w:r>
    </w:p>
    <w:p w:rsidR="00443665" w:rsidRDefault="00443665">
      <w:pPr>
        <w:pStyle w:val="20"/>
        <w:spacing w:line="460" w:lineRule="atLeast"/>
        <w:ind w:firstLine="482"/>
      </w:pPr>
      <w:r>
        <w:rPr>
          <w:rFonts w:hint="eastAsia"/>
        </w:rPr>
        <w:t>（四）原材料存储</w:t>
      </w:r>
    </w:p>
    <w:p w:rsidR="00443665" w:rsidRDefault="00443665">
      <w:pPr>
        <w:pStyle w:val="20"/>
        <w:spacing w:line="460" w:lineRule="atLeast"/>
        <w:ind w:firstLine="482"/>
      </w:pPr>
      <w:r>
        <w:rPr>
          <w:rFonts w:hint="eastAsia"/>
        </w:rPr>
        <w:t>对项目生产能力、原材料消耗、原材料运输等因素分析，判定原材料储备量是否合理；审查原材料存储所必需的场地、仓库、管理等条件是否具备。</w:t>
      </w:r>
    </w:p>
    <w:p w:rsidR="00443665" w:rsidRDefault="00443665">
      <w:pPr>
        <w:pStyle w:val="20"/>
        <w:spacing w:line="460" w:lineRule="atLeast"/>
        <w:ind w:firstLine="482"/>
      </w:pPr>
      <w:r>
        <w:rPr>
          <w:rFonts w:hint="eastAsia"/>
        </w:rPr>
        <w:t>五、能源动力供应状况审查</w:t>
      </w:r>
    </w:p>
    <w:p w:rsidR="00443665" w:rsidRDefault="00443665">
      <w:pPr>
        <w:pStyle w:val="20"/>
        <w:spacing w:line="460" w:lineRule="atLeast"/>
        <w:ind w:firstLine="482"/>
      </w:pPr>
      <w:r>
        <w:rPr>
          <w:rFonts w:hint="eastAsia"/>
        </w:rPr>
        <w:lastRenderedPageBreak/>
        <w:t>（一）燃料种类选择的合理性。依据产品生产过程、燃料成本和质量、区域环境对燃料的要求，审查判定项目选择燃料种类的合理性。</w:t>
      </w:r>
    </w:p>
    <w:p w:rsidR="00443665" w:rsidRDefault="00443665">
      <w:pPr>
        <w:pStyle w:val="20"/>
        <w:spacing w:line="460" w:lineRule="atLeast"/>
        <w:ind w:firstLine="482"/>
      </w:pPr>
      <w:r>
        <w:rPr>
          <w:rFonts w:hint="eastAsia"/>
        </w:rPr>
        <w:t>（二）燃料供应的保证程度。对燃料供应数量、质量、价格、供应方式的分析，审查判定燃料供应的保证程度。</w:t>
      </w:r>
    </w:p>
    <w:p w:rsidR="00443665" w:rsidRDefault="00443665">
      <w:pPr>
        <w:pStyle w:val="20"/>
        <w:spacing w:line="460" w:lineRule="atLeast"/>
        <w:ind w:firstLine="482"/>
      </w:pPr>
      <w:r>
        <w:rPr>
          <w:rFonts w:hint="eastAsia"/>
        </w:rPr>
        <w:t>（三）动力供应的保证程度。根据项目对电力、水源、水质、热力的要求，计算出项目的用水量和用电量，通过对项目所在地供水、供电、供热能力的分析，审查判定项目动力的保证程度。</w:t>
      </w:r>
    </w:p>
    <w:p w:rsidR="00443665" w:rsidRDefault="00443665">
      <w:pPr>
        <w:pStyle w:val="20"/>
        <w:spacing w:line="460" w:lineRule="atLeast"/>
        <w:ind w:firstLine="482"/>
      </w:pPr>
      <w:r>
        <w:rPr>
          <w:rFonts w:hint="eastAsia"/>
        </w:rPr>
        <w:t>六</w:t>
      </w:r>
      <w:r>
        <w:t>、</w:t>
      </w:r>
      <w:r>
        <w:rPr>
          <w:rFonts w:hint="eastAsia"/>
        </w:rPr>
        <w:t>交通运输条件审查</w:t>
      </w:r>
    </w:p>
    <w:p w:rsidR="00443665" w:rsidRDefault="00443665">
      <w:pPr>
        <w:pStyle w:val="20"/>
        <w:spacing w:line="460" w:lineRule="atLeast"/>
        <w:ind w:firstLine="482"/>
      </w:pPr>
      <w:r>
        <w:rPr>
          <w:rFonts w:hint="eastAsia"/>
        </w:rPr>
        <w:t>（一）运输条件。审查原有和拟建铁路、公路、码头等交通基础设施是否能够满足原材料和产成品运输的需要。</w:t>
      </w:r>
    </w:p>
    <w:p w:rsidR="00443665" w:rsidRDefault="00443665">
      <w:pPr>
        <w:pStyle w:val="20"/>
        <w:spacing w:line="460" w:lineRule="atLeast"/>
        <w:ind w:firstLine="482"/>
      </w:pPr>
      <w:r>
        <w:rPr>
          <w:rFonts w:hint="eastAsia"/>
        </w:rPr>
        <w:t>（二）运输方式。通过对项目运输量、运输距离、物料特性、运输条件等方面的分析，审查判定项目选择的运输方式（公路、铁路、水路、管道）是否可行、合理。</w:t>
      </w:r>
    </w:p>
    <w:p w:rsidR="00443665" w:rsidRDefault="00443665">
      <w:pPr>
        <w:pStyle w:val="20"/>
        <w:spacing w:line="460" w:lineRule="atLeast"/>
        <w:ind w:firstLine="482"/>
      </w:pPr>
      <w:r>
        <w:rPr>
          <w:rFonts w:hint="eastAsia"/>
        </w:rPr>
        <w:t>（三）运输设备。项目应优先选择依靠社会运输系统的可能性，尽量减少自备设备。对需要自备设备的，要分析其经济合理性。</w:t>
      </w:r>
    </w:p>
    <w:p w:rsidR="00443665" w:rsidRDefault="00443665">
      <w:pPr>
        <w:pStyle w:val="20"/>
        <w:spacing w:line="460" w:lineRule="atLeast"/>
        <w:ind w:firstLine="482"/>
      </w:pPr>
      <w:r>
        <w:rPr>
          <w:rFonts w:hint="eastAsia"/>
        </w:rPr>
        <w:t>七、对项目设计、施工和监理单位审查</w:t>
      </w:r>
    </w:p>
    <w:p w:rsidR="00443665" w:rsidRDefault="00443665">
      <w:pPr>
        <w:pStyle w:val="20"/>
        <w:spacing w:line="460" w:lineRule="atLeast"/>
        <w:ind w:firstLine="482"/>
      </w:pPr>
      <w:r>
        <w:rPr>
          <w:rFonts w:hint="eastAsia"/>
        </w:rPr>
        <w:t>（一）对项目建设性质和规模的分析，审查判定项目设计和施工的难易程度。</w:t>
      </w:r>
    </w:p>
    <w:p w:rsidR="00443665" w:rsidRDefault="00443665">
      <w:pPr>
        <w:pStyle w:val="20"/>
        <w:spacing w:line="460" w:lineRule="atLeast"/>
        <w:ind w:firstLine="482"/>
      </w:pPr>
      <w:r>
        <w:rPr>
          <w:rFonts w:hint="eastAsia"/>
        </w:rPr>
        <w:t>（二）对项目设计和施工单位资质、技术力量和技术装备等条件的分析，审查判定项目设计和施工单位的工作水平和质量。</w:t>
      </w:r>
    </w:p>
    <w:p w:rsidR="00443665" w:rsidRDefault="00443665">
      <w:pPr>
        <w:pStyle w:val="20"/>
        <w:spacing w:line="460" w:lineRule="atLeast"/>
        <w:ind w:firstLine="482"/>
      </w:pPr>
      <w:r>
        <w:rPr>
          <w:rFonts w:hint="eastAsia"/>
        </w:rPr>
        <w:t>（三）综合以上两个方面，审查判定项目设计和施工单位的选择是否满足既保障工程质量又经济合理的要求。</w:t>
      </w:r>
    </w:p>
    <w:p w:rsidR="00443665" w:rsidRDefault="00443665">
      <w:pPr>
        <w:pStyle w:val="20"/>
        <w:spacing w:line="460" w:lineRule="atLeast"/>
        <w:ind w:firstLine="482"/>
      </w:pPr>
      <w:r>
        <w:rPr>
          <w:rFonts w:hint="eastAsia"/>
        </w:rPr>
        <w:t>（四）审查项目业主是否采用施工监理制，监理单位资质是否符合国家规定。</w:t>
      </w:r>
    </w:p>
    <w:p w:rsidR="00443665" w:rsidRDefault="00443665">
      <w:pPr>
        <w:pStyle w:val="20"/>
        <w:spacing w:line="460" w:lineRule="atLeast"/>
        <w:ind w:firstLine="482"/>
      </w:pPr>
      <w:r>
        <w:rPr>
          <w:rFonts w:hint="eastAsia"/>
        </w:rPr>
        <w:t>八、项目配套设施条件审查</w:t>
      </w:r>
    </w:p>
    <w:p w:rsidR="00443665" w:rsidRDefault="00443665">
      <w:pPr>
        <w:pStyle w:val="20"/>
        <w:spacing w:line="460" w:lineRule="atLeast"/>
        <w:ind w:firstLine="482"/>
      </w:pPr>
      <w:r>
        <w:rPr>
          <w:rFonts w:hint="eastAsia"/>
        </w:rPr>
        <w:t>项目配套设施应当能够满足项目建设和生产经营的需要，如供水项目的供水管网、供气项目的供气管网、供电项目的输变电线路等配套设施是否完备。</w:t>
      </w:r>
    </w:p>
    <w:p w:rsidR="00443665" w:rsidRDefault="00443665">
      <w:pPr>
        <w:pStyle w:val="20"/>
        <w:spacing w:line="460" w:lineRule="atLeast"/>
        <w:ind w:firstLine="482"/>
      </w:pPr>
      <w:r>
        <w:rPr>
          <w:rFonts w:hint="eastAsia"/>
        </w:rPr>
        <w:t>九、安全生产条件审查</w:t>
      </w:r>
    </w:p>
    <w:p w:rsidR="00443665" w:rsidRDefault="00443665">
      <w:pPr>
        <w:pStyle w:val="20"/>
        <w:spacing w:line="460" w:lineRule="atLeast"/>
        <w:ind w:firstLine="482"/>
      </w:pPr>
      <w:r>
        <w:rPr>
          <w:rFonts w:hint="eastAsia"/>
        </w:rPr>
        <w:t>从事特殊行业，如生产、仓储和使用危险化学品生产、高空作业、煤碳开采等，应当落实相应的安全保护措施，安全生产条件应当符合国家或相关的行业管理要求。</w:t>
      </w:r>
    </w:p>
    <w:p w:rsidR="00443665" w:rsidRDefault="00443665">
      <w:pPr>
        <w:pStyle w:val="20"/>
        <w:spacing w:line="460" w:lineRule="atLeast"/>
        <w:ind w:firstLine="482"/>
      </w:pPr>
      <w:r>
        <w:rPr>
          <w:rFonts w:hint="eastAsia"/>
        </w:rPr>
        <w:t>十、项目实施计划可行性审查</w:t>
      </w:r>
    </w:p>
    <w:p w:rsidR="00443665" w:rsidRDefault="00443665">
      <w:pPr>
        <w:pStyle w:val="20"/>
        <w:spacing w:line="460" w:lineRule="atLeast"/>
        <w:ind w:firstLine="482"/>
      </w:pPr>
      <w:r>
        <w:rPr>
          <w:rFonts w:hint="eastAsia"/>
        </w:rPr>
        <w:t>审查项目实施计划内容，判定项目实施计划是否合理、周密和切实可行。对在建项目</w:t>
      </w:r>
      <w:r>
        <w:rPr>
          <w:rFonts w:hint="eastAsia"/>
        </w:rPr>
        <w:lastRenderedPageBreak/>
        <w:t>要审查项目建设进度与原计划是否一致，判断项目实施计划实现的可能性，对不一致的应分析原因和对项目完工的影响程度。</w:t>
      </w:r>
    </w:p>
    <w:p w:rsidR="00443665" w:rsidRDefault="00443665">
      <w:pPr>
        <w:pStyle w:val="20"/>
        <w:spacing w:line="460" w:lineRule="atLeast"/>
        <w:ind w:firstLine="482"/>
      </w:pPr>
    </w:p>
    <w:p w:rsidR="00443665" w:rsidRPr="0065553E" w:rsidRDefault="00443665" w:rsidP="0065553E">
      <w:pPr>
        <w:overflowPunct/>
        <w:spacing w:line="240" w:lineRule="auto"/>
        <w:jc w:val="center"/>
        <w:textAlignment w:val="auto"/>
        <w:rPr>
          <w:rFonts w:ascii="Arial" w:hAnsi="Arial"/>
          <w:b/>
          <w:bCs/>
          <w:sz w:val="32"/>
        </w:rPr>
      </w:pPr>
      <w:r>
        <w:br w:type="page"/>
      </w:r>
      <w:r w:rsidRPr="0065553E">
        <w:rPr>
          <w:rFonts w:ascii="Arial" w:hAnsi="Arial" w:hint="eastAsia"/>
          <w:b/>
          <w:bCs/>
          <w:sz w:val="32"/>
        </w:rPr>
        <w:lastRenderedPageBreak/>
        <w:t>第</w:t>
      </w:r>
      <w:r w:rsidR="00B8245F">
        <w:rPr>
          <w:rFonts w:ascii="Arial" w:hAnsi="Arial" w:hint="eastAsia"/>
          <w:b/>
          <w:bCs/>
          <w:sz w:val="32"/>
        </w:rPr>
        <w:t>三</w:t>
      </w:r>
      <w:r w:rsidRPr="0065553E">
        <w:rPr>
          <w:rFonts w:ascii="Arial" w:hAnsi="Arial" w:hint="eastAsia"/>
          <w:b/>
          <w:bCs/>
          <w:sz w:val="32"/>
        </w:rPr>
        <w:t>章</w:t>
      </w:r>
      <w:r w:rsidR="0065553E">
        <w:rPr>
          <w:rFonts w:ascii="Arial" w:hAnsi="Arial" w:hint="eastAsia"/>
          <w:b/>
          <w:bCs/>
          <w:sz w:val="32"/>
        </w:rPr>
        <w:t xml:space="preserve">  </w:t>
      </w:r>
      <w:r w:rsidRPr="0065553E">
        <w:rPr>
          <w:rFonts w:ascii="Arial" w:hAnsi="Arial" w:hint="eastAsia"/>
          <w:b/>
          <w:bCs/>
          <w:sz w:val="32"/>
        </w:rPr>
        <w:t>项目投融资方案审查</w:t>
      </w:r>
    </w:p>
    <w:p w:rsidR="00443665" w:rsidRDefault="00443665">
      <w:pPr>
        <w:pStyle w:val="20"/>
        <w:spacing w:line="460" w:lineRule="atLeast"/>
        <w:ind w:firstLine="482"/>
      </w:pPr>
    </w:p>
    <w:p w:rsidR="00443665" w:rsidRDefault="00443665">
      <w:pPr>
        <w:pStyle w:val="20"/>
        <w:spacing w:line="460" w:lineRule="atLeast"/>
        <w:ind w:firstLine="482"/>
      </w:pPr>
      <w:r>
        <w:rPr>
          <w:rFonts w:hint="eastAsia"/>
        </w:rPr>
        <w:t>投融资方案审查的重点是审查项目投资方案的合理性和融资来源的可靠性。</w:t>
      </w:r>
    </w:p>
    <w:p w:rsidR="00443665" w:rsidRDefault="00443665">
      <w:pPr>
        <w:pStyle w:val="20"/>
        <w:spacing w:line="460" w:lineRule="atLeast"/>
        <w:ind w:firstLine="482"/>
      </w:pPr>
      <w:r>
        <w:rPr>
          <w:rFonts w:hint="eastAsia"/>
        </w:rPr>
        <w:t>一、投资方案审查</w:t>
      </w:r>
    </w:p>
    <w:p w:rsidR="00443665" w:rsidRDefault="00443665">
      <w:pPr>
        <w:pStyle w:val="20"/>
        <w:spacing w:line="460" w:lineRule="atLeast"/>
        <w:ind w:firstLine="482"/>
      </w:pPr>
      <w:r>
        <w:rPr>
          <w:rFonts w:hint="eastAsia"/>
        </w:rPr>
        <w:t>主要审查投资方案构成是否全面、合理，是否存在高估或低估投资规模现象。</w:t>
      </w:r>
    </w:p>
    <w:p w:rsidR="00443665" w:rsidRDefault="00443665">
      <w:pPr>
        <w:pStyle w:val="20"/>
        <w:spacing w:line="460" w:lineRule="atLeast"/>
        <w:ind w:firstLine="482"/>
      </w:pPr>
      <w:r>
        <w:rPr>
          <w:rFonts w:hint="eastAsia"/>
        </w:rPr>
        <w:t>（一）投资总额构成</w:t>
      </w:r>
    </w:p>
    <w:p w:rsidR="00443665" w:rsidRDefault="00443665">
      <w:pPr>
        <w:pStyle w:val="20"/>
        <w:spacing w:line="460" w:lineRule="atLeast"/>
        <w:ind w:firstLine="482"/>
      </w:pPr>
      <w:r>
        <w:t>1</w:t>
      </w:r>
      <w:r>
        <w:rPr>
          <w:rFonts w:hint="eastAsia"/>
        </w:rPr>
        <w:t>、新建项目投资总额＝固定资产投资总额＋铺底流动资金</w:t>
      </w:r>
    </w:p>
    <w:p w:rsidR="00443665" w:rsidRDefault="00443665">
      <w:pPr>
        <w:pStyle w:val="20"/>
        <w:spacing w:line="460" w:lineRule="atLeast"/>
        <w:ind w:firstLine="482"/>
      </w:pPr>
      <w:r>
        <w:rPr>
          <w:rFonts w:hint="eastAsia"/>
        </w:rPr>
        <w:t>改扩建项目投资总额＝新增固定资产投资总额＋新增铺底流动资金</w:t>
      </w:r>
    </w:p>
    <w:p w:rsidR="00443665" w:rsidRDefault="00443665">
      <w:pPr>
        <w:pStyle w:val="20"/>
        <w:spacing w:line="460" w:lineRule="atLeast"/>
        <w:ind w:firstLine="482"/>
      </w:pPr>
      <w:r>
        <w:rPr>
          <w:rFonts w:hint="eastAsia"/>
        </w:rPr>
        <w:t>外资企业投资总额＝固定资产投资总额＋流动资金</w:t>
      </w:r>
    </w:p>
    <w:p w:rsidR="00443665" w:rsidRDefault="00443665">
      <w:pPr>
        <w:pStyle w:val="20"/>
        <w:spacing w:line="460" w:lineRule="atLeast"/>
        <w:ind w:firstLine="482"/>
      </w:pPr>
      <w:r>
        <w:t>2</w:t>
      </w:r>
      <w:r>
        <w:rPr>
          <w:rFonts w:hint="eastAsia"/>
        </w:rPr>
        <w:t>、固定资产投资总额＝固定资产投资＋建设期借款利息</w:t>
      </w:r>
    </w:p>
    <w:p w:rsidR="00443665" w:rsidRDefault="00443665">
      <w:pPr>
        <w:pStyle w:val="20"/>
        <w:spacing w:line="460" w:lineRule="atLeast"/>
        <w:ind w:firstLine="482"/>
      </w:pPr>
      <w:r>
        <w:rPr>
          <w:rFonts w:hint="eastAsia"/>
        </w:rPr>
        <w:t>固定资产投资＝工程费用＋工程建设及其它费用＋预备费</w:t>
      </w:r>
    </w:p>
    <w:p w:rsidR="00443665" w:rsidRDefault="00443665">
      <w:pPr>
        <w:pStyle w:val="20"/>
        <w:spacing w:line="460" w:lineRule="atLeast"/>
        <w:ind w:firstLine="482"/>
      </w:pPr>
      <w:r>
        <w:rPr>
          <w:rFonts w:hint="eastAsia"/>
        </w:rPr>
        <w:t>工程费用＝建筑工程费＋设备及工器具购置费＋安装工程费</w:t>
      </w:r>
    </w:p>
    <w:p w:rsidR="00443665" w:rsidRDefault="00443665">
      <w:pPr>
        <w:pStyle w:val="20"/>
        <w:spacing w:line="460" w:lineRule="atLeast"/>
        <w:ind w:firstLine="482"/>
      </w:pPr>
      <w:r>
        <w:rPr>
          <w:rFonts w:hint="eastAsia"/>
        </w:rPr>
        <w:t>工程建设及其它费用＝土地征用及补偿费＋建设单位管理费、工程保险费、工程监理费、办公及生活家具购置费等费用</w:t>
      </w:r>
    </w:p>
    <w:p w:rsidR="00443665" w:rsidRDefault="00443665">
      <w:pPr>
        <w:pStyle w:val="20"/>
        <w:spacing w:line="460" w:lineRule="atLeast"/>
        <w:ind w:firstLine="482"/>
      </w:pPr>
      <w:r>
        <w:rPr>
          <w:rFonts w:hint="eastAsia"/>
        </w:rPr>
        <w:t>预备费</w:t>
      </w:r>
      <w:r>
        <w:t>=</w:t>
      </w:r>
      <w:r>
        <w:rPr>
          <w:rFonts w:hint="eastAsia"/>
        </w:rPr>
        <w:t>基本预备费＋涨价预备费</w:t>
      </w:r>
    </w:p>
    <w:p w:rsidR="00443665" w:rsidRDefault="00443665">
      <w:pPr>
        <w:pStyle w:val="20"/>
        <w:spacing w:line="460" w:lineRule="atLeast"/>
        <w:ind w:firstLine="482"/>
      </w:pPr>
      <w:r>
        <w:t>3</w:t>
      </w:r>
      <w:r>
        <w:rPr>
          <w:rFonts w:hint="eastAsia"/>
        </w:rPr>
        <w:t>、铺底流动资金</w:t>
      </w:r>
      <w:r>
        <w:rPr>
          <w:rFonts w:hint="eastAsia"/>
        </w:rPr>
        <w:t>=</w:t>
      </w:r>
      <w:r>
        <w:rPr>
          <w:rFonts w:hint="eastAsia"/>
        </w:rPr>
        <w:t>流动资金总额＊</w:t>
      </w:r>
      <w:r>
        <w:t>30</w:t>
      </w:r>
      <w:r>
        <w:rPr>
          <w:rFonts w:hint="eastAsia"/>
        </w:rPr>
        <w:t>％</w:t>
      </w:r>
    </w:p>
    <w:p w:rsidR="00443665" w:rsidRDefault="00443665">
      <w:pPr>
        <w:pStyle w:val="20"/>
        <w:spacing w:line="460" w:lineRule="atLeast"/>
        <w:ind w:firstLine="482"/>
      </w:pPr>
      <w:r>
        <w:rPr>
          <w:rFonts w:hint="eastAsia"/>
        </w:rPr>
        <w:t>流动资金总额＝流动资产－流动负债＝应收账款＋存货＋现金－应付账款</w:t>
      </w:r>
    </w:p>
    <w:p w:rsidR="00443665" w:rsidRDefault="00443665">
      <w:pPr>
        <w:pStyle w:val="20"/>
        <w:spacing w:line="460" w:lineRule="atLeast"/>
        <w:ind w:firstLine="482"/>
      </w:pPr>
      <w:r>
        <w:rPr>
          <w:rFonts w:hint="eastAsia"/>
        </w:rPr>
        <w:t>（二）审查方法</w:t>
      </w:r>
    </w:p>
    <w:p w:rsidR="00443665" w:rsidRDefault="00443665">
      <w:pPr>
        <w:pStyle w:val="20"/>
        <w:spacing w:line="460" w:lineRule="atLeast"/>
        <w:ind w:firstLine="482"/>
      </w:pPr>
      <w:r>
        <w:t>1</w:t>
      </w:r>
      <w:r>
        <w:rPr>
          <w:rFonts w:hint="eastAsia"/>
        </w:rPr>
        <w:t>、通过对同行业、同规模、同类型项目单位生产能力投资额比较，初步判断项目投资规模的合理性。如火电单位千瓦投资额一般在</w:t>
      </w:r>
      <w:r>
        <w:t>3000</w:t>
      </w:r>
      <w:r>
        <w:rPr>
          <w:rFonts w:hint="eastAsia"/>
        </w:rPr>
        <w:t>－</w:t>
      </w:r>
      <w:r>
        <w:t>5000</w:t>
      </w:r>
      <w:r>
        <w:rPr>
          <w:rFonts w:hint="eastAsia"/>
        </w:rPr>
        <w:t>元、水电单位千瓦投资额一般在</w:t>
      </w:r>
      <w:r>
        <w:t>6000</w:t>
      </w:r>
      <w:r>
        <w:rPr>
          <w:rFonts w:hint="eastAsia"/>
        </w:rPr>
        <w:t>－</w:t>
      </w:r>
      <w:r>
        <w:t>8000</w:t>
      </w:r>
      <w:r>
        <w:rPr>
          <w:rFonts w:hint="eastAsia"/>
        </w:rPr>
        <w:t>元。</w:t>
      </w:r>
    </w:p>
    <w:p w:rsidR="00443665" w:rsidRDefault="00443665">
      <w:pPr>
        <w:pStyle w:val="20"/>
        <w:spacing w:line="460" w:lineRule="atLeast"/>
        <w:ind w:firstLine="482"/>
      </w:pPr>
      <w:r>
        <w:t>2</w:t>
      </w:r>
      <w:r>
        <w:rPr>
          <w:rFonts w:hint="eastAsia"/>
        </w:rPr>
        <w:t>、按固定资产投资构成、国家和行业定额指标、同地区和同类项目投资及价格资料，逐项审查项目投资内容是否完整，有无重大缺漏项，有无高估冒算、人为压低造价及计算错误等现象发生。</w:t>
      </w:r>
    </w:p>
    <w:p w:rsidR="00443665" w:rsidRDefault="00443665">
      <w:pPr>
        <w:pStyle w:val="20"/>
        <w:spacing w:line="460" w:lineRule="atLeast"/>
        <w:ind w:firstLine="482"/>
      </w:pPr>
      <w:r>
        <w:rPr>
          <w:rFonts w:hint="eastAsia"/>
        </w:rPr>
        <w:t>（</w:t>
      </w:r>
      <w:r>
        <w:t>1</w:t>
      </w:r>
      <w:r>
        <w:rPr>
          <w:rFonts w:hint="eastAsia"/>
        </w:rPr>
        <w:t>）建筑工程费一般包括主要生产工程、辅助生产工程、公用与服务性工程、生活福利设施等。着重审查项目主要工程及相关辅助工程是否齐全，投资规模与项目工程量、生产规模是否匹配。</w:t>
      </w:r>
    </w:p>
    <w:p w:rsidR="00443665" w:rsidRDefault="00443665">
      <w:pPr>
        <w:pStyle w:val="20"/>
        <w:spacing w:line="460" w:lineRule="atLeast"/>
        <w:ind w:firstLine="482"/>
      </w:pPr>
      <w:r>
        <w:rPr>
          <w:rFonts w:hint="eastAsia"/>
        </w:rPr>
        <w:t>（</w:t>
      </w:r>
      <w:r>
        <w:t>2</w:t>
      </w:r>
      <w:r>
        <w:rPr>
          <w:rFonts w:hint="eastAsia"/>
        </w:rPr>
        <w:t>）设备及工器具购置费，着重审查设备及工器具是否考虑全面，主要设备价格是否合理。其中：</w:t>
      </w:r>
    </w:p>
    <w:p w:rsidR="00443665" w:rsidRDefault="00443665">
      <w:pPr>
        <w:pStyle w:val="20"/>
        <w:spacing w:line="460" w:lineRule="atLeast"/>
        <w:ind w:firstLine="482"/>
      </w:pPr>
      <w:r>
        <w:rPr>
          <w:rFonts w:hint="eastAsia"/>
        </w:rPr>
        <w:lastRenderedPageBreak/>
        <w:t>国内设备购置费＝设备原价＊（</w:t>
      </w:r>
      <w:r>
        <w:t>1</w:t>
      </w:r>
      <w:r>
        <w:rPr>
          <w:rFonts w:hint="eastAsia"/>
        </w:rPr>
        <w:t>＋运杂费率）</w:t>
      </w:r>
    </w:p>
    <w:p w:rsidR="00443665" w:rsidRDefault="00443665">
      <w:pPr>
        <w:pStyle w:val="20"/>
        <w:spacing w:line="460" w:lineRule="atLeast"/>
        <w:ind w:firstLine="482"/>
      </w:pPr>
      <w:r>
        <w:rPr>
          <w:rFonts w:hint="eastAsia"/>
        </w:rPr>
        <w:t>进口设备购置费＝设备原价＋进口费用＋国内运杂费</w:t>
      </w:r>
    </w:p>
    <w:p w:rsidR="00443665" w:rsidRDefault="00443665">
      <w:pPr>
        <w:pStyle w:val="20"/>
        <w:spacing w:line="460" w:lineRule="atLeast"/>
        <w:ind w:firstLine="482"/>
      </w:pPr>
      <w:r>
        <w:rPr>
          <w:rFonts w:hint="eastAsia"/>
        </w:rPr>
        <w:t>进口费用主要包括国外运费、运输保险费、关税、增值税、消费税等。</w:t>
      </w:r>
    </w:p>
    <w:p w:rsidR="00443665" w:rsidRDefault="00443665">
      <w:pPr>
        <w:pStyle w:val="20"/>
        <w:spacing w:line="460" w:lineRule="atLeast"/>
        <w:ind w:firstLine="482"/>
      </w:pPr>
      <w:r>
        <w:rPr>
          <w:rFonts w:hint="eastAsia"/>
        </w:rPr>
        <w:t>（</w:t>
      </w:r>
      <w:r>
        <w:t>3</w:t>
      </w:r>
      <w:r>
        <w:rPr>
          <w:rFonts w:hint="eastAsia"/>
        </w:rPr>
        <w:t>）安装工程费，着重审查安装工程费率是否存在明显不合理情况。</w:t>
      </w:r>
    </w:p>
    <w:p w:rsidR="00443665" w:rsidRDefault="00443665">
      <w:pPr>
        <w:pStyle w:val="20"/>
        <w:spacing w:line="460" w:lineRule="atLeast"/>
        <w:ind w:firstLine="482"/>
      </w:pPr>
      <w:r>
        <w:rPr>
          <w:rFonts w:hint="eastAsia"/>
        </w:rPr>
        <w:t>（</w:t>
      </w:r>
      <w:r>
        <w:t>4</w:t>
      </w:r>
      <w:r>
        <w:rPr>
          <w:rFonts w:hint="eastAsia"/>
        </w:rPr>
        <w:t>）土地征用及补偿费，主要包括土地征用费、土地补偿费、青苗补偿费、征地动迁费、安置补助费及土地使用税等。着重审查各项土地费用是否考虑全面，土地价格与当地经济发展状况、同区域和同用途地价是否相当，有无明显不合理现象。</w:t>
      </w:r>
    </w:p>
    <w:p w:rsidR="00443665" w:rsidRDefault="00443665">
      <w:pPr>
        <w:pStyle w:val="20"/>
        <w:spacing w:line="460" w:lineRule="atLeast"/>
        <w:ind w:firstLine="482"/>
      </w:pPr>
      <w:r>
        <w:rPr>
          <w:rFonts w:hint="eastAsia"/>
        </w:rPr>
        <w:t>（</w:t>
      </w:r>
      <w:r>
        <w:t>5</w:t>
      </w:r>
      <w:r>
        <w:rPr>
          <w:rFonts w:hint="eastAsia"/>
        </w:rPr>
        <w:t>）工程建设其它费用，主要包括工程保险费、监理费、勘察设计费、职工培训费等。审查各项费用是否考虑齐全，所占比例是否合理，其中建设期长、地质结构复杂、建设风险较高的大型基础设施项目（如海港、水库、水电、大型桥梁、山岭重丘区公路建设）应审查工程保险、监理等费用是否考虑齐全。</w:t>
      </w:r>
    </w:p>
    <w:p w:rsidR="00443665" w:rsidRDefault="00443665">
      <w:pPr>
        <w:pStyle w:val="20"/>
        <w:spacing w:line="460" w:lineRule="atLeast"/>
        <w:ind w:firstLine="482"/>
      </w:pPr>
      <w:r>
        <w:rPr>
          <w:rFonts w:hint="eastAsia"/>
        </w:rPr>
        <w:t>（</w:t>
      </w:r>
      <w:r>
        <w:t>6</w:t>
      </w:r>
      <w:r>
        <w:rPr>
          <w:rFonts w:hint="eastAsia"/>
        </w:rPr>
        <w:t>）基本预备费＝（建筑工程费＋设备及工器具购置费＋安装工程费＋工程建设及其他费用）＊基本预备费率。审查时着重审查基本预备费率取值（一般取</w:t>
      </w:r>
      <w:r>
        <w:t>5</w:t>
      </w:r>
      <w:r>
        <w:rPr>
          <w:rFonts w:hint="eastAsia"/>
        </w:rPr>
        <w:t>％－</w:t>
      </w:r>
      <w:r>
        <w:t>12</w:t>
      </w:r>
      <w:r>
        <w:rPr>
          <w:rFonts w:hint="eastAsia"/>
        </w:rPr>
        <w:t>％）是否符合国家及有关部门的规定。</w:t>
      </w:r>
    </w:p>
    <w:p w:rsidR="00443665" w:rsidRDefault="00443665">
      <w:pPr>
        <w:pStyle w:val="20"/>
        <w:spacing w:line="460" w:lineRule="atLeast"/>
        <w:ind w:firstLine="482"/>
      </w:pPr>
      <w:r>
        <w:rPr>
          <w:rFonts w:hint="eastAsia"/>
        </w:rPr>
        <w:t>（</w:t>
      </w:r>
      <w:r>
        <w:t>7</w:t>
      </w:r>
      <w:r>
        <w:rPr>
          <w:rFonts w:hint="eastAsia"/>
        </w:rPr>
        <w:t>）涨价预备费，项目建设期内预留的因物价上涨而引起的投资费用的增加额。审查时应注意涨价预备费是否考虑建设期限及国家年投资价格上涨指数。对于建设期限较短、已完工比例高且已完工投资额中未出现预期价格上涨的项目，可不考虑涨价预备费因素。</w:t>
      </w:r>
    </w:p>
    <w:p w:rsidR="00443665" w:rsidRDefault="00443665">
      <w:pPr>
        <w:pStyle w:val="20"/>
        <w:spacing w:line="460" w:lineRule="atLeast"/>
        <w:ind w:firstLine="482"/>
      </w:pPr>
      <w:r>
        <w:rPr>
          <w:rFonts w:hint="eastAsia"/>
        </w:rPr>
        <w:t>（</w:t>
      </w:r>
      <w:r>
        <w:t>8</w:t>
      </w:r>
      <w:r>
        <w:rPr>
          <w:rFonts w:hint="eastAsia"/>
        </w:rPr>
        <w:t>）建设期借款利息，着重审查是否根据项目融资额度、投放进度、建设期限、融资费率等因素综合测算建设期借款利息，如融资方案中包括国外借款，尚需审查是否包括手续费、管理费、承诺费及国内代理机构收取的转贷费、担保费、管理费等。</w:t>
      </w:r>
    </w:p>
    <w:p w:rsidR="00443665" w:rsidRDefault="00443665">
      <w:pPr>
        <w:pStyle w:val="20"/>
        <w:spacing w:line="460" w:lineRule="atLeast"/>
        <w:ind w:firstLine="482"/>
      </w:pPr>
      <w:r>
        <w:t>3</w:t>
      </w:r>
      <w:r>
        <w:rPr>
          <w:rFonts w:hint="eastAsia"/>
        </w:rPr>
        <w:t>、参照同类、同规模企业，同类产品生产企业流动资产占销售收入、经营成本的比率，单位产量占用流动资产的比率等指标粗略估、算流动资产总额，也可用行业总资产周转率平均水平推算流动资产值，与评估测算的流动资产总额作粗略验证。</w:t>
      </w:r>
    </w:p>
    <w:p w:rsidR="00443665" w:rsidRDefault="00443665">
      <w:pPr>
        <w:pStyle w:val="20"/>
        <w:spacing w:line="460" w:lineRule="atLeast"/>
        <w:ind w:firstLine="482"/>
      </w:pPr>
      <w:r>
        <w:t>4</w:t>
      </w:r>
      <w:r>
        <w:rPr>
          <w:rFonts w:hint="eastAsia"/>
        </w:rPr>
        <w:t>、根据存货周转率、应收账款周转率等行业或部门标准、平均水平等参数，逐项审查应收账款、存货、现金、应付账款的合理性。</w:t>
      </w:r>
    </w:p>
    <w:p w:rsidR="00443665" w:rsidRDefault="00443665">
      <w:pPr>
        <w:pStyle w:val="20"/>
        <w:spacing w:line="460" w:lineRule="atLeast"/>
        <w:ind w:firstLine="482"/>
      </w:pPr>
      <w:r>
        <w:rPr>
          <w:rFonts w:hint="eastAsia"/>
        </w:rPr>
        <w:t>（三）审查中应注意的问题</w:t>
      </w:r>
    </w:p>
    <w:p w:rsidR="00443665" w:rsidRDefault="00443665">
      <w:pPr>
        <w:pStyle w:val="20"/>
        <w:spacing w:line="460" w:lineRule="atLeast"/>
        <w:ind w:firstLine="482"/>
      </w:pPr>
      <w:r>
        <w:t>1</w:t>
      </w:r>
      <w:r>
        <w:rPr>
          <w:rFonts w:hint="eastAsia"/>
        </w:rPr>
        <w:t>、注意审查项目调查及评估报告与可行性研究报告相比，项目投资总额及构成有无较大差距，如有较大差距，则应审查调查或评估部门有无合理解释和依据；如实际动态概算超过原审批动态概算</w:t>
      </w:r>
      <w:r>
        <w:t>10</w:t>
      </w:r>
      <w:r>
        <w:rPr>
          <w:rFonts w:hint="eastAsia"/>
        </w:rPr>
        <w:t>％的，则应审查其概算调整是否已取得原概算审批单位批准。</w:t>
      </w:r>
    </w:p>
    <w:p w:rsidR="00443665" w:rsidRDefault="00443665">
      <w:pPr>
        <w:pStyle w:val="20"/>
        <w:spacing w:line="460" w:lineRule="atLeast"/>
        <w:ind w:firstLine="482"/>
      </w:pPr>
      <w:r>
        <w:lastRenderedPageBreak/>
        <w:t>2</w:t>
      </w:r>
      <w:r>
        <w:rPr>
          <w:rFonts w:hint="eastAsia"/>
        </w:rPr>
        <w:t>、注意审查项目已完成投资额与计划投资额的比较，如存有较大差距，则应在审查中予以揭示，分析造成差距的主要原因，并对项目超概算或低概算作可能性分析。</w:t>
      </w:r>
    </w:p>
    <w:p w:rsidR="00443665" w:rsidRDefault="00443665">
      <w:pPr>
        <w:pStyle w:val="20"/>
        <w:spacing w:line="460" w:lineRule="atLeast"/>
        <w:ind w:firstLine="482"/>
      </w:pPr>
      <w:r>
        <w:t>3</w:t>
      </w:r>
      <w:r>
        <w:rPr>
          <w:rFonts w:hint="eastAsia"/>
        </w:rPr>
        <w:t>、注意审查改扩建项目投资总额中是否包括原有土地、厂房、设备等资产投资，如存在，应将该部分投资从项目投资总额中剔除。</w:t>
      </w:r>
    </w:p>
    <w:p w:rsidR="00443665" w:rsidRDefault="00443665">
      <w:pPr>
        <w:pStyle w:val="20"/>
        <w:spacing w:line="460" w:lineRule="atLeast"/>
        <w:ind w:firstLine="482"/>
      </w:pPr>
      <w:r>
        <w:t>4</w:t>
      </w:r>
      <w:r>
        <w:rPr>
          <w:rFonts w:hint="eastAsia"/>
        </w:rPr>
        <w:t>、注意审查是否存在项目业主为规避审批权限，人为分拆项目或缩减投资总额的情况。</w:t>
      </w:r>
    </w:p>
    <w:p w:rsidR="00443665" w:rsidRDefault="00443665">
      <w:pPr>
        <w:pStyle w:val="20"/>
        <w:spacing w:line="460" w:lineRule="atLeast"/>
        <w:ind w:firstLine="482"/>
      </w:pPr>
      <w:r>
        <w:t>5</w:t>
      </w:r>
      <w:r>
        <w:rPr>
          <w:rFonts w:hint="eastAsia"/>
        </w:rPr>
        <w:t>、注意审查除</w:t>
      </w:r>
      <w:r>
        <w:t>30</w:t>
      </w:r>
      <w:r>
        <w:rPr>
          <w:rFonts w:hint="eastAsia"/>
        </w:rPr>
        <w:t>％铺底流动资金需求外的流资需求有无合理、可行的解决方案。</w:t>
      </w:r>
    </w:p>
    <w:p w:rsidR="00443665" w:rsidRDefault="00443665">
      <w:pPr>
        <w:pStyle w:val="20"/>
        <w:spacing w:line="460" w:lineRule="atLeast"/>
        <w:ind w:firstLine="482"/>
      </w:pPr>
      <w:r>
        <w:t>6</w:t>
      </w:r>
      <w:r>
        <w:rPr>
          <w:rFonts w:hint="eastAsia"/>
        </w:rPr>
        <w:t>、根据项目实际情况评价项目投资额变动风险度。一般来说，项目设计程度越深入，投资额变动风险度越低，依初步设计所作的评估投资额较依可研所作的评估投资额变动风险度要低，依可研所作的评估投资额较依项目立项所作的评估投资额变动风险度要低；技术力量好、信誉度高的专业可研设计单位和评估单位，所作的投资额变动风险度相对较低；工程建设期越长、地质结构越复杂、工程建设难度越高的项目，投资额变动风险度越高。</w:t>
      </w:r>
    </w:p>
    <w:p w:rsidR="00443665" w:rsidRDefault="00443665">
      <w:pPr>
        <w:pStyle w:val="20"/>
        <w:spacing w:line="460" w:lineRule="atLeast"/>
        <w:ind w:firstLine="482"/>
      </w:pPr>
      <w:r>
        <w:rPr>
          <w:rFonts w:hint="eastAsia"/>
        </w:rPr>
        <w:t>二、融资方案审查</w:t>
      </w:r>
    </w:p>
    <w:p w:rsidR="00443665" w:rsidRDefault="00443665">
      <w:pPr>
        <w:pStyle w:val="20"/>
        <w:spacing w:line="460" w:lineRule="atLeast"/>
        <w:ind w:firstLine="482"/>
      </w:pPr>
      <w:r>
        <w:rPr>
          <w:rFonts w:hint="eastAsia"/>
        </w:rPr>
        <w:t>项目资金来源于项目资本金和银行借款及其他负债性资金，其中项目资本金是项目业主为拟建项目筹措的非负债资金。审查时应侧重审查融资方案与投资方案是否匹配，各项资金来源是否可靠，资本金比例是否符合相关规定及具体业务要求。</w:t>
      </w:r>
    </w:p>
    <w:p w:rsidR="00443665" w:rsidRDefault="00443665">
      <w:pPr>
        <w:pStyle w:val="20"/>
        <w:spacing w:line="460" w:lineRule="atLeast"/>
        <w:ind w:firstLine="482"/>
      </w:pPr>
      <w:r>
        <w:rPr>
          <w:rFonts w:hint="eastAsia"/>
        </w:rPr>
        <w:t>（一）项目资本金比例审查</w:t>
      </w:r>
    </w:p>
    <w:p w:rsidR="00443665" w:rsidRDefault="00443665">
      <w:pPr>
        <w:pStyle w:val="20"/>
        <w:spacing w:line="460" w:lineRule="atLeast"/>
        <w:ind w:firstLine="482"/>
      </w:pPr>
      <w:r>
        <w:t>1</w:t>
      </w:r>
      <w:r>
        <w:rPr>
          <w:rFonts w:hint="eastAsia"/>
        </w:rPr>
        <w:t>、经营性投资项目的资本金比例规定。</w:t>
      </w:r>
    </w:p>
    <w:p w:rsidR="00443665" w:rsidRDefault="00B8245F">
      <w:pPr>
        <w:pStyle w:val="20"/>
        <w:spacing w:line="460" w:lineRule="atLeast"/>
        <w:ind w:firstLine="482"/>
      </w:pPr>
      <w:r>
        <w:rPr>
          <w:rFonts w:hint="eastAsia"/>
        </w:rPr>
        <w:t>工商</w:t>
      </w:r>
      <w:r w:rsidR="00443665">
        <w:rPr>
          <w:rFonts w:hint="eastAsia"/>
        </w:rPr>
        <w:t>银行提供固定资产贷款应根据项目风险大小确定相应的资本金比例。固定资产贷款项目资本金比例原则上不低于</w:t>
      </w:r>
      <w:r w:rsidR="00443665">
        <w:t>30</w:t>
      </w:r>
      <w:r w:rsidR="00443665">
        <w:rPr>
          <w:rFonts w:hint="eastAsia"/>
        </w:rPr>
        <w:t>％；国家或</w:t>
      </w:r>
      <w:r>
        <w:rPr>
          <w:rFonts w:hint="eastAsia"/>
        </w:rPr>
        <w:t>工商</w:t>
      </w:r>
      <w:r w:rsidR="00443665">
        <w:rPr>
          <w:rFonts w:hint="eastAsia"/>
        </w:rPr>
        <w:t>银行其他规定要求资本金比例高于</w:t>
      </w:r>
      <w:r w:rsidR="00443665">
        <w:t>30</w:t>
      </w:r>
      <w:r w:rsidR="00443665">
        <w:rPr>
          <w:rFonts w:hint="eastAsia"/>
        </w:rPr>
        <w:t>％的，从其规定：国家规定的资本金比例低于</w:t>
      </w:r>
      <w:r w:rsidR="00443665">
        <w:t>30</w:t>
      </w:r>
      <w:r w:rsidR="00443665">
        <w:rPr>
          <w:rFonts w:hint="eastAsia"/>
        </w:rPr>
        <w:t>％的，原则上按</w:t>
      </w:r>
      <w:r w:rsidR="00443665">
        <w:t>30</w:t>
      </w:r>
      <w:r w:rsidR="00443665">
        <w:rPr>
          <w:rFonts w:hint="eastAsia"/>
        </w:rPr>
        <w:t>％掌握。</w:t>
      </w:r>
    </w:p>
    <w:p w:rsidR="00443665" w:rsidRDefault="00443665">
      <w:pPr>
        <w:pStyle w:val="20"/>
        <w:spacing w:line="460" w:lineRule="atLeast"/>
        <w:ind w:firstLine="482"/>
      </w:pPr>
      <w:r>
        <w:rPr>
          <w:rFonts w:hint="eastAsia"/>
        </w:rPr>
        <w:t>符合下列条件之一的一般固定资产项目，可适度降低资本金比例；国家有规定的，资本金比例不低于国家规定：</w:t>
      </w:r>
    </w:p>
    <w:p w:rsidR="00443665" w:rsidRDefault="00443665">
      <w:pPr>
        <w:pStyle w:val="20"/>
        <w:spacing w:line="460" w:lineRule="atLeast"/>
        <w:ind w:firstLine="482"/>
      </w:pPr>
      <w:r>
        <w:rPr>
          <w:rFonts w:hint="eastAsia"/>
        </w:rPr>
        <w:t>（</w:t>
      </w:r>
      <w:r>
        <w:t>1</w:t>
      </w:r>
      <w:r>
        <w:rPr>
          <w:rFonts w:hint="eastAsia"/>
        </w:rPr>
        <w:t>）用于学校、医院等事业单位购置设备或器具、不涉及土建工程的一般固定资产贷款项目；其他客户贷款金额不超过借款人净资产</w:t>
      </w:r>
      <w:r>
        <w:t>10</w:t>
      </w:r>
      <w:r>
        <w:rPr>
          <w:rFonts w:hint="eastAsia"/>
        </w:rPr>
        <w:t>％、不涉及土建工程且不超过</w:t>
      </w:r>
      <w:r>
        <w:t>1000</w:t>
      </w:r>
      <w:r>
        <w:rPr>
          <w:rFonts w:hint="eastAsia"/>
        </w:rPr>
        <w:t>万元的一般固定资产贷款项目；</w:t>
      </w:r>
    </w:p>
    <w:p w:rsidR="00443665" w:rsidRDefault="00443665">
      <w:pPr>
        <w:pStyle w:val="20"/>
        <w:spacing w:line="460" w:lineRule="atLeast"/>
        <w:ind w:firstLine="482"/>
      </w:pPr>
      <w:r>
        <w:rPr>
          <w:rFonts w:hint="eastAsia"/>
        </w:rPr>
        <w:t>（</w:t>
      </w:r>
      <w:r>
        <w:t>2</w:t>
      </w:r>
      <w:r>
        <w:rPr>
          <w:rFonts w:hint="eastAsia"/>
        </w:rPr>
        <w:t>）授权中列入低风险业务的</w:t>
      </w:r>
      <w:r>
        <w:t>100</w:t>
      </w:r>
      <w:r>
        <w:rPr>
          <w:rFonts w:hint="eastAsia"/>
        </w:rPr>
        <w:t>％保证金、全额存单或国债质押、</w:t>
      </w:r>
      <w:r>
        <w:t>100</w:t>
      </w:r>
      <w:r>
        <w:rPr>
          <w:rFonts w:hint="eastAsia"/>
        </w:rPr>
        <w:t>％外汇质押等项下的固定资产贷款；</w:t>
      </w:r>
    </w:p>
    <w:p w:rsidR="00443665" w:rsidRDefault="00443665">
      <w:pPr>
        <w:pStyle w:val="20"/>
        <w:spacing w:line="460" w:lineRule="atLeast"/>
        <w:ind w:firstLine="482"/>
      </w:pPr>
      <w:r>
        <w:rPr>
          <w:rFonts w:hint="eastAsia"/>
        </w:rPr>
        <w:t>（</w:t>
      </w:r>
      <w:r>
        <w:t>3</w:t>
      </w:r>
      <w:r>
        <w:rPr>
          <w:rFonts w:hint="eastAsia"/>
        </w:rPr>
        <w:t>）收入稳定、现金流量充足的事业法人自建自用项目可适度降低资本金比例，但不低于</w:t>
      </w:r>
      <w:r>
        <w:t>20</w:t>
      </w:r>
      <w:r>
        <w:rPr>
          <w:rFonts w:hint="eastAsia"/>
        </w:rPr>
        <w:t>％；</w:t>
      </w:r>
    </w:p>
    <w:p w:rsidR="00443665" w:rsidRDefault="00443665">
      <w:pPr>
        <w:pStyle w:val="20"/>
        <w:spacing w:line="460" w:lineRule="atLeast"/>
        <w:ind w:firstLine="482"/>
      </w:pPr>
      <w:r>
        <w:rPr>
          <w:rFonts w:hint="eastAsia"/>
        </w:rPr>
        <w:lastRenderedPageBreak/>
        <w:t>（</w:t>
      </w:r>
      <w:r>
        <w:t>4</w:t>
      </w:r>
      <w:r>
        <w:rPr>
          <w:rFonts w:hint="eastAsia"/>
        </w:rPr>
        <w:t>）有权审批行同意适度降低资本金比例的竞争性优势项目。</w:t>
      </w:r>
    </w:p>
    <w:p w:rsidR="00443665" w:rsidRDefault="00443665">
      <w:pPr>
        <w:pStyle w:val="20"/>
        <w:spacing w:line="460" w:lineRule="atLeast"/>
        <w:ind w:firstLine="482"/>
      </w:pPr>
      <w:r>
        <w:rPr>
          <w:rFonts w:hint="eastAsia"/>
        </w:rPr>
        <w:t>经营性投资项目试行项目资本金制度，一次认缴，并根据批准建设进度按比例逐年到位。国家现行政策规定的具体比例为：</w:t>
      </w:r>
    </w:p>
    <w:p w:rsidR="00443665" w:rsidRDefault="00443665">
      <w:pPr>
        <w:pStyle w:val="20"/>
        <w:spacing w:line="460" w:lineRule="atLeast"/>
        <w:ind w:firstLine="482"/>
      </w:pPr>
      <w:r>
        <w:rPr>
          <w:rFonts w:hint="eastAsia"/>
        </w:rPr>
        <w:t>（</w:t>
      </w:r>
      <w:r>
        <w:t>1</w:t>
      </w:r>
      <w:r>
        <w:rPr>
          <w:rFonts w:hint="eastAsia"/>
        </w:rPr>
        <w:t>）钢铁资本金比例为</w:t>
      </w:r>
      <w:r>
        <w:t>40</w:t>
      </w:r>
      <w:r>
        <w:rPr>
          <w:rFonts w:hint="eastAsia"/>
        </w:rPr>
        <w:t>％及以上；</w:t>
      </w:r>
    </w:p>
    <w:p w:rsidR="00443665" w:rsidRDefault="00443665">
      <w:pPr>
        <w:pStyle w:val="20"/>
        <w:spacing w:line="460" w:lineRule="atLeast"/>
        <w:ind w:firstLine="482"/>
      </w:pPr>
      <w:r>
        <w:rPr>
          <w:rFonts w:hint="eastAsia"/>
        </w:rPr>
        <w:t>（</w:t>
      </w:r>
      <w:r>
        <w:t>2</w:t>
      </w:r>
      <w:r>
        <w:rPr>
          <w:rFonts w:hint="eastAsia"/>
        </w:rPr>
        <w:t>）交通运输〈含收费还贷公路〉、煤炭、水泥、电解铝、房地产开发（不含经济适用房项目）资本金比例为</w:t>
      </w:r>
      <w:r>
        <w:t>35</w:t>
      </w:r>
      <w:r>
        <w:rPr>
          <w:rFonts w:hint="eastAsia"/>
        </w:rPr>
        <w:t>％及以上；</w:t>
      </w:r>
    </w:p>
    <w:p w:rsidR="00443665" w:rsidRDefault="00443665">
      <w:pPr>
        <w:pStyle w:val="20"/>
        <w:spacing w:line="460" w:lineRule="atLeast"/>
        <w:ind w:firstLine="482"/>
      </w:pPr>
      <w:r>
        <w:rPr>
          <w:rFonts w:hint="eastAsia"/>
        </w:rPr>
        <w:t>（</w:t>
      </w:r>
      <w:r>
        <w:t>3</w:t>
      </w:r>
      <w:r>
        <w:rPr>
          <w:rFonts w:hint="eastAsia"/>
        </w:rPr>
        <w:t>）经济适用房资本金比例为</w:t>
      </w:r>
      <w:r>
        <w:t>30</w:t>
      </w:r>
      <w:r>
        <w:rPr>
          <w:rFonts w:hint="eastAsia"/>
        </w:rPr>
        <w:t>％及以上；</w:t>
      </w:r>
    </w:p>
    <w:p w:rsidR="00443665" w:rsidRDefault="00443665">
      <w:pPr>
        <w:pStyle w:val="20"/>
        <w:spacing w:line="460" w:lineRule="atLeast"/>
        <w:ind w:firstLine="482"/>
      </w:pPr>
      <w:r>
        <w:rPr>
          <w:rFonts w:hint="eastAsia"/>
        </w:rPr>
        <w:t>（</w:t>
      </w:r>
      <w:r>
        <w:t>4</w:t>
      </w:r>
      <w:r>
        <w:rPr>
          <w:rFonts w:hint="eastAsia"/>
        </w:rPr>
        <w:t>）邮电、化肥项目，资本金比例为</w:t>
      </w:r>
      <w:r>
        <w:t>25</w:t>
      </w:r>
      <w:r>
        <w:rPr>
          <w:rFonts w:hint="eastAsia"/>
        </w:rPr>
        <w:t>％及以上；</w:t>
      </w:r>
    </w:p>
    <w:p w:rsidR="00443665" w:rsidRDefault="00443665">
      <w:pPr>
        <w:pStyle w:val="20"/>
        <w:spacing w:line="460" w:lineRule="atLeast"/>
        <w:ind w:firstLine="482"/>
      </w:pPr>
      <w:r>
        <w:rPr>
          <w:rFonts w:hint="eastAsia"/>
        </w:rPr>
        <w:t>（</w:t>
      </w:r>
      <w:r>
        <w:t>5</w:t>
      </w:r>
      <w:r>
        <w:rPr>
          <w:rFonts w:hint="eastAsia"/>
        </w:rPr>
        <w:t>）电力、机电、建材（不含水泥）、化工、石油加工、有色、轻工、纺织、商贸及其他行业的项目，资本金比例为</w:t>
      </w:r>
      <w:r>
        <w:t>20</w:t>
      </w:r>
      <w:r>
        <w:rPr>
          <w:rFonts w:hint="eastAsia"/>
        </w:rPr>
        <w:t>％及以上。</w:t>
      </w:r>
    </w:p>
    <w:p w:rsidR="00443665" w:rsidRDefault="00443665">
      <w:pPr>
        <w:pStyle w:val="20"/>
        <w:spacing w:line="460" w:lineRule="atLeast"/>
        <w:ind w:firstLine="482"/>
      </w:pPr>
      <w:r>
        <w:rPr>
          <w:rFonts w:hint="eastAsia"/>
        </w:rPr>
        <w:t>（</w:t>
      </w:r>
      <w:r>
        <w:t>6</w:t>
      </w:r>
      <w:r>
        <w:rPr>
          <w:rFonts w:hint="eastAsia"/>
        </w:rPr>
        <w:t>）经国务院批准，对个别情况特殊的国家重点建设项目，可以适当降低资本金比例。</w:t>
      </w:r>
    </w:p>
    <w:p w:rsidR="00443665" w:rsidRDefault="00443665">
      <w:pPr>
        <w:pStyle w:val="20"/>
        <w:spacing w:line="460" w:lineRule="atLeast"/>
        <w:ind w:firstLine="482"/>
      </w:pPr>
      <w:r>
        <w:t>2</w:t>
      </w:r>
      <w:r>
        <w:rPr>
          <w:rFonts w:hint="eastAsia"/>
        </w:rPr>
        <w:t>、外商投资项目注册资金规定。</w:t>
      </w:r>
    </w:p>
    <w:p w:rsidR="00443665" w:rsidRDefault="00443665">
      <w:pPr>
        <w:pStyle w:val="20"/>
        <w:spacing w:line="460" w:lineRule="atLeast"/>
        <w:ind w:firstLine="482"/>
      </w:pPr>
      <w:r>
        <w:rPr>
          <w:rFonts w:hint="eastAsia"/>
        </w:rPr>
        <w:t>外商投资项目投资总额应与注册资本相适应。其中外国投资者可以分期缴付出资，出资的期限应在设立外资企业申请书和外资企业章程中载明，其中第一期出资不得少于外国投资者认缴出资额的</w:t>
      </w:r>
      <w:r>
        <w:t>15</w:t>
      </w:r>
      <w:r>
        <w:rPr>
          <w:rFonts w:hint="eastAsia"/>
        </w:rPr>
        <w:t>％，并应当在外资企业营业执照签发之日起</w:t>
      </w:r>
      <w:r>
        <w:t>90</w:t>
      </w:r>
      <w:r>
        <w:rPr>
          <w:rFonts w:hint="eastAsia"/>
        </w:rPr>
        <w:t>天内缴清；最后一期出资应当在营业执照签发之日起</w:t>
      </w:r>
      <w:r>
        <w:t>3</w:t>
      </w:r>
      <w:r>
        <w:rPr>
          <w:rFonts w:hint="eastAsia"/>
        </w:rPr>
        <w:t>年内缴清。投资总额与注册资本比例如下：</w:t>
      </w:r>
    </w:p>
    <w:p w:rsidR="00443665" w:rsidRDefault="00443665">
      <w:pPr>
        <w:pStyle w:val="20"/>
        <w:spacing w:line="460" w:lineRule="atLeast"/>
        <w:ind w:firstLine="482"/>
      </w:pPr>
      <w:r>
        <w:rPr>
          <w:rFonts w:hint="eastAsia"/>
        </w:rPr>
        <w:t>（</w:t>
      </w:r>
      <w:r>
        <w:t>1</w:t>
      </w:r>
      <w:r>
        <w:rPr>
          <w:rFonts w:hint="eastAsia"/>
        </w:rPr>
        <w:t>）总投资运</w:t>
      </w:r>
      <w:r>
        <w:t>300</w:t>
      </w:r>
      <w:r>
        <w:rPr>
          <w:rFonts w:hint="eastAsia"/>
        </w:rPr>
        <w:t>万美元的，注册资本至少占投资总额的</w:t>
      </w:r>
      <w:r>
        <w:t>70</w:t>
      </w:r>
      <w:r>
        <w:rPr>
          <w:rFonts w:hint="eastAsia"/>
        </w:rPr>
        <w:t>％；</w:t>
      </w:r>
    </w:p>
    <w:p w:rsidR="00443665" w:rsidRDefault="00443665">
      <w:pPr>
        <w:pStyle w:val="20"/>
        <w:spacing w:line="460" w:lineRule="atLeast"/>
        <w:ind w:firstLine="482"/>
      </w:pPr>
      <w:r>
        <w:rPr>
          <w:rFonts w:hint="eastAsia"/>
        </w:rPr>
        <w:t>（</w:t>
      </w:r>
      <w:r>
        <w:t>2</w:t>
      </w:r>
      <w:r>
        <w:rPr>
          <w:rFonts w:hint="eastAsia"/>
        </w:rPr>
        <w:t>）</w:t>
      </w:r>
      <w:r>
        <w:t>300</w:t>
      </w:r>
      <w:r>
        <w:rPr>
          <w:rFonts w:hint="eastAsia"/>
        </w:rPr>
        <w:t>万美元〈总投资</w:t>
      </w:r>
      <w:r>
        <w:t>〈</w:t>
      </w:r>
      <w:r>
        <w:t>=1000</w:t>
      </w:r>
      <w:r>
        <w:rPr>
          <w:rFonts w:hint="eastAsia"/>
        </w:rPr>
        <w:t>万美元的，注册资本至少占投资总额的</w:t>
      </w:r>
      <w:r>
        <w:t>50</w:t>
      </w:r>
      <w:r>
        <w:rPr>
          <w:rFonts w:hint="eastAsia"/>
        </w:rPr>
        <w:t>％，且注册资本不得低于</w:t>
      </w:r>
      <w:r>
        <w:t>210</w:t>
      </w:r>
      <w:r>
        <w:rPr>
          <w:rFonts w:hint="eastAsia"/>
        </w:rPr>
        <w:t>万美元；</w:t>
      </w:r>
    </w:p>
    <w:p w:rsidR="00443665" w:rsidRDefault="00443665">
      <w:pPr>
        <w:pStyle w:val="20"/>
        <w:spacing w:line="460" w:lineRule="atLeast"/>
        <w:ind w:firstLine="482"/>
      </w:pPr>
      <w:r>
        <w:rPr>
          <w:rFonts w:hint="eastAsia"/>
        </w:rPr>
        <w:t>（</w:t>
      </w:r>
      <w:r>
        <w:t>3</w:t>
      </w:r>
      <w:r>
        <w:rPr>
          <w:rFonts w:hint="eastAsia"/>
        </w:rPr>
        <w:t>）</w:t>
      </w:r>
      <w:r>
        <w:t>1000</w:t>
      </w:r>
      <w:r>
        <w:rPr>
          <w:rFonts w:hint="eastAsia"/>
        </w:rPr>
        <w:t>万美元〈总投资</w:t>
      </w:r>
      <w:r>
        <w:t>〈</w:t>
      </w:r>
      <w:r>
        <w:t>=3000</w:t>
      </w:r>
      <w:r>
        <w:rPr>
          <w:rFonts w:hint="eastAsia"/>
        </w:rPr>
        <w:t>万美元的，注册资本至少占投资总额的</w:t>
      </w:r>
      <w:r>
        <w:t>40</w:t>
      </w:r>
      <w:r>
        <w:rPr>
          <w:rFonts w:hint="eastAsia"/>
        </w:rPr>
        <w:t>％，且注册资本不得低于</w:t>
      </w:r>
      <w:r>
        <w:t>500</w:t>
      </w:r>
      <w:r>
        <w:rPr>
          <w:rFonts w:hint="eastAsia"/>
        </w:rPr>
        <w:t>万美元；</w:t>
      </w:r>
    </w:p>
    <w:p w:rsidR="00443665" w:rsidRDefault="00443665">
      <w:pPr>
        <w:pStyle w:val="20"/>
        <w:spacing w:line="460" w:lineRule="atLeast"/>
        <w:ind w:firstLine="482"/>
      </w:pPr>
      <w:r>
        <w:rPr>
          <w:rFonts w:hint="eastAsia"/>
        </w:rPr>
        <w:t>（</w:t>
      </w:r>
      <w:r>
        <w:t>4</w:t>
      </w:r>
      <w:r>
        <w:rPr>
          <w:rFonts w:hint="eastAsia"/>
        </w:rPr>
        <w:t>）总投资〉</w:t>
      </w:r>
      <w:r>
        <w:t>3000</w:t>
      </w:r>
      <w:r>
        <w:rPr>
          <w:rFonts w:hint="eastAsia"/>
        </w:rPr>
        <w:t>万美元的，注册资本至少占投资总额的</w:t>
      </w:r>
      <w:r>
        <w:t>1</w:t>
      </w:r>
      <w:r>
        <w:rPr>
          <w:rFonts w:hint="eastAsia"/>
        </w:rPr>
        <w:t>／</w:t>
      </w:r>
      <w:r>
        <w:t>3</w:t>
      </w:r>
      <w:r>
        <w:rPr>
          <w:rFonts w:hint="eastAsia"/>
        </w:rPr>
        <w:t>，且注册资本不得低于</w:t>
      </w:r>
      <w:r>
        <w:t>1200</w:t>
      </w:r>
      <w:r>
        <w:rPr>
          <w:rFonts w:hint="eastAsia"/>
        </w:rPr>
        <w:t>万美元。</w:t>
      </w:r>
    </w:p>
    <w:p w:rsidR="00443665" w:rsidRDefault="00443665">
      <w:pPr>
        <w:pStyle w:val="20"/>
        <w:spacing w:line="460" w:lineRule="atLeast"/>
        <w:ind w:firstLine="482"/>
      </w:pPr>
      <w:r>
        <w:t>3</w:t>
      </w:r>
      <w:r>
        <w:rPr>
          <w:rFonts w:hint="eastAsia"/>
        </w:rPr>
        <w:t>、事业法人项目资本金规定。</w:t>
      </w:r>
    </w:p>
    <w:p w:rsidR="00443665" w:rsidRDefault="00443665">
      <w:pPr>
        <w:pStyle w:val="20"/>
        <w:spacing w:line="460" w:lineRule="atLeast"/>
        <w:ind w:firstLine="482"/>
      </w:pPr>
      <w:r>
        <w:rPr>
          <w:rFonts w:hint="eastAsia"/>
        </w:rPr>
        <w:t>学校、医院等事业法人项目资本金占比为</w:t>
      </w:r>
      <w:r>
        <w:t>20</w:t>
      </w:r>
      <w:r>
        <w:rPr>
          <w:rFonts w:hint="eastAsia"/>
        </w:rPr>
        <w:t>％及以上。</w:t>
      </w:r>
    </w:p>
    <w:p w:rsidR="00443665" w:rsidRDefault="00443665">
      <w:pPr>
        <w:pStyle w:val="20"/>
        <w:spacing w:line="460" w:lineRule="atLeast"/>
        <w:ind w:firstLine="482"/>
      </w:pPr>
      <w:r>
        <w:t>4</w:t>
      </w:r>
      <w:r>
        <w:rPr>
          <w:rFonts w:hint="eastAsia"/>
        </w:rPr>
        <w:t>、土地开发项目资本金的规定。</w:t>
      </w:r>
    </w:p>
    <w:p w:rsidR="00443665" w:rsidRDefault="00443665">
      <w:pPr>
        <w:pStyle w:val="20"/>
        <w:spacing w:line="460" w:lineRule="atLeast"/>
        <w:ind w:firstLine="482"/>
      </w:pPr>
      <w:r>
        <w:rPr>
          <w:rFonts w:hint="eastAsia"/>
        </w:rPr>
        <w:t>（</w:t>
      </w:r>
      <w:r>
        <w:t>1</w:t>
      </w:r>
      <w:r>
        <w:rPr>
          <w:rFonts w:hint="eastAsia"/>
        </w:rPr>
        <w:t>）政府土地储备贷款：前一年度所辖区域（含下辖县）</w:t>
      </w:r>
      <w:r>
        <w:t>GDP</w:t>
      </w:r>
      <w:r>
        <w:rPr>
          <w:rFonts w:hint="eastAsia"/>
        </w:rPr>
        <w:t>在</w:t>
      </w:r>
      <w:r>
        <w:t>100</w:t>
      </w:r>
      <w:r>
        <w:rPr>
          <w:rFonts w:hint="eastAsia"/>
        </w:rPr>
        <w:t>亿元以上的地级市（含）以上政府本级土地储备机构及前一年度</w:t>
      </w:r>
      <w:r>
        <w:t>GDP</w:t>
      </w:r>
      <w:r>
        <w:rPr>
          <w:rFonts w:hint="eastAsia"/>
        </w:rPr>
        <w:t>在</w:t>
      </w:r>
      <w:r>
        <w:t>50</w:t>
      </w:r>
      <w:r>
        <w:rPr>
          <w:rFonts w:hint="eastAsia"/>
        </w:rPr>
        <w:t>亿元以上的县级市或县（市辖区）政府本级土地储备机构，自筹资金（含自有资金及财政资金）原则上不低于</w:t>
      </w:r>
      <w:r>
        <w:t>20</w:t>
      </w:r>
      <w:r>
        <w:rPr>
          <w:rFonts w:hint="eastAsia"/>
        </w:rPr>
        <w:t>％，并与贷</w:t>
      </w:r>
      <w:r>
        <w:rPr>
          <w:rFonts w:hint="eastAsia"/>
        </w:rPr>
        <w:lastRenderedPageBreak/>
        <w:t>款同比例到位；可使用周转贷款品种的借款人申请</w:t>
      </w:r>
      <w:r>
        <w:t>1</w:t>
      </w:r>
      <w:r>
        <w:rPr>
          <w:rFonts w:hint="eastAsia"/>
        </w:rPr>
        <w:t>年以内的贷款，自筹资金可不作比例要求，申请</w:t>
      </w:r>
      <w:r>
        <w:t>1</w:t>
      </w:r>
      <w:r>
        <w:rPr>
          <w:rFonts w:hint="eastAsia"/>
        </w:rPr>
        <w:t>年以上的贷款，自筹资金比例可适当降低（发放周转贷款条件：前一年度全市（含下辖区县）</w:t>
      </w:r>
      <w:r>
        <w:t>GDP</w:t>
      </w:r>
      <w:r>
        <w:rPr>
          <w:rFonts w:hint="eastAsia"/>
        </w:rPr>
        <w:t>在</w:t>
      </w:r>
      <w:r>
        <w:t>400</w:t>
      </w:r>
      <w:r>
        <w:rPr>
          <w:rFonts w:hint="eastAsia"/>
        </w:rPr>
        <w:t>亿元以上的地级市（含）以上政府本级土地储备机构及前一年度</w:t>
      </w:r>
      <w:r>
        <w:t>GDP</w:t>
      </w:r>
      <w:r>
        <w:rPr>
          <w:rFonts w:hint="eastAsia"/>
        </w:rPr>
        <w:t>在</w:t>
      </w:r>
      <w:r>
        <w:t>200</w:t>
      </w:r>
      <w:r>
        <w:rPr>
          <w:rFonts w:hint="eastAsia"/>
        </w:rPr>
        <w:t>亿元以上的县级市或县（市辖区）政府本级土地储备机构，可发放周转贷款）。</w:t>
      </w:r>
    </w:p>
    <w:p w:rsidR="00443665" w:rsidRDefault="00443665">
      <w:pPr>
        <w:pStyle w:val="20"/>
        <w:spacing w:line="460" w:lineRule="atLeast"/>
        <w:ind w:firstLine="482"/>
      </w:pPr>
      <w:r>
        <w:rPr>
          <w:rFonts w:hint="eastAsia"/>
        </w:rPr>
        <w:t>（</w:t>
      </w:r>
      <w:r>
        <w:t>2</w:t>
      </w:r>
      <w:r>
        <w:rPr>
          <w:rFonts w:hint="eastAsia"/>
        </w:rPr>
        <w:t>）政府园区土地开发贷款：项目贷款自筹资金占比不低于</w:t>
      </w:r>
      <w:r>
        <w:t>30</w:t>
      </w:r>
      <w:r>
        <w:rPr>
          <w:rFonts w:hint="eastAsia"/>
        </w:rPr>
        <w:t>％，并与贷款同比例到位，可使用项目前期贷款品种的借款人自筹资金比例可适当降低（项目前期贷款条件：前一年度</w:t>
      </w:r>
      <w:r>
        <w:t>GDP</w:t>
      </w:r>
      <w:r>
        <w:rPr>
          <w:rFonts w:hint="eastAsia"/>
        </w:rPr>
        <w:t>在</w:t>
      </w:r>
      <w:r>
        <w:t>30</w:t>
      </w:r>
      <w:r>
        <w:rPr>
          <w:rFonts w:hint="eastAsia"/>
        </w:rPr>
        <w:t>亿元以上或技工贸总收入在</w:t>
      </w:r>
      <w:r>
        <w:t>100</w:t>
      </w:r>
      <w:r>
        <w:rPr>
          <w:rFonts w:hint="eastAsia"/>
        </w:rPr>
        <w:t>亿元［含］以上的开发区的管委会发起设立的或控股的机构，在落实不低于</w:t>
      </w:r>
      <w:r>
        <w:t>40</w:t>
      </w:r>
      <w:r>
        <w:rPr>
          <w:rFonts w:hint="eastAsia"/>
        </w:rPr>
        <w:t>％自筹资金［含自有资金及财政资金〕后，可发放项目前期贷款）。</w:t>
      </w:r>
    </w:p>
    <w:p w:rsidR="00443665" w:rsidRDefault="00443665">
      <w:pPr>
        <w:pStyle w:val="20"/>
        <w:spacing w:line="460" w:lineRule="atLeast"/>
        <w:ind w:firstLine="482"/>
      </w:pPr>
      <w:r>
        <w:rPr>
          <w:rFonts w:hint="eastAsia"/>
        </w:rPr>
        <w:t>（</w:t>
      </w:r>
      <w:r>
        <w:t>3</w:t>
      </w:r>
      <w:r>
        <w:rPr>
          <w:rFonts w:hint="eastAsia"/>
        </w:rPr>
        <w:t>）其它土地开发贷款自有资金不低于</w:t>
      </w:r>
      <w:r>
        <w:t>30</w:t>
      </w:r>
      <w:r>
        <w:rPr>
          <w:rFonts w:hint="eastAsia"/>
        </w:rPr>
        <w:t>％，并先于贷款到位。</w:t>
      </w:r>
    </w:p>
    <w:p w:rsidR="00443665" w:rsidRDefault="00443665">
      <w:pPr>
        <w:pStyle w:val="20"/>
        <w:spacing w:line="460" w:lineRule="atLeast"/>
        <w:ind w:firstLine="482"/>
      </w:pPr>
      <w:r>
        <w:rPr>
          <w:rFonts w:hint="eastAsia"/>
        </w:rPr>
        <w:t>（二）项目资本金出资方式和资本金来源审查</w:t>
      </w:r>
    </w:p>
    <w:p w:rsidR="00443665" w:rsidRDefault="00443665">
      <w:pPr>
        <w:pStyle w:val="20"/>
        <w:spacing w:line="460" w:lineRule="atLeast"/>
        <w:ind w:firstLine="482"/>
      </w:pPr>
      <w:r>
        <w:t>1</w:t>
      </w:r>
      <w:r>
        <w:rPr>
          <w:rFonts w:hint="eastAsia"/>
        </w:rPr>
        <w:t>、出资方式。</w:t>
      </w:r>
    </w:p>
    <w:p w:rsidR="00443665" w:rsidRDefault="00443665">
      <w:pPr>
        <w:pStyle w:val="20"/>
        <w:spacing w:line="460" w:lineRule="atLeast"/>
        <w:ind w:firstLine="482"/>
      </w:pPr>
      <w:r>
        <w:rPr>
          <w:rFonts w:hint="eastAsia"/>
        </w:rPr>
        <w:t>出资方式包括货币资金、实物、工业产权、非专利技术、土地使用权等，其中以工业产权、非专利技术作价出资的比例不得超过项目资本金总额的</w:t>
      </w:r>
      <w:r>
        <w:t>20</w:t>
      </w:r>
      <w:r>
        <w:rPr>
          <w:rFonts w:hint="eastAsia"/>
        </w:rPr>
        <w:t>％，国家对采用高科技成果有特别规定的除外。</w:t>
      </w:r>
    </w:p>
    <w:p w:rsidR="00443665" w:rsidRDefault="00443665">
      <w:pPr>
        <w:pStyle w:val="20"/>
        <w:spacing w:line="460" w:lineRule="atLeast"/>
        <w:ind w:firstLine="482"/>
      </w:pPr>
      <w:r>
        <w:t>2</w:t>
      </w:r>
      <w:r>
        <w:rPr>
          <w:rFonts w:hint="eastAsia"/>
        </w:rPr>
        <w:t>、资本金来源。</w:t>
      </w:r>
    </w:p>
    <w:p w:rsidR="00443665" w:rsidRDefault="00443665">
      <w:pPr>
        <w:pStyle w:val="20"/>
        <w:spacing w:line="460" w:lineRule="atLeast"/>
        <w:ind w:firstLine="482"/>
      </w:pPr>
      <w:r>
        <w:rPr>
          <w:rFonts w:hint="eastAsia"/>
        </w:rPr>
        <w:t>（</w:t>
      </w:r>
      <w:r>
        <w:t>1</w:t>
      </w:r>
      <w:r>
        <w:rPr>
          <w:rFonts w:hint="eastAsia"/>
        </w:rPr>
        <w:t>）财政补助资金</w:t>
      </w:r>
    </w:p>
    <w:p w:rsidR="00443665" w:rsidRDefault="00443665">
      <w:pPr>
        <w:pStyle w:val="20"/>
        <w:spacing w:line="460" w:lineRule="atLeast"/>
        <w:ind w:firstLine="482"/>
      </w:pPr>
      <w:r>
        <w:rPr>
          <w:rFonts w:hint="eastAsia"/>
        </w:rPr>
        <w:t>什国家财政性补助资金主要包括国债资金、国家重点交通工程交通补助、县乡公路交通补助资金、国债贴息等无偿补助资金。</w:t>
      </w:r>
    </w:p>
    <w:p w:rsidR="00443665" w:rsidRDefault="00443665">
      <w:pPr>
        <w:pStyle w:val="20"/>
        <w:spacing w:line="460" w:lineRule="atLeast"/>
        <w:ind w:firstLine="482"/>
      </w:pPr>
      <w:r>
        <w:rPr>
          <w:rFonts w:hint="eastAsia"/>
        </w:rPr>
        <w:t>对此项资金来源着重审查补助额度、进度是否已取得国家发改委、交通部等有权部门批复，其中国债资金尚需审查是否确为无偿资金，需偿还的国债资金一般不纳入资本金范畴。</w:t>
      </w:r>
    </w:p>
    <w:p w:rsidR="00443665" w:rsidRDefault="00443665">
      <w:pPr>
        <w:pStyle w:val="20"/>
        <w:spacing w:line="460" w:lineRule="atLeast"/>
        <w:ind w:firstLine="482"/>
      </w:pPr>
      <w:r>
        <w:rPr>
          <w:rFonts w:hint="eastAsia"/>
        </w:rPr>
        <w:t>地方各级政府补助资金主要包括地方各级财政国债配套资金、其它财政补助资金等。审查地方承诺的合法性及相关依据，补助额是否经同级人大批准并列入当年财政预算；分析地方财政收支状况，判断及时、足额出资的能力。</w:t>
      </w:r>
    </w:p>
    <w:p w:rsidR="00443665" w:rsidRDefault="00443665">
      <w:pPr>
        <w:pStyle w:val="20"/>
        <w:spacing w:line="460" w:lineRule="atLeast"/>
        <w:ind w:firstLine="482"/>
      </w:pPr>
      <w:r>
        <w:rPr>
          <w:rFonts w:hint="eastAsia"/>
        </w:rPr>
        <w:t>（</w:t>
      </w:r>
      <w:r>
        <w:t>2</w:t>
      </w:r>
      <w:r>
        <w:rPr>
          <w:rFonts w:hint="eastAsia"/>
        </w:rPr>
        <w:t>）企、事业法人自有资金</w:t>
      </w:r>
    </w:p>
    <w:p w:rsidR="00443665" w:rsidRDefault="00443665">
      <w:pPr>
        <w:pStyle w:val="20"/>
        <w:spacing w:line="460" w:lineRule="atLeast"/>
        <w:ind w:firstLine="482"/>
      </w:pPr>
      <w:r>
        <w:rPr>
          <w:rFonts w:hint="eastAsia"/>
        </w:rPr>
        <w:t>新设项目法人（即新组建项目法人）自有资金来源于国内外企业、社会团体及个人的入股资金。着重查验公司章程、合同、验资报告、营业执照及企业财务报告，审查各股东认缴出资的合法性、出资额及实际到位额。</w:t>
      </w:r>
    </w:p>
    <w:p w:rsidR="00443665" w:rsidRDefault="00443665">
      <w:pPr>
        <w:pStyle w:val="20"/>
        <w:spacing w:line="460" w:lineRule="atLeast"/>
        <w:ind w:firstLine="482"/>
      </w:pPr>
      <w:r>
        <w:rPr>
          <w:rFonts w:hint="eastAsia"/>
        </w:rPr>
        <w:lastRenderedPageBreak/>
        <w:t>对未到位的资本金，应分析各股东的出资能力和到位进度。</w:t>
      </w:r>
    </w:p>
    <w:p w:rsidR="00443665" w:rsidRDefault="00443665">
      <w:pPr>
        <w:pStyle w:val="20"/>
        <w:spacing w:line="460" w:lineRule="atLeast"/>
        <w:ind w:firstLine="482"/>
      </w:pPr>
      <w:r>
        <w:rPr>
          <w:rFonts w:hint="eastAsia"/>
        </w:rPr>
        <w:t>既有项目法人（即项目建设前现有法人已经成立并有项目外业务建设、经营）自有资金来源于企业所有者权益、建设期内经营所得（不包括本项目经营所得）、股东增资扩股资金等。</w:t>
      </w:r>
    </w:p>
    <w:p w:rsidR="00443665" w:rsidRDefault="00443665">
      <w:pPr>
        <w:pStyle w:val="20"/>
        <w:spacing w:line="460" w:lineRule="atLeast"/>
        <w:ind w:firstLine="482"/>
      </w:pPr>
      <w:r>
        <w:rPr>
          <w:rFonts w:hint="eastAsia"/>
        </w:rPr>
        <w:t>对企业所有者权益应着重分析其中可用于项目建设的资金，主要包括两个方面，一是企业货币资金中可用于项目投资的资金；二是企业其它资产中可变现用于项目投资的资金。</w:t>
      </w:r>
    </w:p>
    <w:p w:rsidR="00443665" w:rsidRDefault="00443665">
      <w:pPr>
        <w:pStyle w:val="20"/>
        <w:spacing w:line="460" w:lineRule="atLeast"/>
        <w:ind w:firstLine="482"/>
      </w:pPr>
      <w:r>
        <w:rPr>
          <w:rFonts w:hint="eastAsia"/>
        </w:rPr>
        <w:t>建设期内经营所得。建设期长的项目，部分项目资本金可从客户建设期内经营所得中筹措。审查时应控制其在资本金总额中所占比重，并注意对其建设期内经营收益稳定性和资金到位的可能性予以分析和揭示。</w:t>
      </w:r>
    </w:p>
    <w:p w:rsidR="00443665" w:rsidRDefault="00443665">
      <w:pPr>
        <w:pStyle w:val="20"/>
        <w:spacing w:line="460" w:lineRule="atLeast"/>
        <w:ind w:firstLine="482"/>
      </w:pPr>
      <w:r>
        <w:rPr>
          <w:rFonts w:hint="eastAsia"/>
        </w:rPr>
        <w:t>股东增资扩股。查验验资报告，增资方式、金额，营业执照中注册资本是否已作相应变更；分析增资扩股资金中可用于项目建设的资金；未到位的增资扩股资金尚需审查相关投资方的出资承诺、出资方式、出资能力和到位可能性。</w:t>
      </w:r>
    </w:p>
    <w:p w:rsidR="00443665" w:rsidRDefault="00443665">
      <w:pPr>
        <w:pStyle w:val="20"/>
        <w:spacing w:line="460" w:lineRule="atLeast"/>
        <w:ind w:firstLine="482"/>
      </w:pPr>
      <w:r>
        <w:rPr>
          <w:rFonts w:hint="eastAsia"/>
        </w:rPr>
        <w:t>（三）银行借款及其它负债资金审查</w:t>
      </w:r>
    </w:p>
    <w:p w:rsidR="00443665" w:rsidRDefault="00443665">
      <w:pPr>
        <w:pStyle w:val="20"/>
        <w:spacing w:line="460" w:lineRule="atLeast"/>
        <w:ind w:firstLine="482"/>
      </w:pPr>
      <w:r>
        <w:rPr>
          <w:rFonts w:hint="eastAsia"/>
        </w:rPr>
        <w:t>审查</w:t>
      </w:r>
      <w:r w:rsidR="00B8245F">
        <w:rPr>
          <w:rFonts w:hint="eastAsia"/>
        </w:rPr>
        <w:t>工行</w:t>
      </w:r>
      <w:r>
        <w:rPr>
          <w:rFonts w:hint="eastAsia"/>
        </w:rPr>
        <w:t>借款以外的其它负债资金到位情况和到位可能性，如涉及他行借款，应审查审批进度、额度和期限、利率、担保方案及主要贷款条件等。</w:t>
      </w:r>
    </w:p>
    <w:p w:rsidR="00443665" w:rsidRDefault="00443665">
      <w:pPr>
        <w:pStyle w:val="20"/>
        <w:spacing w:line="460" w:lineRule="atLeast"/>
        <w:ind w:firstLine="482"/>
      </w:pPr>
      <w:r>
        <w:rPr>
          <w:rFonts w:hint="eastAsia"/>
        </w:rPr>
        <w:t>（四）审查中应注意的问题</w:t>
      </w:r>
    </w:p>
    <w:p w:rsidR="00443665" w:rsidRDefault="00443665">
      <w:pPr>
        <w:pStyle w:val="20"/>
        <w:spacing w:line="460" w:lineRule="atLeast"/>
        <w:ind w:firstLine="482"/>
      </w:pPr>
      <w:r>
        <w:t>1</w:t>
      </w:r>
      <w:r>
        <w:rPr>
          <w:rFonts w:hint="eastAsia"/>
        </w:rPr>
        <w:t>、注意审查筹资总额、方式、到位进度与投资方案、建设计划是否匹配，已投入资金额度、完成投资额、工程进度与原方案是否相符，如有较大差距，应分析原因并在审查中予以揭示。</w:t>
      </w:r>
    </w:p>
    <w:p w:rsidR="00443665" w:rsidRDefault="00443665">
      <w:pPr>
        <w:pStyle w:val="20"/>
        <w:spacing w:line="460" w:lineRule="atLeast"/>
        <w:ind w:firstLine="482"/>
      </w:pPr>
      <w:r>
        <w:t>2</w:t>
      </w:r>
      <w:r>
        <w:rPr>
          <w:rFonts w:hint="eastAsia"/>
        </w:rPr>
        <w:t>、注重对未到位资金到位可能性分析，防止因总投入资金不足引起资金</w:t>
      </w:r>
      <w:r>
        <w:t>“</w:t>
      </w:r>
      <w:r>
        <w:rPr>
          <w:rFonts w:hint="eastAsia"/>
        </w:rPr>
        <w:t>硬缺口</w:t>
      </w:r>
      <w:r>
        <w:t>”</w:t>
      </w:r>
      <w:r>
        <w:rPr>
          <w:rFonts w:hint="eastAsia"/>
        </w:rPr>
        <w:t>和资金到位进度与施工进度不一致引起的资金</w:t>
      </w:r>
      <w:r>
        <w:t>“</w:t>
      </w:r>
      <w:r>
        <w:rPr>
          <w:rFonts w:hint="eastAsia"/>
        </w:rPr>
        <w:t>软缺口</w:t>
      </w:r>
      <w:r>
        <w:t>”</w:t>
      </w:r>
      <w:r>
        <w:rPr>
          <w:rFonts w:hint="eastAsia"/>
        </w:rPr>
        <w:t>。</w:t>
      </w:r>
    </w:p>
    <w:p w:rsidR="00443665" w:rsidRDefault="00443665">
      <w:pPr>
        <w:pStyle w:val="20"/>
        <w:spacing w:line="460" w:lineRule="atLeast"/>
        <w:ind w:firstLine="482"/>
      </w:pPr>
      <w:r>
        <w:t>3</w:t>
      </w:r>
      <w:r>
        <w:rPr>
          <w:rFonts w:hint="eastAsia"/>
        </w:rPr>
        <w:t>、现行相关资本金比例的规定仅为项目资本金的最低比例，审查时应结合项目效益、还款来源、还贷期限、投资规模、股东结构、国家宏观政策等因素，根据贷款风险管理的要求，确定项目资本金的适宜比例。对项目综合效益一般、贷款风险度较高、国家产业政策和信贷政策限制的项目，可要求项目业主提高项目资本金比例；对项目资本金不符合规定比例的，应要求调整筹资方案。</w:t>
      </w:r>
    </w:p>
    <w:p w:rsidR="00443665" w:rsidRDefault="00443665">
      <w:pPr>
        <w:pStyle w:val="20"/>
        <w:spacing w:line="460" w:lineRule="atLeast"/>
        <w:ind w:firstLine="482"/>
      </w:pPr>
      <w:r>
        <w:t>4</w:t>
      </w:r>
      <w:r>
        <w:rPr>
          <w:rFonts w:hint="eastAsia"/>
        </w:rPr>
        <w:t>、以实物、工业产权、非专利技术、土地使用权作价出资的，需附有资格资产评估机构的评估报告，审查作价金额、作价比例是否恰当，相关资产是否确为项目投资所需要并纳入投资总额范畴。</w:t>
      </w:r>
    </w:p>
    <w:p w:rsidR="00443665" w:rsidRDefault="00443665">
      <w:pPr>
        <w:pStyle w:val="20"/>
        <w:spacing w:line="460" w:lineRule="atLeast"/>
        <w:ind w:firstLine="482"/>
      </w:pPr>
      <w:r>
        <w:lastRenderedPageBreak/>
        <w:t>5</w:t>
      </w:r>
      <w:r>
        <w:rPr>
          <w:rFonts w:hint="eastAsia"/>
        </w:rPr>
        <w:t>、注意对资本金来源渠道合法性审查，其中公司制企业对外投资不得超过净资产的</w:t>
      </w:r>
      <w:r>
        <w:t>50</w:t>
      </w:r>
      <w:r>
        <w:rPr>
          <w:rFonts w:hint="eastAsia"/>
        </w:rPr>
        <w:t>％。</w:t>
      </w:r>
    </w:p>
    <w:p w:rsidR="00443665" w:rsidRDefault="00443665">
      <w:pPr>
        <w:pStyle w:val="20"/>
        <w:spacing w:line="460" w:lineRule="atLeast"/>
        <w:ind w:firstLine="482"/>
      </w:pPr>
      <w:r>
        <w:t>6</w:t>
      </w:r>
      <w:r>
        <w:rPr>
          <w:rFonts w:hint="eastAsia"/>
        </w:rPr>
        <w:t>、自筹资金不能混同于自有资金和项目资本金。股东借款、预售房款、工程垫款是借款人筹资方案中常见的几种资金来源，但由于上述资金均属于债务性资金，不应列入项目资本金范畴。实际工作中可作如下处理：</w:t>
      </w:r>
    </w:p>
    <w:p w:rsidR="00443665" w:rsidRDefault="00443665">
      <w:pPr>
        <w:pStyle w:val="20"/>
        <w:spacing w:line="460" w:lineRule="atLeast"/>
        <w:ind w:firstLine="482"/>
      </w:pPr>
      <w:r>
        <w:rPr>
          <w:rFonts w:hint="eastAsia"/>
        </w:rPr>
        <w:t>（</w:t>
      </w:r>
      <w:r>
        <w:t>1</w:t>
      </w:r>
      <w:r>
        <w:rPr>
          <w:rFonts w:hint="eastAsia"/>
        </w:rPr>
        <w:t>）股东借款。股东借款在股东明确承诺其借款属于</w:t>
      </w:r>
      <w:r>
        <w:t>“</w:t>
      </w:r>
      <w:r>
        <w:rPr>
          <w:rFonts w:hint="eastAsia"/>
        </w:rPr>
        <w:t>次级债务</w:t>
      </w:r>
      <w:r>
        <w:t>”</w:t>
      </w:r>
      <w:r>
        <w:rPr>
          <w:rFonts w:hint="eastAsia"/>
        </w:rPr>
        <w:t>，滞后于银行借款偿还（不影响银行债权的先期实现）的情况下，可作为稳定的筹资来源。</w:t>
      </w:r>
    </w:p>
    <w:p w:rsidR="00443665" w:rsidRDefault="00443665">
      <w:pPr>
        <w:pStyle w:val="20"/>
        <w:spacing w:line="460" w:lineRule="atLeast"/>
        <w:ind w:firstLine="482"/>
      </w:pPr>
      <w:r>
        <w:rPr>
          <w:rFonts w:hint="eastAsia"/>
        </w:rPr>
        <w:t>（</w:t>
      </w:r>
      <w:r>
        <w:t>2</w:t>
      </w:r>
      <w:r>
        <w:rPr>
          <w:rFonts w:hint="eastAsia"/>
        </w:rPr>
        <w:t>）项目建设期内销售预收款，水、电、气初装费等可列入项目筹资方案，但不能作为项目资本金的来源。具体审查时还应注意控制其在总投资中比重，防止在分析项目财务效益和还款来源时重复计算该部分收入。</w:t>
      </w:r>
    </w:p>
    <w:p w:rsidR="00443665" w:rsidRDefault="00443665">
      <w:pPr>
        <w:pStyle w:val="20"/>
        <w:spacing w:line="460" w:lineRule="atLeast"/>
        <w:ind w:firstLine="482"/>
      </w:pPr>
      <w:r>
        <w:rPr>
          <w:rFonts w:hint="eastAsia"/>
        </w:rPr>
        <w:t>（</w:t>
      </w:r>
      <w:r>
        <w:t>3</w:t>
      </w:r>
      <w:r>
        <w:rPr>
          <w:rFonts w:hint="eastAsia"/>
        </w:rPr>
        <w:t>）工程垫资。工程垫资属于国家严令禁止的行为，不能列入项目资本金，也不能列入项目筹资方案（外商投资建筑企业依据我国有关规定在境内带资承包的除外，但在测算还款额时应予相应考虑）。</w:t>
      </w:r>
    </w:p>
    <w:p w:rsidR="00443665" w:rsidRDefault="00443665">
      <w:pPr>
        <w:pStyle w:val="20"/>
        <w:spacing w:line="460" w:lineRule="atLeast"/>
        <w:ind w:firstLine="482"/>
      </w:pPr>
      <w:r>
        <w:t>7</w:t>
      </w:r>
      <w:r>
        <w:rPr>
          <w:rFonts w:hint="eastAsia"/>
        </w:rPr>
        <w:t>、自有资金不等于项目资本金。自有资金中可用于项目建设的部分才能够构成项目资本金。</w:t>
      </w:r>
    </w:p>
    <w:p w:rsidR="00443665" w:rsidRDefault="00443665">
      <w:pPr>
        <w:pStyle w:val="20"/>
        <w:spacing w:line="460" w:lineRule="atLeast"/>
        <w:ind w:firstLine="482"/>
      </w:pPr>
      <w:r>
        <w:rPr>
          <w:rFonts w:hint="eastAsia"/>
        </w:rPr>
        <w:t>既有项目法人为维持现有生产经营所必须的营运资金以及有其它特定用途的货币资金（如上市公司从证券市场募集的有其它明确用途的资金），不能作为项目资本金。</w:t>
      </w:r>
    </w:p>
    <w:p w:rsidR="00443665" w:rsidRDefault="00443665">
      <w:pPr>
        <w:pStyle w:val="20"/>
        <w:spacing w:line="460" w:lineRule="atLeast"/>
        <w:ind w:firstLine="482"/>
      </w:pPr>
      <w:r>
        <w:rPr>
          <w:rFonts w:hint="eastAsia"/>
        </w:rPr>
        <w:t>新建项目法人如有项目外业务，自有资金同样不等同于项目资本金。</w:t>
      </w:r>
    </w:p>
    <w:p w:rsidR="00443665" w:rsidRDefault="00443665">
      <w:pPr>
        <w:pStyle w:val="20"/>
        <w:spacing w:line="460" w:lineRule="atLeast"/>
        <w:ind w:firstLine="482"/>
        <w:rPr>
          <w:rFonts w:hint="eastAsia"/>
        </w:rPr>
      </w:pPr>
      <w:r>
        <w:t>8</w:t>
      </w:r>
      <w:r>
        <w:rPr>
          <w:rFonts w:hint="eastAsia"/>
        </w:rPr>
        <w:t>、多家金融机构介入同一项目时，应注意与他行沟通，尽可能组成银团贷款；不能组成银团贷款的，应注意审查资本金来源的真实性，控制企业在各行总的信用额度不超项目贷款合理需求额，防止资本金占比下降和以项目为平台融资他用</w:t>
      </w:r>
      <w:r>
        <w:t>。</w:t>
      </w:r>
    </w:p>
    <w:p w:rsidR="00443665" w:rsidRDefault="00443665">
      <w:pPr>
        <w:pStyle w:val="20"/>
        <w:spacing w:line="460" w:lineRule="atLeast"/>
        <w:ind w:firstLine="482"/>
      </w:pPr>
    </w:p>
    <w:p w:rsidR="00443665" w:rsidRPr="0065553E" w:rsidRDefault="00443665" w:rsidP="0065553E">
      <w:pPr>
        <w:overflowPunct/>
        <w:spacing w:line="240" w:lineRule="auto"/>
        <w:jc w:val="center"/>
        <w:textAlignment w:val="auto"/>
        <w:rPr>
          <w:rFonts w:ascii="Arial" w:hAnsi="Arial"/>
          <w:b/>
          <w:bCs/>
          <w:sz w:val="32"/>
        </w:rPr>
      </w:pPr>
      <w:r>
        <w:br w:type="page"/>
      </w:r>
      <w:r w:rsidRPr="0065553E">
        <w:rPr>
          <w:rFonts w:ascii="Arial" w:hAnsi="Arial" w:hint="eastAsia"/>
          <w:b/>
          <w:bCs/>
          <w:sz w:val="32"/>
        </w:rPr>
        <w:lastRenderedPageBreak/>
        <w:t>第</w:t>
      </w:r>
      <w:r w:rsidR="00B8245F">
        <w:rPr>
          <w:rFonts w:ascii="Arial" w:hAnsi="Arial" w:hint="eastAsia"/>
          <w:b/>
          <w:bCs/>
          <w:sz w:val="32"/>
        </w:rPr>
        <w:t>四</w:t>
      </w:r>
      <w:r w:rsidRPr="0065553E">
        <w:rPr>
          <w:rFonts w:ascii="Arial" w:hAnsi="Arial" w:hint="eastAsia"/>
          <w:b/>
          <w:bCs/>
          <w:sz w:val="32"/>
        </w:rPr>
        <w:t>章</w:t>
      </w:r>
      <w:r w:rsidR="0065553E">
        <w:rPr>
          <w:rFonts w:ascii="Arial" w:hAnsi="Arial" w:hint="eastAsia"/>
          <w:b/>
          <w:bCs/>
          <w:sz w:val="32"/>
        </w:rPr>
        <w:t xml:space="preserve">  </w:t>
      </w:r>
      <w:r w:rsidRPr="0065553E">
        <w:rPr>
          <w:rFonts w:ascii="Arial" w:hAnsi="Arial" w:hint="eastAsia"/>
          <w:b/>
          <w:bCs/>
          <w:sz w:val="32"/>
        </w:rPr>
        <w:t>市场状况审查</w:t>
      </w:r>
    </w:p>
    <w:p w:rsidR="00443665" w:rsidRPr="00443665" w:rsidRDefault="00443665" w:rsidP="00443665">
      <w:pPr>
        <w:pStyle w:val="20"/>
        <w:spacing w:line="460" w:lineRule="atLeast"/>
        <w:ind w:firstLine="482"/>
      </w:pPr>
    </w:p>
    <w:p w:rsidR="00443665" w:rsidRPr="00443665" w:rsidRDefault="00443665" w:rsidP="00443665">
      <w:pPr>
        <w:pStyle w:val="20"/>
        <w:spacing w:line="460" w:lineRule="atLeast"/>
        <w:ind w:firstLine="482"/>
      </w:pPr>
      <w:r w:rsidRPr="00443665">
        <w:rPr>
          <w:rFonts w:hint="eastAsia"/>
        </w:rPr>
        <w:t>有效的市场是项目预期效益实现的基础，市场分析要以项目所处行业分析为基础，通过对项目产品市场现状、未来市场供求状况以及产品市场竞争能力的分析，判定项目的市场风险。</w:t>
      </w:r>
    </w:p>
    <w:p w:rsidR="00443665" w:rsidRPr="00443665" w:rsidRDefault="00443665" w:rsidP="00443665">
      <w:pPr>
        <w:pStyle w:val="20"/>
        <w:spacing w:line="460" w:lineRule="atLeast"/>
        <w:ind w:firstLine="482"/>
      </w:pPr>
      <w:r w:rsidRPr="00443665">
        <w:rPr>
          <w:rFonts w:hint="eastAsia"/>
        </w:rPr>
        <w:t>一、行业市场分析</w:t>
      </w:r>
    </w:p>
    <w:p w:rsidR="00443665" w:rsidRPr="00443665" w:rsidRDefault="00443665" w:rsidP="00443665">
      <w:pPr>
        <w:pStyle w:val="20"/>
        <w:spacing w:line="460" w:lineRule="atLeast"/>
        <w:ind w:firstLine="482"/>
      </w:pPr>
      <w:r w:rsidRPr="00443665">
        <w:rPr>
          <w:rFonts w:hint="eastAsia"/>
        </w:rPr>
        <w:t>主要审查项目所处行业的整体市场特点、政策环境、发展趋势和竞争态势。</w:t>
      </w:r>
    </w:p>
    <w:p w:rsidR="00443665" w:rsidRPr="00443665" w:rsidRDefault="00443665" w:rsidP="00443665">
      <w:pPr>
        <w:pStyle w:val="20"/>
        <w:spacing w:line="460" w:lineRule="atLeast"/>
        <w:ind w:firstLine="482"/>
      </w:pPr>
      <w:r w:rsidRPr="00443665">
        <w:rPr>
          <w:rFonts w:hint="eastAsia"/>
        </w:rPr>
        <w:t>（一）项目所处行业政策对市场的影响。一般认为，对国家限制利用的技术、工艺生产的项目和低水平重复建设项目或产品，由于存在政策性风险，其市场前景不确定性较大；国家鼓励发展的产业、行业、产品、技术和工艺，由于符合发展方向，并有可能得到各种政策支持，将会具有相对较好的市场前景和竞争优势。</w:t>
      </w:r>
    </w:p>
    <w:p w:rsidR="00443665" w:rsidRPr="00443665" w:rsidRDefault="00443665" w:rsidP="00443665">
      <w:pPr>
        <w:pStyle w:val="20"/>
        <w:spacing w:line="460" w:lineRule="atLeast"/>
        <w:ind w:firstLine="482"/>
      </w:pPr>
      <w:r w:rsidRPr="00443665">
        <w:rPr>
          <w:rFonts w:hint="eastAsia"/>
        </w:rPr>
        <w:t>（二）项目所处行业发展阶段及其特点。分析项目所处行业财务</w:t>
      </w:r>
      <w:r>
        <w:rPr>
          <w:rFonts w:hint="eastAsia"/>
        </w:rPr>
        <w:t>特征和投资价值指标，判断行业的发展阶段。一般来说，处于导入</w:t>
      </w:r>
      <w:r w:rsidRPr="00443665">
        <w:rPr>
          <w:rFonts w:hint="eastAsia"/>
        </w:rPr>
        <w:t>期的行业，投入高，市场前景尚不明朗，信贷介入风险较大；处于成长期的行业，产品市场前景较好；处于成熟期的行业，产品具有广泛的市场，但市场竞争较为激烈；处于衰退期的行业，产品市场萎缩</w:t>
      </w:r>
      <w:r>
        <w:rPr>
          <w:rFonts w:hint="eastAsia"/>
        </w:rPr>
        <w:t>，</w:t>
      </w:r>
      <w:r w:rsidRPr="00443665">
        <w:rPr>
          <w:rFonts w:hint="eastAsia"/>
        </w:rPr>
        <w:t>销售和利润下降，风险较大。</w:t>
      </w:r>
    </w:p>
    <w:p w:rsidR="00443665" w:rsidRPr="00443665" w:rsidRDefault="00443665" w:rsidP="00443665">
      <w:pPr>
        <w:pStyle w:val="20"/>
        <w:spacing w:line="460" w:lineRule="atLeast"/>
        <w:ind w:firstLine="482"/>
      </w:pPr>
      <w:r w:rsidRPr="00443665">
        <w:rPr>
          <w:rFonts w:hint="eastAsia"/>
        </w:rPr>
        <w:t>（三）行业竞争程度。一般而言，垄断程度较高的行业，产品市场保障程度较高，审查时应当具体分析导致垄断的原因是否合理以及该原因是否会持续存在；处于充分竞争行业的项目，需要对产品市场竞争能力作充分审查。</w:t>
      </w:r>
    </w:p>
    <w:p w:rsidR="00443665" w:rsidRPr="00443665" w:rsidRDefault="00443665" w:rsidP="00443665">
      <w:pPr>
        <w:pStyle w:val="20"/>
        <w:spacing w:line="460" w:lineRule="atLeast"/>
        <w:ind w:firstLine="482"/>
      </w:pPr>
      <w:r w:rsidRPr="00443665">
        <w:rPr>
          <w:rFonts w:hint="eastAsia"/>
        </w:rPr>
        <w:t>二、产品市场供求分析</w:t>
      </w:r>
    </w:p>
    <w:p w:rsidR="00443665" w:rsidRPr="00443665" w:rsidRDefault="00443665" w:rsidP="00443665">
      <w:pPr>
        <w:pStyle w:val="20"/>
        <w:spacing w:line="460" w:lineRule="atLeast"/>
        <w:ind w:firstLine="482"/>
      </w:pPr>
      <w:r w:rsidRPr="00443665">
        <w:rPr>
          <w:rFonts w:hint="eastAsia"/>
        </w:rPr>
        <w:t>（一）产品供求关系现状</w:t>
      </w:r>
    </w:p>
    <w:p w:rsidR="00443665" w:rsidRPr="00443665" w:rsidRDefault="00443665" w:rsidP="00443665">
      <w:pPr>
        <w:pStyle w:val="20"/>
        <w:spacing w:line="460" w:lineRule="atLeast"/>
        <w:ind w:firstLine="482"/>
      </w:pPr>
      <w:r w:rsidRPr="00443665">
        <w:t>1</w:t>
      </w:r>
      <w:r w:rsidRPr="00443665">
        <w:rPr>
          <w:rFonts w:hint="eastAsia"/>
        </w:rPr>
        <w:t>、市场供给状况。</w:t>
      </w:r>
    </w:p>
    <w:p w:rsidR="00443665" w:rsidRPr="00443665" w:rsidRDefault="00443665" w:rsidP="00443665">
      <w:pPr>
        <w:pStyle w:val="20"/>
        <w:spacing w:line="460" w:lineRule="atLeast"/>
        <w:ind w:firstLine="482"/>
      </w:pPr>
      <w:r w:rsidRPr="00443665">
        <w:rPr>
          <w:rFonts w:hint="eastAsia"/>
        </w:rPr>
        <w:t>分析目前国内、国外产品的设计生产能力、实际供应能力和主要生产厂家；对实际供应能力低于设计生产能力的，深入分析产能发挥不足的程度和原因（技术、原材料供应和市场需求）；综合以上因素，审查判定评估报告和调查报告对产品市场供给情况的调查意见是否准确。</w:t>
      </w:r>
    </w:p>
    <w:p w:rsidR="00443665" w:rsidRPr="00443665" w:rsidRDefault="00443665" w:rsidP="00443665">
      <w:pPr>
        <w:pStyle w:val="20"/>
        <w:spacing w:line="460" w:lineRule="atLeast"/>
        <w:ind w:firstLine="482"/>
      </w:pPr>
      <w:r w:rsidRPr="00443665">
        <w:t>2</w:t>
      </w:r>
      <w:r w:rsidRPr="00443665">
        <w:rPr>
          <w:rFonts w:hint="eastAsia"/>
        </w:rPr>
        <w:t>、市场需求状况。</w:t>
      </w:r>
    </w:p>
    <w:p w:rsidR="00443665" w:rsidRPr="00443665" w:rsidRDefault="00443665" w:rsidP="00443665">
      <w:pPr>
        <w:pStyle w:val="20"/>
        <w:spacing w:line="460" w:lineRule="atLeast"/>
        <w:ind w:firstLine="482"/>
      </w:pPr>
      <w:r w:rsidRPr="00443665">
        <w:rPr>
          <w:rFonts w:hint="eastAsia"/>
        </w:rPr>
        <w:t>分析目前国内、国外产品的需求现状、主要客户、价格水平及变动趋势，审查判定评估报告和调查报告对产品市场需求情况的调查意见是否准确。</w:t>
      </w:r>
    </w:p>
    <w:p w:rsidR="00443665" w:rsidRPr="00443665" w:rsidRDefault="00443665" w:rsidP="00443665">
      <w:pPr>
        <w:pStyle w:val="20"/>
        <w:spacing w:line="460" w:lineRule="atLeast"/>
        <w:ind w:firstLine="482"/>
      </w:pPr>
      <w:r w:rsidRPr="00443665">
        <w:rPr>
          <w:rFonts w:hint="eastAsia"/>
        </w:rPr>
        <w:lastRenderedPageBreak/>
        <w:t>综合以上两个方面，综合判断目前市场供求平衡状况，对供求失衡的应审查其主要原因，如属于产品结构性失衡或区域性失衡，同时分析供求失衡的程度。</w:t>
      </w:r>
    </w:p>
    <w:p w:rsidR="00443665" w:rsidRPr="00443665" w:rsidRDefault="00443665" w:rsidP="00443665">
      <w:pPr>
        <w:pStyle w:val="20"/>
        <w:spacing w:line="460" w:lineRule="atLeast"/>
        <w:ind w:firstLine="482"/>
      </w:pPr>
      <w:r w:rsidRPr="00443665">
        <w:rPr>
          <w:rFonts w:hint="eastAsia"/>
        </w:rPr>
        <w:t>（二）预测未来市场供求状况</w:t>
      </w:r>
    </w:p>
    <w:p w:rsidR="00443665" w:rsidRPr="00443665" w:rsidRDefault="00443665" w:rsidP="00443665">
      <w:pPr>
        <w:pStyle w:val="20"/>
        <w:spacing w:line="460" w:lineRule="atLeast"/>
        <w:ind w:firstLine="482"/>
      </w:pPr>
      <w:r>
        <w:t>1</w:t>
      </w:r>
      <w:r>
        <w:rPr>
          <w:rFonts w:hint="eastAsia"/>
        </w:rPr>
        <w:t>、</w:t>
      </w:r>
      <w:r w:rsidRPr="00443665">
        <w:rPr>
          <w:rFonts w:hint="eastAsia"/>
        </w:rPr>
        <w:t>审查未来市场供给预测是否合理。综合考虑目前国内、国外产品的生产能力和项目计算期内新增生产能力、淘汰生产能力等因素，对项目计算期内的市场供给总量做出合理的预测。对项目计算期，应考虑产品生命周期、互补产品和替代产品的出现、市场变化规律等因素合理确定。一般来说，竞争性项目产品，预测时间一般在</w:t>
      </w:r>
      <w:r w:rsidRPr="00443665">
        <w:t>10</w:t>
      </w:r>
      <w:r w:rsidRPr="00443665">
        <w:rPr>
          <w:rFonts w:hint="eastAsia"/>
        </w:rPr>
        <w:t>年以下（如家用电器制造业）；更新换代快、生命周期短的项目产品，预测时间相应缩短（如软件开发行业）；大型交通设施、能源建设项目，预测时间可适当延长</w:t>
      </w:r>
      <w:r>
        <w:rPr>
          <w:rFonts w:hint="eastAsia"/>
        </w:rPr>
        <w:t>。</w:t>
      </w:r>
    </w:p>
    <w:p w:rsidR="00443665" w:rsidRPr="00443665" w:rsidRDefault="00443665" w:rsidP="00443665">
      <w:pPr>
        <w:pStyle w:val="20"/>
        <w:spacing w:line="460" w:lineRule="atLeast"/>
        <w:ind w:firstLine="482"/>
      </w:pPr>
      <w:r w:rsidRPr="00443665">
        <w:t>2</w:t>
      </w:r>
      <w:r w:rsidRPr="00443665">
        <w:rPr>
          <w:rFonts w:hint="eastAsia"/>
        </w:rPr>
        <w:t>、审查未来市场需求预测是否合理。审查预测目标、预测范围</w:t>
      </w:r>
      <w:r>
        <w:rPr>
          <w:rFonts w:hint="eastAsia"/>
        </w:rPr>
        <w:t>和预测时间选择是否合理；</w:t>
      </w:r>
      <w:r w:rsidRPr="00443665">
        <w:rPr>
          <w:rFonts w:hint="eastAsia"/>
        </w:rPr>
        <w:t>审查预测方法的使用是否适当；审查市场预测结果是否准确，注意审查评估报告是否考虑了以下因素对市场预测的影响：中国民经济和区域经济发展对产品市场的影响；相关产业产品和上下游产品变化对产品市场的影响；产品结构变化、产品升级换代和替代品出现对产品市场的影响；客户群体的消费习惯、消费水平、消费方式以及变化趋势对产品市场的影响。</w:t>
      </w:r>
    </w:p>
    <w:p w:rsidR="00443665" w:rsidRPr="00443665" w:rsidRDefault="00443665" w:rsidP="00443665">
      <w:pPr>
        <w:pStyle w:val="20"/>
        <w:spacing w:line="460" w:lineRule="atLeast"/>
        <w:ind w:firstLine="482"/>
      </w:pPr>
      <w:r w:rsidRPr="00443665">
        <w:t>3</w:t>
      </w:r>
      <w:r w:rsidRPr="00443665">
        <w:rPr>
          <w:rFonts w:hint="eastAsia"/>
        </w:rPr>
        <w:t>、审查行业壁垒对未来市场供求关系的影响。比如资本密集型的项目市场准人门槛较高，退出成本较高。</w:t>
      </w:r>
    </w:p>
    <w:p w:rsidR="00443665" w:rsidRPr="00443665" w:rsidRDefault="00443665" w:rsidP="00443665">
      <w:pPr>
        <w:pStyle w:val="20"/>
        <w:spacing w:line="460" w:lineRule="atLeast"/>
        <w:ind w:firstLine="482"/>
      </w:pPr>
      <w:r w:rsidRPr="00443665">
        <w:rPr>
          <w:rFonts w:hint="eastAsia"/>
        </w:rPr>
        <w:t>综合以上三个方面，审查和判定未来市场供求平衡状况，对供求</w:t>
      </w:r>
      <w:r>
        <w:rPr>
          <w:rFonts w:hint="eastAsia"/>
        </w:rPr>
        <w:t>失衡的应审查供求失衡的程度和原因。</w:t>
      </w:r>
    </w:p>
    <w:p w:rsidR="00443665" w:rsidRPr="00443665" w:rsidRDefault="00443665" w:rsidP="00443665">
      <w:pPr>
        <w:pStyle w:val="20"/>
        <w:spacing w:line="460" w:lineRule="atLeast"/>
        <w:ind w:firstLine="482"/>
      </w:pPr>
      <w:r w:rsidRPr="00443665">
        <w:rPr>
          <w:rFonts w:hint="eastAsia"/>
        </w:rPr>
        <w:t>（三）目标市场状况审查</w:t>
      </w:r>
    </w:p>
    <w:p w:rsidR="00443665" w:rsidRPr="00443665" w:rsidRDefault="00443665" w:rsidP="00443665">
      <w:pPr>
        <w:pStyle w:val="20"/>
        <w:spacing w:line="460" w:lineRule="atLeast"/>
        <w:ind w:firstLine="482"/>
      </w:pPr>
      <w:r w:rsidRPr="00443665">
        <w:t>1</w:t>
      </w:r>
      <w:r w:rsidRPr="00443665">
        <w:rPr>
          <w:rFonts w:hint="eastAsia"/>
        </w:rPr>
        <w:t>、分析目标市场供求关系现状，对供求失衡的应审查供求失衡的程度和原因。审查中要重点关注目前产品供应总量（其中进口量）、需求总量（其中出口量）、主要供应商、主要供应商的规模和优势、主要供应商的生产能力和实际产量、主要需求商的情况等因素。</w:t>
      </w:r>
    </w:p>
    <w:p w:rsidR="00443665" w:rsidRPr="00443665" w:rsidRDefault="00443665" w:rsidP="00443665">
      <w:pPr>
        <w:pStyle w:val="20"/>
        <w:spacing w:line="460" w:lineRule="atLeast"/>
        <w:ind w:firstLine="482"/>
      </w:pPr>
      <w:r w:rsidRPr="00443665">
        <w:t>2</w:t>
      </w:r>
      <w:r w:rsidRPr="00443665">
        <w:rPr>
          <w:rFonts w:hint="eastAsia"/>
        </w:rPr>
        <w:t>、审查申请人是否通过市场细分确定目标市场，包括根据消费者偏好选择销售对象和根据销售半径等因素确定销售区域，重点审查申请人目标市场的选择是否合理。</w:t>
      </w:r>
    </w:p>
    <w:p w:rsidR="00443665" w:rsidRPr="00443665" w:rsidRDefault="00443665" w:rsidP="00443665">
      <w:pPr>
        <w:pStyle w:val="20"/>
        <w:spacing w:line="460" w:lineRule="atLeast"/>
        <w:ind w:firstLine="482"/>
      </w:pPr>
      <w:r w:rsidRPr="00443665">
        <w:t>3</w:t>
      </w:r>
      <w:r w:rsidRPr="00443665">
        <w:rPr>
          <w:rFonts w:hint="eastAsia"/>
        </w:rPr>
        <w:t>、预测目标市场未来的供求关系状况，对供求失衡的应审查供求失衡的程度和原因。审查中要重点关注项目计算期内新增生产能力、淘汰生产能力、进口量的增减变化；需求和出口量的增减变化、替代产品的出现、上下游产品需求量的增减变化等因素对产品市场前景的影响。</w:t>
      </w:r>
    </w:p>
    <w:p w:rsidR="00443665" w:rsidRPr="00443665" w:rsidRDefault="00443665" w:rsidP="00443665">
      <w:pPr>
        <w:pStyle w:val="20"/>
        <w:spacing w:line="460" w:lineRule="atLeast"/>
        <w:ind w:firstLine="482"/>
      </w:pPr>
      <w:r w:rsidRPr="00443665">
        <w:rPr>
          <w:rFonts w:hint="eastAsia"/>
        </w:rPr>
        <w:lastRenderedPageBreak/>
        <w:t>综合以上三个方面，判断目标市场的前景。</w:t>
      </w:r>
    </w:p>
    <w:p w:rsidR="00443665" w:rsidRPr="00443665" w:rsidRDefault="00443665" w:rsidP="00443665">
      <w:pPr>
        <w:pStyle w:val="20"/>
        <w:spacing w:line="460" w:lineRule="atLeast"/>
        <w:ind w:firstLine="482"/>
      </w:pPr>
      <w:r w:rsidRPr="00443665">
        <w:rPr>
          <w:rFonts w:hint="eastAsia"/>
        </w:rPr>
        <w:t>三、审查产品价格确定是否合理</w:t>
      </w:r>
    </w:p>
    <w:p w:rsidR="00443665" w:rsidRPr="00443665" w:rsidRDefault="00443665" w:rsidP="00443665">
      <w:pPr>
        <w:pStyle w:val="20"/>
        <w:spacing w:line="460" w:lineRule="atLeast"/>
        <w:ind w:firstLine="482"/>
      </w:pPr>
      <w:r w:rsidRPr="00443665">
        <w:rPr>
          <w:rFonts w:hint="eastAsia"/>
        </w:rPr>
        <w:t>价格分析是判定产品市场的基础，也是项目财务测算的依据，审查中应予以分析。价格分析包括现行价格水平、未来变化趋势及对项目产品市场的影响、项目产品价格的研究等内容。审查中应关注调查评估中是否对产品价格的走势进行了客观分析，是否充分考虑了供求关系变化、原材料价格变动、生产技术的发展、替代品的出现等因素对价格的影响，是否考虑了市场竞争的影响。对于需要政府价格主管部门按照有关原则要求确定价格的，如电力、供水、医院收费、学校收费等，需要了解国家政策的有关规定和变化趋势。如电力行业：目前的定价原则按先进企业的社会平均成本核定上网电价，发展趋势为</w:t>
      </w:r>
      <w:r w:rsidRPr="00443665">
        <w:t>“</w:t>
      </w:r>
      <w:r w:rsidRPr="00443665">
        <w:rPr>
          <w:rFonts w:hint="eastAsia"/>
        </w:rPr>
        <w:t>竞价上网，市场定价</w:t>
      </w:r>
      <w:r w:rsidRPr="00443665">
        <w:t>”</w:t>
      </w:r>
      <w:r w:rsidRPr="00443665">
        <w:rPr>
          <w:rFonts w:hint="eastAsia"/>
        </w:rPr>
        <w:t>。因此在价格分析中，应根据项目性质，综合以上多方面因素，审查判定产品价格确定是否合理。</w:t>
      </w:r>
    </w:p>
    <w:p w:rsidR="00443665" w:rsidRPr="00443665" w:rsidRDefault="00443665" w:rsidP="00443665">
      <w:pPr>
        <w:pStyle w:val="20"/>
        <w:spacing w:line="460" w:lineRule="atLeast"/>
        <w:ind w:firstLine="482"/>
      </w:pPr>
      <w:r w:rsidRPr="00443665">
        <w:rPr>
          <w:rFonts w:hint="eastAsia"/>
        </w:rPr>
        <w:t>四、产品竞争能力审查</w:t>
      </w:r>
    </w:p>
    <w:p w:rsidR="00443665" w:rsidRPr="00443665" w:rsidRDefault="00443665" w:rsidP="00443665">
      <w:pPr>
        <w:pStyle w:val="20"/>
        <w:spacing w:line="460" w:lineRule="atLeast"/>
        <w:ind w:firstLine="482"/>
      </w:pPr>
      <w:r w:rsidRPr="00443665">
        <w:rPr>
          <w:rFonts w:hint="eastAsia"/>
        </w:rPr>
        <w:t>（一）审查产品是否具备规模效益，判定生产规模确定是否经济、合理。</w:t>
      </w:r>
    </w:p>
    <w:p w:rsidR="00443665" w:rsidRPr="00443665" w:rsidRDefault="00443665" w:rsidP="00443665">
      <w:pPr>
        <w:pStyle w:val="20"/>
        <w:spacing w:line="460" w:lineRule="atLeast"/>
        <w:ind w:firstLine="482"/>
      </w:pPr>
      <w:r w:rsidRPr="00443665">
        <w:rPr>
          <w:rFonts w:hint="eastAsia"/>
        </w:rPr>
        <w:t>（二）审查产品在生产技术和工艺上是否具备先进性；产品质量是否稳定可靠，是否符合相关产品的国际、国家标准；是否具备品牌效应。</w:t>
      </w:r>
    </w:p>
    <w:p w:rsidR="00443665" w:rsidRPr="00443665" w:rsidRDefault="00443665" w:rsidP="00443665">
      <w:pPr>
        <w:pStyle w:val="20"/>
        <w:spacing w:line="460" w:lineRule="atLeast"/>
        <w:ind w:firstLine="482"/>
      </w:pPr>
      <w:r w:rsidRPr="00443665">
        <w:rPr>
          <w:rFonts w:hint="eastAsia"/>
        </w:rPr>
        <w:t>（三）审查申请人的经营管理水平，主要包括企业管理者的知识水平、领导素质、从业经验及员工培训等方面。</w:t>
      </w:r>
    </w:p>
    <w:p w:rsidR="00443665" w:rsidRPr="00443665" w:rsidRDefault="00443665" w:rsidP="00443665">
      <w:pPr>
        <w:pStyle w:val="20"/>
        <w:spacing w:line="460" w:lineRule="atLeast"/>
        <w:ind w:firstLine="482"/>
      </w:pPr>
      <w:r w:rsidRPr="00443665">
        <w:rPr>
          <w:rFonts w:hint="eastAsia"/>
        </w:rPr>
        <w:t>（四）审查申请人是否具有稳定的客户资源，对已经建立合作关</w:t>
      </w:r>
      <w:r w:rsidR="00BF175F">
        <w:rPr>
          <w:rFonts w:hint="eastAsia"/>
        </w:rPr>
        <w:t>系的客户，要通过审查企业提供的与客户签订的产品销售合同、</w:t>
      </w:r>
      <w:r w:rsidRPr="00443665">
        <w:rPr>
          <w:rFonts w:hint="eastAsia"/>
        </w:rPr>
        <w:t>意向书、合作协议书真实性、可行性，判定企业客户资源的可靠和稳定性；对新建企业，要分析其开拓市场的能力。</w:t>
      </w:r>
    </w:p>
    <w:p w:rsidR="00443665" w:rsidRDefault="00443665" w:rsidP="00443665">
      <w:pPr>
        <w:pStyle w:val="20"/>
        <w:spacing w:line="460" w:lineRule="atLeast"/>
        <w:ind w:firstLine="482"/>
        <w:rPr>
          <w:rFonts w:hint="eastAsia"/>
        </w:rPr>
      </w:pPr>
      <w:r w:rsidRPr="00443665">
        <w:rPr>
          <w:rFonts w:hint="eastAsia"/>
        </w:rPr>
        <w:t>（五）审查营销策略的制订是否科学合理。主要审查产品市场定</w:t>
      </w:r>
      <w:r w:rsidR="00EF575B">
        <w:rPr>
          <w:rFonts w:hint="eastAsia"/>
        </w:rPr>
        <w:t>位、产品定价、广告宣传和营销网络建立等方面。</w:t>
      </w:r>
    </w:p>
    <w:p w:rsidR="00126D83" w:rsidRPr="00126D83" w:rsidRDefault="00EF575B" w:rsidP="00126D83">
      <w:pPr>
        <w:pStyle w:val="20"/>
        <w:spacing w:line="460" w:lineRule="atLeast"/>
        <w:ind w:firstLine="482"/>
      </w:pPr>
      <w:r>
        <w:rPr>
          <w:rFonts w:hint="eastAsia"/>
        </w:rPr>
        <w:t>1</w:t>
      </w:r>
      <w:r>
        <w:rPr>
          <w:rFonts w:hint="eastAsia"/>
        </w:rPr>
        <w:t>、</w:t>
      </w:r>
      <w:r w:rsidR="00126D83">
        <w:rPr>
          <w:rFonts w:hint="eastAsia"/>
        </w:rPr>
        <w:t>审查产品市场定位是否</w:t>
      </w:r>
      <w:r w:rsidR="00126D83" w:rsidRPr="00126D83">
        <w:rPr>
          <w:rFonts w:hint="eastAsia"/>
        </w:rPr>
        <w:t>准确</w:t>
      </w:r>
      <w:r w:rsidR="00126D83">
        <w:rPr>
          <w:rFonts w:hint="eastAsia"/>
        </w:rPr>
        <w:t>。</w:t>
      </w:r>
      <w:r w:rsidR="00126D83" w:rsidRPr="00126D83">
        <w:rPr>
          <w:rFonts w:hint="eastAsia"/>
        </w:rPr>
        <w:t>重点包括：确认潜在的竞争优</w:t>
      </w:r>
      <w:r w:rsidR="00126D83">
        <w:rPr>
          <w:rFonts w:hint="eastAsia"/>
        </w:rPr>
        <w:t>势、准确地选</w:t>
      </w:r>
      <w:r w:rsidR="00126D83" w:rsidRPr="00126D83">
        <w:rPr>
          <w:rFonts w:hint="eastAsia"/>
        </w:rPr>
        <w:t>竞争优势</w:t>
      </w:r>
      <w:r w:rsidR="00126D83">
        <w:rPr>
          <w:rFonts w:hint="eastAsia"/>
        </w:rPr>
        <w:t>、</w:t>
      </w:r>
      <w:r w:rsidR="00126D83" w:rsidRPr="00126D83">
        <w:rPr>
          <w:rFonts w:hint="eastAsia"/>
        </w:rPr>
        <w:t>有效的传播企业市场定位观念。审查中要</w:t>
      </w:r>
      <w:r w:rsidR="00126D83">
        <w:rPr>
          <w:rFonts w:hint="eastAsia"/>
        </w:rPr>
        <w:t>通过对企业市场定位的分</w:t>
      </w:r>
      <w:r w:rsidR="00126D83" w:rsidRPr="00126D83">
        <w:rPr>
          <w:rFonts w:hint="eastAsia"/>
        </w:rPr>
        <w:t>析，判定企业目标市场定位是否明确合理。</w:t>
      </w:r>
    </w:p>
    <w:p w:rsidR="00126D83" w:rsidRPr="00126D83" w:rsidRDefault="00126D83" w:rsidP="00126D83">
      <w:pPr>
        <w:pStyle w:val="20"/>
        <w:spacing w:line="460" w:lineRule="atLeast"/>
        <w:ind w:firstLine="482"/>
      </w:pPr>
      <w:r w:rsidRPr="00126D83">
        <w:t>2</w:t>
      </w:r>
      <w:r w:rsidRPr="00126D83">
        <w:rPr>
          <w:rFonts w:hint="eastAsia"/>
        </w:rPr>
        <w:t>、审查产品是否具有价格竞争能力。</w:t>
      </w:r>
    </w:p>
    <w:p w:rsidR="00126D83" w:rsidRPr="00126D83" w:rsidRDefault="00126D83" w:rsidP="00126D83">
      <w:pPr>
        <w:pStyle w:val="20"/>
        <w:spacing w:line="460" w:lineRule="atLeast"/>
        <w:ind w:firstLine="482"/>
      </w:pPr>
      <w:r w:rsidRPr="00126D83">
        <w:rPr>
          <w:rFonts w:hint="eastAsia"/>
        </w:rPr>
        <w:t>审查产品定价机制是否能够使产品定价成为可能的竞争手段，如政府定价的电力、供水、医疗、教育等公共产品一般不能通过低价倾销</w:t>
      </w:r>
      <w:r>
        <w:rPr>
          <w:rFonts w:hint="eastAsia"/>
        </w:rPr>
        <w:t>进行竞争。同时还要考虑定</w:t>
      </w:r>
      <w:r w:rsidRPr="00126D83">
        <w:rPr>
          <w:rFonts w:hint="eastAsia"/>
        </w:rPr>
        <w:t>价机制改革对市场竞争力的影响。</w:t>
      </w:r>
    </w:p>
    <w:p w:rsidR="00126D83" w:rsidRPr="00126D83" w:rsidRDefault="00126D83" w:rsidP="00126D83">
      <w:pPr>
        <w:pStyle w:val="20"/>
        <w:spacing w:line="460" w:lineRule="atLeast"/>
        <w:ind w:firstLine="482"/>
      </w:pPr>
      <w:r w:rsidRPr="00126D83">
        <w:rPr>
          <w:rFonts w:hint="eastAsia"/>
        </w:rPr>
        <w:lastRenderedPageBreak/>
        <w:t>审查申请人的定价策略是否与其市场目标相适应。为及时快速抢占市场，企业往往会来用低价策略</w:t>
      </w:r>
      <w:r>
        <w:rPr>
          <w:rFonts w:hint="eastAsia"/>
        </w:rPr>
        <w:t>；对处于</w:t>
      </w:r>
      <w:r w:rsidRPr="00126D83">
        <w:rPr>
          <w:rFonts w:hint="eastAsia"/>
        </w:rPr>
        <w:t>投入期和成长期的产品，为</w:t>
      </w:r>
      <w:r>
        <w:rPr>
          <w:rFonts w:hint="eastAsia"/>
        </w:rPr>
        <w:t>及时获取最大效益，企业一</w:t>
      </w:r>
      <w:r w:rsidRPr="00126D83">
        <w:rPr>
          <w:rFonts w:hint="eastAsia"/>
        </w:rPr>
        <w:t>般会采用高价策略。</w:t>
      </w:r>
    </w:p>
    <w:p w:rsidR="00D12F61" w:rsidRDefault="00126D83" w:rsidP="00126D83">
      <w:pPr>
        <w:pStyle w:val="20"/>
        <w:spacing w:line="460" w:lineRule="atLeast"/>
        <w:ind w:firstLine="482"/>
        <w:rPr>
          <w:rFonts w:hint="eastAsia"/>
        </w:rPr>
      </w:pPr>
      <w:r w:rsidRPr="00126D83">
        <w:t>3</w:t>
      </w:r>
      <w:r w:rsidRPr="00126D83">
        <w:rPr>
          <w:rFonts w:hint="eastAsia"/>
        </w:rPr>
        <w:t>、审查广告宣传策略的制订是否可行。对多数产品来说，广告宣传是提升产品知名度，增强件品竞争为的必要手段。但针对产品特点，应选择相适应的广告宣传方式。如对日用产品的宣传应选择电视、报纸等大众媒体；对化肥、农药、动物饲料的宣传应选择传单、海报等针对农村市场的媒体。在审查中，一要分析企业经营成本中是</w:t>
      </w:r>
      <w:r w:rsidR="00D12F61">
        <w:rPr>
          <w:rFonts w:hint="eastAsia"/>
        </w:rPr>
        <w:t>否考虑了必要的广告宣传支出</w:t>
      </w:r>
      <w:r w:rsidRPr="00126D83">
        <w:rPr>
          <w:rFonts w:hint="eastAsia"/>
        </w:rPr>
        <w:t>；二是分析企业选择的广告宣传方式是否</w:t>
      </w:r>
      <w:r w:rsidR="00D12F61">
        <w:rPr>
          <w:rFonts w:hint="eastAsia"/>
        </w:rPr>
        <w:t>合理。</w:t>
      </w:r>
    </w:p>
    <w:p w:rsidR="00126D83" w:rsidRPr="00126D83" w:rsidRDefault="00126D83" w:rsidP="00126D83">
      <w:pPr>
        <w:pStyle w:val="20"/>
        <w:spacing w:line="460" w:lineRule="atLeast"/>
        <w:ind w:firstLine="482"/>
      </w:pPr>
      <w:r w:rsidRPr="00126D83">
        <w:t>4</w:t>
      </w:r>
      <w:r w:rsidR="00D12F61">
        <w:rPr>
          <w:rFonts w:hint="eastAsia"/>
        </w:rPr>
        <w:t>、审查申请人营销网络的建立是否</w:t>
      </w:r>
      <w:r w:rsidRPr="00126D83">
        <w:rPr>
          <w:rFonts w:hint="eastAsia"/>
        </w:rPr>
        <w:t>合理。营销网络是延伸产品销售区域、扩大产品销售的有效途径。企业应根据产品自身的特点，选择合适的销售</w:t>
      </w:r>
      <w:r w:rsidR="00D12F61">
        <w:rPr>
          <w:rFonts w:hint="eastAsia"/>
        </w:rPr>
        <w:t>区域</w:t>
      </w:r>
      <w:r w:rsidRPr="00126D83">
        <w:rPr>
          <w:rFonts w:hint="eastAsia"/>
        </w:rPr>
        <w:t>建</w:t>
      </w:r>
      <w:r w:rsidR="00D12F61">
        <w:rPr>
          <w:rFonts w:hint="eastAsia"/>
        </w:rPr>
        <w:t>立营</w:t>
      </w:r>
      <w:r w:rsidRPr="00126D83">
        <w:rPr>
          <w:rFonts w:hint="eastAsia"/>
        </w:rPr>
        <w:t>销网路。同时要平衡委托代理销售和自身建立网络</w:t>
      </w:r>
      <w:r w:rsidR="00D12F61">
        <w:rPr>
          <w:rFonts w:hint="eastAsia"/>
        </w:rPr>
        <w:t>的关系，</w:t>
      </w:r>
      <w:r w:rsidRPr="00126D83">
        <w:rPr>
          <w:rFonts w:hint="eastAsia"/>
        </w:rPr>
        <w:t>力求</w:t>
      </w:r>
      <w:r w:rsidR="00D12F61">
        <w:rPr>
          <w:rFonts w:hint="eastAsia"/>
        </w:rPr>
        <w:t>经</w:t>
      </w:r>
      <w:r w:rsidRPr="00126D83">
        <w:rPr>
          <w:rFonts w:hint="eastAsia"/>
        </w:rPr>
        <w:t>济合理。在审查中，要对企业营销网</w:t>
      </w:r>
      <w:r w:rsidR="00D12F61">
        <w:rPr>
          <w:rFonts w:hint="eastAsia"/>
        </w:rPr>
        <w:t>络建立</w:t>
      </w:r>
      <w:r w:rsidRPr="00126D83">
        <w:rPr>
          <w:rFonts w:hint="eastAsia"/>
        </w:rPr>
        <w:t>的内容、</w:t>
      </w:r>
      <w:r w:rsidR="00D12F61">
        <w:rPr>
          <w:rFonts w:hint="eastAsia"/>
        </w:rPr>
        <w:t>必要性、合理性、经济性作出</w:t>
      </w:r>
      <w:r w:rsidRPr="00126D83">
        <w:rPr>
          <w:rFonts w:hint="eastAsia"/>
        </w:rPr>
        <w:t>评价。</w:t>
      </w:r>
    </w:p>
    <w:p w:rsidR="00126D83" w:rsidRPr="00126D83" w:rsidRDefault="00126D83" w:rsidP="00126D83">
      <w:pPr>
        <w:pStyle w:val="20"/>
        <w:spacing w:line="460" w:lineRule="atLeast"/>
        <w:ind w:firstLine="482"/>
      </w:pPr>
      <w:r w:rsidRPr="00126D83">
        <w:rPr>
          <w:rFonts w:hint="eastAsia"/>
        </w:rPr>
        <w:t>五、特殊行业市场分析应注意的问题</w:t>
      </w:r>
    </w:p>
    <w:p w:rsidR="00126D83" w:rsidRPr="00D12F61" w:rsidRDefault="00126D83" w:rsidP="00D12F61">
      <w:pPr>
        <w:pStyle w:val="20"/>
        <w:spacing w:line="460" w:lineRule="atLeast"/>
        <w:ind w:firstLine="482"/>
      </w:pPr>
      <w:r w:rsidRPr="00D12F61">
        <w:rPr>
          <w:rFonts w:hint="eastAsia"/>
        </w:rPr>
        <w:t>（一）房地产开发</w:t>
      </w:r>
    </w:p>
    <w:p w:rsidR="00126D83" w:rsidRPr="00D12F61" w:rsidRDefault="00126D83" w:rsidP="00D12F61">
      <w:pPr>
        <w:pStyle w:val="20"/>
        <w:spacing w:line="460" w:lineRule="atLeast"/>
        <w:ind w:firstLine="482"/>
      </w:pPr>
      <w:r w:rsidRPr="00D12F61">
        <w:t>1</w:t>
      </w:r>
      <w:r w:rsidRPr="00D12F61">
        <w:rPr>
          <w:rFonts w:hint="eastAsia"/>
        </w:rPr>
        <w:t>、审查区域内的经济发展和居民居住水平，主要包括人均收</w:t>
      </w:r>
      <w:r w:rsidR="00471570">
        <w:rPr>
          <w:rFonts w:hint="eastAsia"/>
        </w:rPr>
        <w:t>入</w:t>
      </w:r>
      <w:r w:rsidRPr="00D12F61">
        <w:rPr>
          <w:rFonts w:hint="eastAsia"/>
        </w:rPr>
        <w:t>和支出水平，目前住房等商品房消费水平和发展目标等。</w:t>
      </w:r>
    </w:p>
    <w:p w:rsidR="00126D83" w:rsidRPr="00D12F61" w:rsidRDefault="00126D83" w:rsidP="00D12F61">
      <w:pPr>
        <w:pStyle w:val="20"/>
        <w:spacing w:line="460" w:lineRule="atLeast"/>
        <w:ind w:firstLine="482"/>
      </w:pPr>
      <w:r w:rsidRPr="00D12F61">
        <w:t>2</w:t>
      </w:r>
      <w:r w:rsidRPr="00D12F61">
        <w:rPr>
          <w:rFonts w:hint="eastAsia"/>
        </w:rPr>
        <w:t>、审查区域内房地产市场状况，包括上年度竣工面积、销售面</w:t>
      </w:r>
      <w:r w:rsidR="00471570">
        <w:rPr>
          <w:rFonts w:hint="eastAsia"/>
        </w:rPr>
        <w:t>积、目前空置率、价格水平及走势；目</w:t>
      </w:r>
      <w:r w:rsidRPr="00D12F61">
        <w:rPr>
          <w:rFonts w:hint="eastAsia"/>
        </w:rPr>
        <w:t>前在建商品房面积，在项目</w:t>
      </w:r>
      <w:r w:rsidR="00471570">
        <w:rPr>
          <w:rFonts w:hint="eastAsia"/>
        </w:rPr>
        <w:t>计算期内预计完工</w:t>
      </w:r>
      <w:r w:rsidRPr="00D12F61">
        <w:rPr>
          <w:rFonts w:hint="eastAsia"/>
        </w:rPr>
        <w:t>面积；。</w:t>
      </w:r>
    </w:p>
    <w:p w:rsidR="00126D83" w:rsidRPr="00D12F61" w:rsidRDefault="00471570" w:rsidP="00D12F61">
      <w:pPr>
        <w:pStyle w:val="20"/>
        <w:spacing w:line="460" w:lineRule="atLeast"/>
        <w:ind w:firstLine="482"/>
      </w:pPr>
      <w:r>
        <w:t>3</w:t>
      </w:r>
      <w:r>
        <w:rPr>
          <w:rFonts w:hint="eastAsia"/>
        </w:rPr>
        <w:t>、审查项目的竞争力，</w:t>
      </w:r>
      <w:r w:rsidR="00126D83" w:rsidRPr="00D12F61">
        <w:rPr>
          <w:rFonts w:hint="eastAsia"/>
        </w:rPr>
        <w:t>主要包括开发商的信誉和实力、项目所处区位、</w:t>
      </w:r>
      <w:r>
        <w:rPr>
          <w:rFonts w:hint="eastAsia"/>
        </w:rPr>
        <w:t>配套、设计、价格、</w:t>
      </w:r>
      <w:r w:rsidR="00126D83" w:rsidRPr="00D12F61">
        <w:rPr>
          <w:rFonts w:hint="eastAsia"/>
        </w:rPr>
        <w:t>质量、物业等方面的优势和劣势。</w:t>
      </w:r>
    </w:p>
    <w:p w:rsidR="00443665" w:rsidRDefault="00126D83" w:rsidP="00126D83">
      <w:pPr>
        <w:pStyle w:val="20"/>
        <w:spacing w:line="460" w:lineRule="atLeast"/>
        <w:ind w:firstLine="482"/>
        <w:rPr>
          <w:rFonts w:hint="eastAsia"/>
        </w:rPr>
      </w:pPr>
      <w:r w:rsidRPr="00D12F61">
        <w:rPr>
          <w:rFonts w:hint="eastAsia"/>
        </w:rPr>
        <w:t>（二）收费公路项目</w:t>
      </w:r>
    </w:p>
    <w:p w:rsidR="003C18C2" w:rsidRPr="003C18C2" w:rsidRDefault="003C18C2" w:rsidP="003C18C2">
      <w:pPr>
        <w:pStyle w:val="20"/>
        <w:spacing w:line="460" w:lineRule="atLeast"/>
        <w:ind w:firstLine="482"/>
      </w:pPr>
      <w:r w:rsidRPr="003C18C2">
        <w:rPr>
          <w:rFonts w:hint="eastAsia"/>
        </w:rPr>
        <w:t>收费公路项目市场分析重点</w:t>
      </w:r>
      <w:r>
        <w:rPr>
          <w:rFonts w:hint="eastAsia"/>
        </w:rPr>
        <w:t>是车</w:t>
      </w:r>
      <w:r w:rsidRPr="003C18C2">
        <w:rPr>
          <w:rFonts w:hint="eastAsia"/>
        </w:rPr>
        <w:t>流量预测</w:t>
      </w:r>
      <w:r>
        <w:rPr>
          <w:rFonts w:hint="eastAsia"/>
        </w:rPr>
        <w:t>。目前通行</w:t>
      </w:r>
      <w:r w:rsidRPr="003C18C2">
        <w:rPr>
          <w:rFonts w:hint="eastAsia"/>
        </w:rPr>
        <w:t>的车流量预测的方法和程序为：对项目</w:t>
      </w:r>
      <w:r>
        <w:rPr>
          <w:rFonts w:hint="eastAsia"/>
        </w:rPr>
        <w:t>所处区域</w:t>
      </w:r>
      <w:r w:rsidRPr="003C18C2">
        <w:rPr>
          <w:rFonts w:hint="eastAsia"/>
        </w:rPr>
        <w:t>经济发展现状和趋势进行调查和估算，以基年交通工具出行</w:t>
      </w:r>
      <w:r>
        <w:rPr>
          <w:rFonts w:hint="eastAsia"/>
        </w:rPr>
        <w:t>OD</w:t>
      </w:r>
      <w:r w:rsidRPr="003C18C2">
        <w:rPr>
          <w:rFonts w:hint="eastAsia"/>
        </w:rPr>
        <w:t>调查</w:t>
      </w:r>
      <w:r>
        <w:rPr>
          <w:rFonts w:hint="eastAsia"/>
        </w:rPr>
        <w:t>为</w:t>
      </w:r>
      <w:r w:rsidRPr="003C18C2">
        <w:rPr>
          <w:rFonts w:hint="eastAsia"/>
        </w:rPr>
        <w:t>基础，</w:t>
      </w:r>
      <w:r>
        <w:rPr>
          <w:rFonts w:hint="eastAsia"/>
        </w:rPr>
        <w:t>利</w:t>
      </w:r>
      <w:r w:rsidRPr="003C18C2">
        <w:rPr>
          <w:rFonts w:hint="eastAsia"/>
        </w:rPr>
        <w:t>用</w:t>
      </w:r>
      <w:r w:rsidRPr="003C18C2">
        <w:t>“</w:t>
      </w:r>
      <w:r w:rsidRPr="003C18C2">
        <w:rPr>
          <w:rFonts w:hint="eastAsia"/>
        </w:rPr>
        <w:t>四阶段法</w:t>
      </w:r>
      <w:r w:rsidRPr="003C18C2">
        <w:t>”</w:t>
      </w:r>
      <w:r w:rsidRPr="003C18C2">
        <w:rPr>
          <w:rFonts w:hint="eastAsia"/>
        </w:rPr>
        <w:t>对未来车流量进行预测。在项目审</w:t>
      </w:r>
      <w:r>
        <w:rPr>
          <w:rFonts w:hint="eastAsia"/>
        </w:rPr>
        <w:t>查中，</w:t>
      </w:r>
      <w:r w:rsidRPr="003C18C2">
        <w:rPr>
          <w:rFonts w:hint="eastAsia"/>
        </w:rPr>
        <w:t>主要应</w:t>
      </w:r>
      <w:r>
        <w:rPr>
          <w:rFonts w:hint="eastAsia"/>
        </w:rPr>
        <w:t>对评</w:t>
      </w:r>
      <w:r w:rsidRPr="003C18C2">
        <w:rPr>
          <w:rFonts w:hint="eastAsia"/>
        </w:rPr>
        <w:t>估报告和调查报告中对车流量预测的准确性进行分析，要注意：以在几点：</w:t>
      </w:r>
    </w:p>
    <w:p w:rsidR="003C18C2" w:rsidRPr="003C18C2" w:rsidRDefault="003C18C2" w:rsidP="003C18C2">
      <w:pPr>
        <w:pStyle w:val="20"/>
        <w:spacing w:line="460" w:lineRule="atLeast"/>
        <w:ind w:firstLine="482"/>
      </w:pPr>
      <w:r w:rsidRPr="003C18C2">
        <w:t>1</w:t>
      </w:r>
      <w:r>
        <w:rPr>
          <w:rFonts w:hint="eastAsia"/>
        </w:rPr>
        <w:t>、通过查阅有关资料判定区域</w:t>
      </w:r>
      <w:r w:rsidRPr="003C18C2">
        <w:rPr>
          <w:rFonts w:hint="eastAsia"/>
        </w:rPr>
        <w:t>内组济发展现状调查和发展趋势预测是否符合实际；</w:t>
      </w:r>
    </w:p>
    <w:p w:rsidR="003C18C2" w:rsidRPr="003C18C2" w:rsidRDefault="003C18C2" w:rsidP="003C18C2">
      <w:pPr>
        <w:pStyle w:val="20"/>
        <w:spacing w:line="460" w:lineRule="atLeast"/>
        <w:ind w:firstLine="482"/>
      </w:pPr>
      <w:r w:rsidRPr="003C18C2">
        <w:t>2</w:t>
      </w:r>
      <w:r>
        <w:rPr>
          <w:rFonts w:hint="eastAsia"/>
        </w:rPr>
        <w:t>、审查判定基年交通工具出行</w:t>
      </w:r>
      <w:r>
        <w:rPr>
          <w:rFonts w:hint="eastAsia"/>
        </w:rPr>
        <w:t>O</w:t>
      </w:r>
      <w:r w:rsidRPr="003C18C2">
        <w:t>B</w:t>
      </w:r>
      <w:r w:rsidRPr="003C18C2">
        <w:rPr>
          <w:rFonts w:hint="eastAsia"/>
        </w:rPr>
        <w:t>调查数据来源是否准确，与区域内其它项目相比数据是否合理；</w:t>
      </w:r>
    </w:p>
    <w:p w:rsidR="003C18C2" w:rsidRPr="003C18C2" w:rsidRDefault="003C18C2" w:rsidP="003C18C2">
      <w:pPr>
        <w:pStyle w:val="20"/>
        <w:spacing w:line="460" w:lineRule="atLeast"/>
        <w:ind w:firstLine="482"/>
      </w:pPr>
      <w:r w:rsidRPr="003C18C2">
        <w:t>3</w:t>
      </w:r>
      <w:r w:rsidRPr="003C18C2">
        <w:rPr>
          <w:rFonts w:hint="eastAsia"/>
        </w:rPr>
        <w:t>、审查判定</w:t>
      </w:r>
      <w:r w:rsidRPr="003C18C2">
        <w:t>“</w:t>
      </w:r>
      <w:r>
        <w:rPr>
          <w:rFonts w:hint="eastAsia"/>
        </w:rPr>
        <w:t>“</w:t>
      </w:r>
      <w:r w:rsidRPr="003C18C2">
        <w:rPr>
          <w:rFonts w:hint="eastAsia"/>
        </w:rPr>
        <w:t>四阶段法</w:t>
      </w:r>
      <w:r>
        <w:rPr>
          <w:rFonts w:hint="eastAsia"/>
        </w:rPr>
        <w:t>”预测过程是否</w:t>
      </w:r>
      <w:r w:rsidRPr="003C18C2">
        <w:rPr>
          <w:rFonts w:hint="eastAsia"/>
        </w:rPr>
        <w:t>准确，是否考虑了与本项目相近的公路和计</w:t>
      </w:r>
      <w:r w:rsidRPr="003C18C2">
        <w:rPr>
          <w:rFonts w:hint="eastAsia"/>
        </w:rPr>
        <w:lastRenderedPageBreak/>
        <w:t>算期内新建公路对顶目的分流因素。</w:t>
      </w:r>
    </w:p>
    <w:p w:rsidR="003C18C2" w:rsidRPr="003C18C2" w:rsidRDefault="003C18C2" w:rsidP="003C18C2">
      <w:pPr>
        <w:pStyle w:val="20"/>
        <w:spacing w:line="460" w:lineRule="atLeast"/>
        <w:ind w:firstLine="482"/>
      </w:pPr>
      <w:r w:rsidRPr="003C18C2">
        <w:rPr>
          <w:rFonts w:hint="eastAsia"/>
        </w:rPr>
        <w:t>（三）电力项目</w:t>
      </w:r>
    </w:p>
    <w:p w:rsidR="003C18C2" w:rsidRPr="003C18C2" w:rsidRDefault="003C18C2" w:rsidP="003C18C2">
      <w:pPr>
        <w:pStyle w:val="20"/>
        <w:spacing w:line="460" w:lineRule="atLeast"/>
        <w:ind w:firstLine="482"/>
      </w:pPr>
      <w:r w:rsidRPr="003C18C2">
        <w:rPr>
          <w:rFonts w:hint="eastAsia"/>
        </w:rPr>
        <w:t>目前电力管理体制下，电力项目的上网电量由本区域的电网公司决定，电价由政府价格主管部门按照有关原则确定</w:t>
      </w:r>
      <w:r>
        <w:rPr>
          <w:rFonts w:hint="eastAsia"/>
        </w:rPr>
        <w:t>。</w:t>
      </w:r>
      <w:r w:rsidRPr="003C18C2">
        <w:rPr>
          <w:rFonts w:hint="eastAsia"/>
        </w:rPr>
        <w:t>因此需要重点考虑以下因素：</w:t>
      </w:r>
    </w:p>
    <w:p w:rsidR="003C18C2" w:rsidRPr="003C18C2" w:rsidRDefault="003C18C2" w:rsidP="003C18C2">
      <w:pPr>
        <w:pStyle w:val="20"/>
        <w:spacing w:line="460" w:lineRule="atLeast"/>
        <w:ind w:firstLine="482"/>
      </w:pPr>
      <w:r w:rsidRPr="003C18C2">
        <w:t>1</w:t>
      </w:r>
      <w:r>
        <w:rPr>
          <w:rFonts w:hint="eastAsia"/>
        </w:rPr>
        <w:t>、区域内电力供需状况和发展趋势预测。</w:t>
      </w:r>
      <w:r w:rsidRPr="003C18C2">
        <w:rPr>
          <w:rFonts w:hint="eastAsia"/>
        </w:rPr>
        <w:t>查阅有关资料对评估报告或调查报告中对区域内电力供需现状调查的准确性进行审查</w:t>
      </w:r>
      <w:r>
        <w:rPr>
          <w:rFonts w:hint="eastAsia"/>
        </w:rPr>
        <w:t>；</w:t>
      </w:r>
      <w:r w:rsidRPr="003C18C2">
        <w:rPr>
          <w:rFonts w:hint="eastAsia"/>
        </w:rPr>
        <w:t>对未来市场的</w:t>
      </w:r>
      <w:r>
        <w:rPr>
          <w:rFonts w:hint="eastAsia"/>
        </w:rPr>
        <w:t>预</w:t>
      </w:r>
      <w:r w:rsidRPr="003C18C2">
        <w:rPr>
          <w:rFonts w:hint="eastAsia"/>
        </w:rPr>
        <w:t>测要综合考虑项目</w:t>
      </w:r>
      <w:r>
        <w:rPr>
          <w:rFonts w:hint="eastAsia"/>
        </w:rPr>
        <w:t>计算</w:t>
      </w:r>
      <w:r w:rsidRPr="003C18C2">
        <w:rPr>
          <w:rFonts w:hint="eastAsia"/>
        </w:rPr>
        <w:t>期内区域经济增长、新建项目的投产、落后生产能力的淘汰、区域以外电力的输送或输出等因素。</w:t>
      </w:r>
    </w:p>
    <w:p w:rsidR="003C18C2" w:rsidRPr="003C18C2" w:rsidRDefault="003C18C2" w:rsidP="003C18C2">
      <w:pPr>
        <w:pStyle w:val="20"/>
        <w:spacing w:line="460" w:lineRule="atLeast"/>
        <w:ind w:firstLine="482"/>
      </w:pPr>
      <w:r w:rsidRPr="003C18C2">
        <w:t>2</w:t>
      </w:r>
      <w:r w:rsidRPr="003C18C2">
        <w:rPr>
          <w:rFonts w:hint="eastAsia"/>
        </w:rPr>
        <w:t>、项目竞争能力分析</w:t>
      </w:r>
      <w:r>
        <w:rPr>
          <w:rFonts w:hint="eastAsia"/>
        </w:rPr>
        <w:t>。</w:t>
      </w:r>
      <w:r w:rsidRPr="003C18C2">
        <w:rPr>
          <w:rFonts w:hint="eastAsia"/>
        </w:rPr>
        <w:t>（</w:t>
      </w:r>
      <w:r w:rsidRPr="003C18C2">
        <w:t>1</w:t>
      </w:r>
      <w:r w:rsidRPr="003C18C2">
        <w:rPr>
          <w:rFonts w:hint="eastAsia"/>
        </w:rPr>
        <w:t>）股东背景，五大电力公司或两大电网公司为股东的项目，市场保证程度相对较高；（</w:t>
      </w:r>
      <w:r w:rsidRPr="003C18C2">
        <w:t>2</w:t>
      </w:r>
      <w:r w:rsidRPr="003C18C2">
        <w:rPr>
          <w:rFonts w:hint="eastAsia"/>
        </w:rPr>
        <w:t>）上网协议，为落实市场的保证性，项目业主与电网公司签订上网协议，可增强项目的竞争能力；（</w:t>
      </w:r>
      <w:r w:rsidRPr="003C18C2">
        <w:t>3</w:t>
      </w:r>
      <w:r w:rsidRPr="003C18C2">
        <w:rPr>
          <w:rFonts w:hint="eastAsia"/>
        </w:rPr>
        <w:t>）项目调峰能力，对于水电项目来说，如果</w:t>
      </w:r>
      <w:r>
        <w:rPr>
          <w:rFonts w:hint="eastAsia"/>
        </w:rPr>
        <w:t>具</w:t>
      </w:r>
      <w:r w:rsidRPr="003C18C2">
        <w:rPr>
          <w:rFonts w:hint="eastAsia"/>
        </w:rPr>
        <w:t>有年调节能力，项目在枯水期能照常发电，项目市场实现较有保证。</w:t>
      </w:r>
    </w:p>
    <w:p w:rsidR="003C18C2" w:rsidRPr="003C18C2" w:rsidRDefault="003C18C2" w:rsidP="003C18C2">
      <w:pPr>
        <w:pStyle w:val="20"/>
        <w:spacing w:line="460" w:lineRule="atLeast"/>
        <w:ind w:firstLine="482"/>
      </w:pPr>
      <w:r w:rsidRPr="003C18C2">
        <w:t>3</w:t>
      </w:r>
      <w:r w:rsidRPr="003C18C2">
        <w:rPr>
          <w:rFonts w:hint="eastAsia"/>
        </w:rPr>
        <w:t>、</w:t>
      </w:r>
      <w:r w:rsidRPr="003C18C2">
        <w:t>“</w:t>
      </w:r>
      <w:r w:rsidRPr="003C18C2">
        <w:rPr>
          <w:rFonts w:hint="eastAsia"/>
        </w:rPr>
        <w:t>厂网分开，竞价上网</w:t>
      </w:r>
      <w:r w:rsidRPr="003C18C2">
        <w:t>”</w:t>
      </w:r>
      <w:r>
        <w:rPr>
          <w:rFonts w:hint="eastAsia"/>
        </w:rPr>
        <w:t>政策实施后，</w:t>
      </w:r>
      <w:r w:rsidRPr="003C18C2">
        <w:rPr>
          <w:rFonts w:hint="eastAsia"/>
        </w:rPr>
        <w:t>电力项目的上网电量</w:t>
      </w:r>
      <w:r>
        <w:rPr>
          <w:rFonts w:hint="eastAsia"/>
        </w:rPr>
        <w:t>将主要由项目发电成本所决定，</w:t>
      </w:r>
      <w:r w:rsidRPr="003C18C2">
        <w:rPr>
          <w:rFonts w:hint="eastAsia"/>
        </w:rPr>
        <w:t>项目发电成本将是项目预期市场实现的重要保证，审查中应重点分析。</w:t>
      </w:r>
      <w:r w:rsidRPr="003C18C2">
        <w:t>F</w:t>
      </w:r>
    </w:p>
    <w:p w:rsidR="003C18C2" w:rsidRPr="003C18C2" w:rsidRDefault="003C18C2" w:rsidP="003C18C2">
      <w:pPr>
        <w:pStyle w:val="20"/>
        <w:spacing w:line="460" w:lineRule="atLeast"/>
        <w:ind w:firstLine="482"/>
      </w:pPr>
      <w:r w:rsidRPr="003C18C2">
        <w:rPr>
          <w:rFonts w:hint="eastAsia"/>
        </w:rPr>
        <w:t>（四）学校</w:t>
      </w:r>
    </w:p>
    <w:p w:rsidR="003C18C2" w:rsidRPr="003C18C2" w:rsidRDefault="003C18C2" w:rsidP="003C18C2">
      <w:pPr>
        <w:pStyle w:val="20"/>
        <w:spacing w:line="460" w:lineRule="atLeast"/>
        <w:ind w:firstLine="482"/>
      </w:pPr>
      <w:r w:rsidRPr="003C18C2">
        <w:t>1</w:t>
      </w:r>
      <w:r w:rsidRPr="003C18C2">
        <w:rPr>
          <w:rFonts w:hint="eastAsia"/>
        </w:rPr>
        <w:t>、近期宏观教育形势分析。例如高校：从宏观上看，我国高校</w:t>
      </w:r>
      <w:r>
        <w:rPr>
          <w:rFonts w:hint="eastAsia"/>
        </w:rPr>
        <w:t>扩大招生仍有一定的空间。一是根据《关于深化教育改革全面推进素</w:t>
      </w:r>
      <w:r w:rsidRPr="003C18C2">
        <w:rPr>
          <w:rFonts w:hint="eastAsia"/>
        </w:rPr>
        <w:t>质教育的决定》，到</w:t>
      </w:r>
      <w:r w:rsidRPr="003C18C2">
        <w:t>2010</w:t>
      </w:r>
      <w:r>
        <w:rPr>
          <w:rFonts w:hint="eastAsia"/>
        </w:rPr>
        <w:t>年我国高等</w:t>
      </w:r>
      <w:r w:rsidRPr="003C18C2">
        <w:rPr>
          <w:rFonts w:hint="eastAsia"/>
        </w:rPr>
        <w:t>教育毛</w:t>
      </w:r>
      <w:r w:rsidR="00936ACC">
        <w:rPr>
          <w:rFonts w:hint="eastAsia"/>
        </w:rPr>
        <w:t>入学</w:t>
      </w:r>
      <w:r w:rsidRPr="003C18C2">
        <w:rPr>
          <w:rFonts w:hint="eastAsia"/>
        </w:rPr>
        <w:t>率要达到</w:t>
      </w:r>
      <w:r w:rsidRPr="003C18C2">
        <w:t>15</w:t>
      </w:r>
      <w:r w:rsidRPr="003C18C2">
        <w:rPr>
          <w:rFonts w:hint="eastAsia"/>
        </w:rPr>
        <w:t>％，而</w:t>
      </w:r>
      <w:r w:rsidRPr="003C18C2">
        <w:t>2</w:t>
      </w:r>
      <w:r>
        <w:rPr>
          <w:rFonts w:hint="eastAsia"/>
        </w:rPr>
        <w:t>00</w:t>
      </w:r>
      <w:r w:rsidRPr="003C18C2">
        <w:t>1</w:t>
      </w:r>
      <w:r>
        <w:rPr>
          <w:rFonts w:hint="eastAsia"/>
        </w:rPr>
        <w:t>年我国高等教育毛入</w:t>
      </w:r>
      <w:r w:rsidRPr="003C18C2">
        <w:rPr>
          <w:rFonts w:hint="eastAsia"/>
        </w:rPr>
        <w:t>学率为</w:t>
      </w:r>
      <w:r w:rsidRPr="003C18C2">
        <w:t>13</w:t>
      </w:r>
      <w:r w:rsidRPr="003C18C2">
        <w:rPr>
          <w:rFonts w:hint="eastAsia"/>
        </w:rPr>
        <w:t>．</w:t>
      </w:r>
      <w:r>
        <w:t>3</w:t>
      </w:r>
      <w:r>
        <w:rPr>
          <w:rFonts w:hint="eastAsia"/>
        </w:rPr>
        <w:t>%</w:t>
      </w:r>
      <w:r>
        <w:rPr>
          <w:rFonts w:hint="eastAsia"/>
        </w:rPr>
        <w:t>（</w:t>
      </w:r>
      <w:r w:rsidRPr="003C18C2">
        <w:rPr>
          <w:rFonts w:hint="eastAsia"/>
        </w:rPr>
        <w:t>数据来源于</w:t>
      </w:r>
      <w:r w:rsidRPr="003C18C2">
        <w:t>2001</w:t>
      </w:r>
      <w:r w:rsidRPr="003C18C2">
        <w:rPr>
          <w:rFonts w:hint="eastAsia"/>
        </w:rPr>
        <w:t>《中国教育统计年鉴》）；二是预计</w:t>
      </w:r>
      <w:r w:rsidRPr="003C18C2">
        <w:t>2005</w:t>
      </w:r>
      <w:r w:rsidRPr="003C18C2">
        <w:rPr>
          <w:rFonts w:hint="eastAsia"/>
        </w:rPr>
        <w:t>－</w:t>
      </w:r>
      <w:r w:rsidRPr="003C18C2">
        <w:t>2009</w:t>
      </w:r>
      <w:r w:rsidRPr="003C18C2">
        <w:rPr>
          <w:rFonts w:hint="eastAsia"/>
        </w:rPr>
        <w:t>年我国将出现高等学校招生高峰。根据</w:t>
      </w:r>
      <w:r w:rsidRPr="003C18C2">
        <w:t>2000</w:t>
      </w:r>
      <w:r w:rsidRPr="003C18C2">
        <w:rPr>
          <w:rFonts w:hint="eastAsia"/>
        </w:rPr>
        <w:t>年和</w:t>
      </w:r>
      <w:r w:rsidRPr="003C18C2">
        <w:t>2001</w:t>
      </w:r>
      <w:r w:rsidRPr="003C18C2">
        <w:rPr>
          <w:rFonts w:hint="eastAsia"/>
        </w:rPr>
        <w:t>年《中国教育统计年鉴》公布的数据，我国小学毕业生数量在</w:t>
      </w:r>
      <w:r w:rsidRPr="003C18C2">
        <w:t>2</w:t>
      </w:r>
      <w:r>
        <w:rPr>
          <w:rFonts w:hint="eastAsia"/>
        </w:rPr>
        <w:t>00</w:t>
      </w:r>
      <w:r w:rsidRPr="003C18C2">
        <w:t>0</w:t>
      </w:r>
      <w:r w:rsidRPr="003C18C2">
        <w:rPr>
          <w:rFonts w:hint="eastAsia"/>
        </w:rPr>
        <w:t>年出现高峰后开始回落，而初中和高中毕业生均呈现上升趋势：</w:t>
      </w:r>
      <w:r w:rsidRPr="003C18C2">
        <w:t>2001</w:t>
      </w:r>
      <w:r>
        <w:rPr>
          <w:rFonts w:hint="eastAsia"/>
        </w:rPr>
        <w:t>年初中毕业</w:t>
      </w:r>
      <w:r w:rsidRPr="003C18C2">
        <w:rPr>
          <w:rFonts w:hint="eastAsia"/>
        </w:rPr>
        <w:t>生比</w:t>
      </w:r>
      <w:r w:rsidRPr="003C18C2">
        <w:t>3000</w:t>
      </w:r>
      <w:r w:rsidRPr="003C18C2">
        <w:rPr>
          <w:rFonts w:hint="eastAsia"/>
        </w:rPr>
        <w:t>年增加</w:t>
      </w:r>
      <w:r w:rsidRPr="003C18C2">
        <w:t>98</w:t>
      </w:r>
      <w:r w:rsidRPr="003C18C2">
        <w:rPr>
          <w:rFonts w:hint="eastAsia"/>
        </w:rPr>
        <w:t>万人，升学率上升</w:t>
      </w:r>
      <w:r w:rsidRPr="003C18C2">
        <w:t>2</w:t>
      </w:r>
      <w:r w:rsidRPr="003C18C2">
        <w:rPr>
          <w:rFonts w:hint="eastAsia"/>
        </w:rPr>
        <w:t>．</w:t>
      </w:r>
      <w:r w:rsidRPr="003C18C2">
        <w:t>1</w:t>
      </w:r>
      <w:r w:rsidRPr="003C18C2">
        <w:rPr>
          <w:rFonts w:hint="eastAsia"/>
        </w:rPr>
        <w:t>个百分点，同期高中毕业生增加</w:t>
      </w:r>
      <w:r w:rsidRPr="003C18C2">
        <w:t>39</w:t>
      </w:r>
      <w:r w:rsidRPr="003C18C2">
        <w:rPr>
          <w:rFonts w:hint="eastAsia"/>
        </w:rPr>
        <w:t>万人，升学率提高</w:t>
      </w:r>
      <w:r w:rsidRPr="003C18C2">
        <w:t>5</w:t>
      </w:r>
      <w:r w:rsidRPr="003C18C2">
        <w:rPr>
          <w:rFonts w:hint="eastAsia"/>
        </w:rPr>
        <w:t>个百分点。在</w:t>
      </w:r>
      <w:r w:rsidRPr="003C18C2">
        <w:t>2000</w:t>
      </w:r>
      <w:r w:rsidRPr="003C18C2">
        <w:rPr>
          <w:rFonts w:hint="eastAsia"/>
        </w:rPr>
        <w:t>年以后升入初、高中的学生大部分将会在</w:t>
      </w:r>
      <w:r w:rsidRPr="003C18C2">
        <w:t>2</w:t>
      </w:r>
      <w:r>
        <w:rPr>
          <w:rFonts w:hint="eastAsia"/>
        </w:rPr>
        <w:t>00</w:t>
      </w:r>
      <w:r w:rsidRPr="003C18C2">
        <w:t>5</w:t>
      </w:r>
      <w:r w:rsidRPr="003C18C2">
        <w:rPr>
          <w:rFonts w:hint="eastAsia"/>
        </w:rPr>
        <w:t>－</w:t>
      </w:r>
      <w:r w:rsidRPr="003C18C2">
        <w:t>2</w:t>
      </w:r>
      <w:r>
        <w:rPr>
          <w:rFonts w:hint="eastAsia"/>
        </w:rPr>
        <w:t>00</w:t>
      </w:r>
      <w:r w:rsidRPr="003C18C2">
        <w:t>9</w:t>
      </w:r>
      <w:r w:rsidRPr="003C18C2">
        <w:rPr>
          <w:rFonts w:hint="eastAsia"/>
        </w:rPr>
        <w:t>年接受高等教育。</w:t>
      </w:r>
    </w:p>
    <w:p w:rsidR="003C18C2" w:rsidRPr="003C18C2" w:rsidRDefault="003C18C2" w:rsidP="003C18C2">
      <w:pPr>
        <w:pStyle w:val="20"/>
        <w:spacing w:line="460" w:lineRule="atLeast"/>
        <w:ind w:firstLine="482"/>
      </w:pPr>
      <w:r w:rsidRPr="003C18C2">
        <w:t>2</w:t>
      </w:r>
      <w:r w:rsidRPr="003C18C2">
        <w:rPr>
          <w:rFonts w:hint="eastAsia"/>
        </w:rPr>
        <w:t>、学校生源分析，包括招生对象、招生范围、招生计划及其可行性。</w:t>
      </w:r>
    </w:p>
    <w:p w:rsidR="003C18C2" w:rsidRPr="003C18C2" w:rsidRDefault="003C18C2" w:rsidP="003C18C2">
      <w:pPr>
        <w:pStyle w:val="20"/>
        <w:spacing w:line="460" w:lineRule="atLeast"/>
        <w:ind w:firstLine="482"/>
      </w:pPr>
      <w:r w:rsidRPr="003C18C2">
        <w:t>3</w:t>
      </w:r>
      <w:r w:rsidRPr="003C18C2">
        <w:rPr>
          <w:rFonts w:hint="eastAsia"/>
        </w:rPr>
        <w:t>、项目竞争能力分析，包括学校资质、师资与教育质量、在校学生近年就业率和升学率等指标、学校在全国和当地的地位、学校教学服务设施和收费水平、学校的发展前景等。</w:t>
      </w:r>
    </w:p>
    <w:p w:rsidR="00E51950" w:rsidRPr="008A4EEC" w:rsidRDefault="00A97299" w:rsidP="008A4EEC">
      <w:pPr>
        <w:pStyle w:val="20"/>
        <w:spacing w:line="460" w:lineRule="atLeast"/>
        <w:ind w:firstLine="482"/>
      </w:pPr>
      <w:r>
        <w:br w:type="page"/>
      </w:r>
    </w:p>
    <w:p w:rsidR="007C18E9" w:rsidRPr="00C4142A" w:rsidRDefault="007C18E9" w:rsidP="00E51950">
      <w:pPr>
        <w:pStyle w:val="20"/>
        <w:spacing w:line="460" w:lineRule="atLeast"/>
        <w:ind w:firstLine="482"/>
      </w:pPr>
    </w:p>
    <w:sectPr w:rsidR="007C18E9" w:rsidRPr="00C4142A">
      <w:headerReference w:type="even" r:id="rId7"/>
      <w:headerReference w:type="default" r:id="rId8"/>
      <w:footerReference w:type="even" r:id="rId9"/>
      <w:footerReference w:type="default" r:id="rId10"/>
      <w:headerReference w:type="first" r:id="rId11"/>
      <w:footerReference w:type="first" r:id="rId12"/>
      <w:pgSz w:w="11906" w:h="16838" w:code="9"/>
      <w:pgMar w:top="1814" w:right="1106" w:bottom="1440" w:left="1418" w:header="1304" w:footer="115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A29" w:rsidRDefault="007B5A29">
      <w:r>
        <w:separator/>
      </w:r>
    </w:p>
  </w:endnote>
  <w:endnote w:type="continuationSeparator" w:id="0">
    <w:p w:rsidR="007B5A29" w:rsidRDefault="007B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72" w:rsidRDefault="0017537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75372" w:rsidRDefault="0017537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72" w:rsidRDefault="0017537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8106C">
      <w:rPr>
        <w:rStyle w:val="a6"/>
        <w:noProof/>
      </w:rPr>
      <w:t>1</w:t>
    </w:r>
    <w:r>
      <w:rPr>
        <w:rStyle w:val="a6"/>
      </w:rPr>
      <w:fldChar w:fldCharType="end"/>
    </w:r>
  </w:p>
  <w:p w:rsidR="00175372" w:rsidRDefault="00175372">
    <w:pPr>
      <w:pStyle w:val="a5"/>
      <w:spacing w:before="80"/>
      <w:rPr>
        <w:rFonts w:ascii="Times New Roman" w:hint="eastAsia"/>
      </w:rPr>
    </w:pPr>
    <w:r>
      <w:rPr>
        <w:rFonts w:ascii="Times New Roman" w:hint="eastAsia"/>
        <w:b/>
        <w:i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72" w:rsidRDefault="001753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A29" w:rsidRDefault="007B5A29">
      <w:r>
        <w:separator/>
      </w:r>
    </w:p>
  </w:footnote>
  <w:footnote w:type="continuationSeparator" w:id="0">
    <w:p w:rsidR="007B5A29" w:rsidRDefault="007B5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72" w:rsidRDefault="0017537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72" w:rsidRDefault="00175372">
    <w:pPr>
      <w:pStyle w:val="a4"/>
      <w:tabs>
        <w:tab w:val="clear" w:pos="4153"/>
        <w:tab w:val="clear" w:pos="8306"/>
        <w:tab w:val="center" w:pos="4962"/>
        <w:tab w:val="right" w:pos="9781"/>
      </w:tabs>
      <w:ind w:rightChars="-65" w:right="-156"/>
      <w:jc w:val="left"/>
      <w:rPr>
        <w:b/>
        <w:i/>
      </w:rPr>
    </w:pPr>
    <w:r>
      <w:rPr>
        <w:b/>
        <w:i/>
        <w:shd w:val="pct15" w:color="auto" w:fill="FFFFFF"/>
      </w:rPr>
      <w:t xml:space="preserve">                                                 </w:t>
    </w:r>
    <w:r>
      <w:rPr>
        <w:rFonts w:hint="eastAsia"/>
        <w:shd w:val="pct15" w:color="auto" w:fill="FFFFFF"/>
      </w:rPr>
      <w:t xml:space="preserve">           </w:t>
    </w:r>
    <w:r>
      <w:rPr>
        <w:shd w:val="pct15" w:color="auto" w:fill="FFFFFF"/>
      </w:rPr>
      <w:t xml:space="preserve"> </w:t>
    </w:r>
    <w:r>
      <w:rPr>
        <w:rFonts w:hint="eastAsia"/>
        <w:shd w:val="pct15" w:color="auto" w:fill="FFFFFF"/>
      </w:rPr>
      <w:t xml:space="preserve"> </w:t>
    </w:r>
    <w:r>
      <w:rPr>
        <w:shd w:val="pct15" w:color="auto" w:fill="FFFFF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72" w:rsidRDefault="001753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0BAD"/>
    <w:multiLevelType w:val="hybridMultilevel"/>
    <w:tmpl w:val="DAEC15D6"/>
    <w:lvl w:ilvl="0">
      <w:start w:val="1"/>
      <w:numFmt w:val="bullet"/>
      <w:pStyle w:val="3"/>
      <w:lvlText w:val=""/>
      <w:lvlJc w:val="left"/>
      <w:pPr>
        <w:tabs>
          <w:tab w:val="num" w:pos="898"/>
        </w:tabs>
        <w:ind w:left="898" w:hanging="420"/>
      </w:pPr>
      <w:rPr>
        <w:rFonts w:ascii="Wingdings" w:hAnsi="Wingdings" w:hint="default"/>
      </w:rPr>
    </w:lvl>
    <w:lvl w:ilvl="1" w:tentative="1">
      <w:start w:val="1"/>
      <w:numFmt w:val="bullet"/>
      <w:lvlText w:val=""/>
      <w:lvlJc w:val="left"/>
      <w:pPr>
        <w:tabs>
          <w:tab w:val="num" w:pos="1318"/>
        </w:tabs>
        <w:ind w:left="1318" w:hanging="420"/>
      </w:pPr>
      <w:rPr>
        <w:rFonts w:ascii="Wingdings" w:hAnsi="Wingdings" w:hint="default"/>
      </w:rPr>
    </w:lvl>
    <w:lvl w:ilvl="2" w:tentative="1">
      <w:start w:val="1"/>
      <w:numFmt w:val="bullet"/>
      <w:lvlText w:val=""/>
      <w:lvlJc w:val="left"/>
      <w:pPr>
        <w:tabs>
          <w:tab w:val="num" w:pos="1738"/>
        </w:tabs>
        <w:ind w:left="1738" w:hanging="420"/>
      </w:pPr>
      <w:rPr>
        <w:rFonts w:ascii="Wingdings" w:hAnsi="Wingdings" w:hint="default"/>
      </w:rPr>
    </w:lvl>
    <w:lvl w:ilvl="3" w:tentative="1">
      <w:start w:val="1"/>
      <w:numFmt w:val="bullet"/>
      <w:lvlText w:val=""/>
      <w:lvlJc w:val="left"/>
      <w:pPr>
        <w:tabs>
          <w:tab w:val="num" w:pos="2158"/>
        </w:tabs>
        <w:ind w:left="2158" w:hanging="420"/>
      </w:pPr>
      <w:rPr>
        <w:rFonts w:ascii="Wingdings" w:hAnsi="Wingdings" w:hint="default"/>
      </w:rPr>
    </w:lvl>
    <w:lvl w:ilvl="4" w:tentative="1">
      <w:start w:val="1"/>
      <w:numFmt w:val="bullet"/>
      <w:lvlText w:val=""/>
      <w:lvlJc w:val="left"/>
      <w:pPr>
        <w:tabs>
          <w:tab w:val="num" w:pos="2578"/>
        </w:tabs>
        <w:ind w:left="2578" w:hanging="420"/>
      </w:pPr>
      <w:rPr>
        <w:rFonts w:ascii="Wingdings" w:hAnsi="Wingdings" w:hint="default"/>
      </w:rPr>
    </w:lvl>
    <w:lvl w:ilvl="5" w:tentative="1">
      <w:start w:val="1"/>
      <w:numFmt w:val="bullet"/>
      <w:lvlText w:val=""/>
      <w:lvlJc w:val="left"/>
      <w:pPr>
        <w:tabs>
          <w:tab w:val="num" w:pos="2998"/>
        </w:tabs>
        <w:ind w:left="2998" w:hanging="420"/>
      </w:pPr>
      <w:rPr>
        <w:rFonts w:ascii="Wingdings" w:hAnsi="Wingdings" w:hint="default"/>
      </w:rPr>
    </w:lvl>
    <w:lvl w:ilvl="6" w:tentative="1">
      <w:start w:val="1"/>
      <w:numFmt w:val="bullet"/>
      <w:lvlText w:val=""/>
      <w:lvlJc w:val="left"/>
      <w:pPr>
        <w:tabs>
          <w:tab w:val="num" w:pos="3418"/>
        </w:tabs>
        <w:ind w:left="3418" w:hanging="420"/>
      </w:pPr>
      <w:rPr>
        <w:rFonts w:ascii="Wingdings" w:hAnsi="Wingdings" w:hint="default"/>
      </w:rPr>
    </w:lvl>
    <w:lvl w:ilvl="7" w:tentative="1">
      <w:start w:val="1"/>
      <w:numFmt w:val="bullet"/>
      <w:lvlText w:val=""/>
      <w:lvlJc w:val="left"/>
      <w:pPr>
        <w:tabs>
          <w:tab w:val="num" w:pos="3838"/>
        </w:tabs>
        <w:ind w:left="3838" w:hanging="420"/>
      </w:pPr>
      <w:rPr>
        <w:rFonts w:ascii="Wingdings" w:hAnsi="Wingdings" w:hint="default"/>
      </w:rPr>
    </w:lvl>
    <w:lvl w:ilvl="8" w:tentative="1">
      <w:start w:val="1"/>
      <w:numFmt w:val="bullet"/>
      <w:lvlText w:val=""/>
      <w:lvlJc w:val="left"/>
      <w:pPr>
        <w:tabs>
          <w:tab w:val="num" w:pos="4258"/>
        </w:tabs>
        <w:ind w:left="4258" w:hanging="420"/>
      </w:pPr>
      <w:rPr>
        <w:rFonts w:ascii="Wingdings" w:hAnsi="Wingdings" w:hint="default"/>
      </w:rPr>
    </w:lvl>
  </w:abstractNum>
  <w:abstractNum w:abstractNumId="1" w15:restartNumberingAfterBreak="0">
    <w:nsid w:val="65BB0DAD"/>
    <w:multiLevelType w:val="hybridMultilevel"/>
    <w:tmpl w:val="9BB84F9E"/>
    <w:lvl w:ilvl="0" w:tplc="107017CE">
      <w:start w:val="1"/>
      <w:numFmt w:val="japaneseCounting"/>
      <w:lvlText w:val="%1、"/>
      <w:lvlJc w:val="left"/>
      <w:pPr>
        <w:tabs>
          <w:tab w:val="num" w:pos="1815"/>
        </w:tabs>
        <w:ind w:left="1815" w:hanging="120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num w:numId="1">
    <w:abstractNumId w:val="0"/>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76B7"/>
    <w:rsid w:val="00000C58"/>
    <w:rsid w:val="000600DB"/>
    <w:rsid w:val="00070908"/>
    <w:rsid w:val="00126D83"/>
    <w:rsid w:val="001649ED"/>
    <w:rsid w:val="00175372"/>
    <w:rsid w:val="001A3DF0"/>
    <w:rsid w:val="001D15A6"/>
    <w:rsid w:val="001D64B0"/>
    <w:rsid w:val="00263B27"/>
    <w:rsid w:val="00284328"/>
    <w:rsid w:val="0031140B"/>
    <w:rsid w:val="0031295B"/>
    <w:rsid w:val="003542A5"/>
    <w:rsid w:val="00376F79"/>
    <w:rsid w:val="0038106C"/>
    <w:rsid w:val="003A3BA5"/>
    <w:rsid w:val="003C18C2"/>
    <w:rsid w:val="003E6660"/>
    <w:rsid w:val="00401FC2"/>
    <w:rsid w:val="00443665"/>
    <w:rsid w:val="00471570"/>
    <w:rsid w:val="004A491A"/>
    <w:rsid w:val="004C4EBE"/>
    <w:rsid w:val="00595612"/>
    <w:rsid w:val="005C2F01"/>
    <w:rsid w:val="005F0BB0"/>
    <w:rsid w:val="005F0F2C"/>
    <w:rsid w:val="006038F2"/>
    <w:rsid w:val="0065553E"/>
    <w:rsid w:val="006B22A9"/>
    <w:rsid w:val="007B5A29"/>
    <w:rsid w:val="007C18E9"/>
    <w:rsid w:val="007E39F7"/>
    <w:rsid w:val="007F4245"/>
    <w:rsid w:val="00851A69"/>
    <w:rsid w:val="008A4EEC"/>
    <w:rsid w:val="00936ACC"/>
    <w:rsid w:val="00952CD3"/>
    <w:rsid w:val="00987046"/>
    <w:rsid w:val="009A0845"/>
    <w:rsid w:val="00A314F6"/>
    <w:rsid w:val="00A572D9"/>
    <w:rsid w:val="00A97299"/>
    <w:rsid w:val="00B8245F"/>
    <w:rsid w:val="00BF175F"/>
    <w:rsid w:val="00C4142A"/>
    <w:rsid w:val="00C457EB"/>
    <w:rsid w:val="00C63F2A"/>
    <w:rsid w:val="00C717A7"/>
    <w:rsid w:val="00D12F61"/>
    <w:rsid w:val="00D402D3"/>
    <w:rsid w:val="00DB4925"/>
    <w:rsid w:val="00DF73AF"/>
    <w:rsid w:val="00E51950"/>
    <w:rsid w:val="00E62E95"/>
    <w:rsid w:val="00EF575B"/>
    <w:rsid w:val="00F34923"/>
    <w:rsid w:val="00F54CF4"/>
    <w:rsid w:val="00F776B7"/>
    <w:rsid w:val="00FC6449"/>
    <w:rsid w:val="00FF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60A559-9CE0-4908-ACA3-AE220159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autoSpaceDE w:val="0"/>
      <w:autoSpaceDN w:val="0"/>
      <w:adjustRightInd w:val="0"/>
      <w:spacing w:line="360" w:lineRule="atLeast"/>
      <w:textAlignment w:val="baseline"/>
    </w:pPr>
    <w:rPr>
      <w:rFonts w:ascii="宋体"/>
      <w:sz w:val="24"/>
    </w:rPr>
  </w:style>
  <w:style w:type="paragraph" w:styleId="1">
    <w:name w:val="heading 1"/>
    <w:basedOn w:val="a"/>
    <w:next w:val="a"/>
    <w:qFormat/>
    <w:pPr>
      <w:keepNext/>
      <w:tabs>
        <w:tab w:val="left" w:pos="9072"/>
      </w:tabs>
      <w:ind w:right="-108"/>
      <w:jc w:val="center"/>
      <w:outlineLvl w:val="0"/>
    </w:pPr>
    <w:rPr>
      <w:b/>
      <w:color w:val="FFFFFF"/>
      <w:sz w:val="180"/>
    </w:rPr>
  </w:style>
  <w:style w:type="paragraph" w:styleId="2">
    <w:name w:val="heading 2"/>
    <w:basedOn w:val="a"/>
    <w:next w:val="a"/>
    <w:qFormat/>
    <w:pPr>
      <w:keepNext/>
      <w:keepLines/>
      <w:spacing w:before="260" w:after="260" w:line="416" w:lineRule="atLeast"/>
      <w:outlineLvl w:val="1"/>
    </w:pPr>
    <w:rPr>
      <w:rFonts w:ascii="Arial" w:eastAsia="黑体" w:hAnsi="Arial"/>
      <w:b/>
      <w:bCs/>
      <w:sz w:val="32"/>
      <w:szCs w:val="32"/>
    </w:rPr>
  </w:style>
  <w:style w:type="paragraph" w:styleId="30">
    <w:name w:val="heading 3"/>
    <w:basedOn w:val="a"/>
    <w:next w:val="a"/>
    <w:qFormat/>
    <w:pPr>
      <w:keepNext/>
      <w:keepLines/>
      <w:spacing w:before="260" w:after="260" w:line="416" w:lineRule="atLeast"/>
      <w:outlineLvl w:val="2"/>
    </w:pPr>
    <w:rPr>
      <w:b/>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firstLine="420"/>
    </w:pPr>
  </w:style>
  <w:style w:type="paragraph" w:styleId="a4">
    <w:name w:val="header"/>
    <w:basedOn w:val="a"/>
    <w:pPr>
      <w:pBdr>
        <w:bottom w:val="single" w:sz="6" w:space="1" w:color="auto"/>
      </w:pBdr>
      <w:tabs>
        <w:tab w:val="center" w:pos="4153"/>
        <w:tab w:val="right" w:pos="8306"/>
      </w:tabs>
      <w:spacing w:line="240" w:lineRule="atLeast"/>
      <w:jc w:val="center"/>
    </w:pPr>
    <w:rPr>
      <w:sz w:val="18"/>
    </w:rPr>
  </w:style>
  <w:style w:type="paragraph" w:styleId="a5">
    <w:name w:val="footer"/>
    <w:basedOn w:val="a"/>
    <w:pPr>
      <w:tabs>
        <w:tab w:val="center" w:pos="4153"/>
        <w:tab w:val="right" w:pos="8306"/>
      </w:tabs>
      <w:spacing w:line="240" w:lineRule="atLeast"/>
    </w:pPr>
    <w:rPr>
      <w:sz w:val="18"/>
    </w:rPr>
  </w:style>
  <w:style w:type="character" w:styleId="a6">
    <w:name w:val="page number"/>
    <w:rPr>
      <w:rFonts w:ascii="宋体" w:eastAsia="宋体" w:hAnsi="宋体"/>
    </w:rPr>
  </w:style>
  <w:style w:type="paragraph" w:styleId="a7">
    <w:name w:val="Body Text"/>
    <w:basedOn w:val="a"/>
    <w:pPr>
      <w:jc w:val="both"/>
    </w:pPr>
  </w:style>
  <w:style w:type="paragraph" w:styleId="a8">
    <w:name w:val="Body Text Indent"/>
    <w:basedOn w:val="a"/>
    <w:pPr>
      <w:tabs>
        <w:tab w:val="left" w:pos="8789"/>
      </w:tabs>
      <w:spacing w:line="312" w:lineRule="atLeast"/>
      <w:ind w:right="55"/>
    </w:pPr>
    <w:rPr>
      <w:rFonts w:ascii="Times New Roman"/>
    </w:rPr>
  </w:style>
  <w:style w:type="paragraph" w:customStyle="1" w:styleId="chenyannianformat">
    <w:name w:val="chenyannian format"/>
    <w:basedOn w:val="a"/>
    <w:pPr>
      <w:overflowPunct/>
      <w:autoSpaceDE/>
      <w:autoSpaceDN/>
      <w:spacing w:line="240" w:lineRule="auto"/>
      <w:jc w:val="center"/>
    </w:pPr>
    <w:rPr>
      <w:rFonts w:ascii="黑体" w:eastAsia="黑体"/>
      <w:b/>
      <w:kern w:val="2"/>
    </w:rPr>
  </w:style>
  <w:style w:type="paragraph" w:customStyle="1" w:styleId="a9">
    <w:name w:val="简报标题"/>
    <w:basedOn w:val="a"/>
    <w:pPr>
      <w:overflowPunct/>
      <w:autoSpaceDE/>
      <w:autoSpaceDN/>
      <w:spacing w:line="240" w:lineRule="auto"/>
      <w:jc w:val="center"/>
    </w:pPr>
    <w:rPr>
      <w:rFonts w:eastAsia="黑体"/>
      <w:b/>
      <w:color w:val="000000"/>
    </w:rPr>
  </w:style>
  <w:style w:type="paragraph" w:customStyle="1" w:styleId="BodyText2">
    <w:name w:val="Body Text 2"/>
    <w:basedOn w:val="a"/>
    <w:pPr>
      <w:spacing w:line="312" w:lineRule="atLeast"/>
      <w:ind w:firstLine="540"/>
      <w:jc w:val="both"/>
    </w:pPr>
  </w:style>
  <w:style w:type="paragraph" w:customStyle="1" w:styleId="BodyTextIndent2">
    <w:name w:val="Body Text Indent 2"/>
    <w:basedOn w:val="a"/>
    <w:pPr>
      <w:spacing w:line="312" w:lineRule="atLeast"/>
      <w:ind w:firstLine="540"/>
    </w:pPr>
  </w:style>
  <w:style w:type="paragraph" w:customStyle="1" w:styleId="aa">
    <w:name w:val="数据标题"/>
    <w:basedOn w:val="a"/>
    <w:autoRedefine/>
    <w:pPr>
      <w:spacing w:before="120" w:after="120" w:line="312" w:lineRule="exact"/>
      <w:jc w:val="center"/>
      <w:outlineLvl w:val="0"/>
    </w:pPr>
    <w:rPr>
      <w:rFonts w:ascii="Times New Roman" w:eastAsia="黑体"/>
      <w:b/>
    </w:rPr>
  </w:style>
  <w:style w:type="paragraph" w:styleId="10">
    <w:name w:val="toc 1"/>
    <w:basedOn w:val="a"/>
    <w:next w:val="a"/>
    <w:autoRedefine/>
    <w:semiHidden/>
    <w:pPr>
      <w:tabs>
        <w:tab w:val="right" w:leader="dot" w:pos="8520"/>
      </w:tabs>
      <w:spacing w:line="400" w:lineRule="atLeast"/>
      <w:ind w:rightChars="10" w:right="24" w:hanging="425"/>
    </w:pPr>
  </w:style>
  <w:style w:type="paragraph" w:styleId="ab">
    <w:name w:val="Plain Text"/>
    <w:basedOn w:val="a"/>
    <w:pPr>
      <w:overflowPunct/>
      <w:autoSpaceDE/>
      <w:autoSpaceDN/>
      <w:adjustRightInd/>
      <w:spacing w:line="240" w:lineRule="auto"/>
      <w:jc w:val="both"/>
      <w:textAlignment w:val="auto"/>
    </w:pPr>
    <w:rPr>
      <w:rFonts w:hAnsi="Courier New"/>
      <w:kern w:val="2"/>
      <w:sz w:val="21"/>
    </w:rPr>
  </w:style>
  <w:style w:type="paragraph" w:customStyle="1" w:styleId="ac">
    <w:name w:val="每日金融标题"/>
    <w:basedOn w:val="a"/>
    <w:pPr>
      <w:spacing w:line="312" w:lineRule="atLeast"/>
      <w:jc w:val="center"/>
    </w:pPr>
    <w:rPr>
      <w:rFonts w:ascii="Times New Roman" w:eastAsia="黑体"/>
      <w:b/>
    </w:rPr>
  </w:style>
  <w:style w:type="paragraph" w:customStyle="1" w:styleId="ad">
    <w:name w:val="每日"/>
    <w:basedOn w:val="a"/>
    <w:next w:val="a"/>
    <w:pPr>
      <w:overflowPunct/>
      <w:spacing w:line="312" w:lineRule="atLeast"/>
      <w:jc w:val="center"/>
    </w:pPr>
    <w:rPr>
      <w:rFonts w:ascii="黑体" w:eastAsia="黑体"/>
      <w:b/>
    </w:rPr>
  </w:style>
  <w:style w:type="paragraph" w:customStyle="1" w:styleId="ae">
    <w:name w:val="每日标题"/>
    <w:basedOn w:val="a"/>
    <w:pPr>
      <w:tabs>
        <w:tab w:val="left" w:pos="8789"/>
      </w:tabs>
      <w:spacing w:line="312" w:lineRule="atLeast"/>
      <w:ind w:right="55"/>
      <w:jc w:val="center"/>
    </w:pPr>
    <w:rPr>
      <w:rFonts w:ascii="Times New Roman" w:eastAsia="黑体"/>
      <w:b/>
    </w:rPr>
  </w:style>
  <w:style w:type="paragraph" w:customStyle="1" w:styleId="BodyText3">
    <w:name w:val="Body Text 3"/>
    <w:basedOn w:val="a"/>
    <w:pPr>
      <w:tabs>
        <w:tab w:val="left" w:pos="9072"/>
      </w:tabs>
      <w:spacing w:line="312" w:lineRule="atLeast"/>
      <w:ind w:right="23"/>
      <w:jc w:val="both"/>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黑体" w:eastAsia="黑体" w:hAnsi="Courier New" w:cs="Courier New"/>
      <w:sz w:val="20"/>
    </w:rPr>
  </w:style>
  <w:style w:type="character" w:customStyle="1" w:styleId="item1">
    <w:name w:val="item1"/>
    <w:rPr>
      <w:rFonts w:ascii="宋体" w:eastAsia="宋体" w:hAnsi="宋体" w:hint="eastAsia"/>
      <w:sz w:val="18"/>
      <w:szCs w:val="18"/>
    </w:rPr>
  </w:style>
  <w:style w:type="character" w:customStyle="1" w:styleId="content1">
    <w:name w:val="content1"/>
    <w:rPr>
      <w:rFonts w:ascii="宋体" w:eastAsia="宋体" w:hAnsi="宋体" w:hint="eastAsia"/>
      <w:sz w:val="18"/>
      <w:szCs w:val="18"/>
    </w:rPr>
  </w:style>
  <w:style w:type="paragraph" w:styleId="af">
    <w:name w:val="Normal (Web)"/>
    <w:basedOn w:val="a"/>
    <w:pPr>
      <w:widowControl/>
      <w:overflowPunct/>
      <w:autoSpaceDE/>
      <w:autoSpaceDN/>
      <w:adjustRightInd/>
      <w:spacing w:before="100" w:beforeAutospacing="1" w:after="100" w:afterAutospacing="1" w:line="240" w:lineRule="auto"/>
      <w:textAlignment w:val="auto"/>
    </w:pPr>
    <w:rPr>
      <w:rFonts w:hAnsi="宋体"/>
      <w:szCs w:val="24"/>
    </w:rPr>
  </w:style>
  <w:style w:type="character" w:customStyle="1" w:styleId="small1">
    <w:name w:val="small1"/>
    <w:rPr>
      <w:rFonts w:ascii="宋体" w:eastAsia="宋体" w:hAnsi="宋体" w:hint="eastAsia"/>
      <w:sz w:val="18"/>
      <w:szCs w:val="18"/>
    </w:rPr>
  </w:style>
  <w:style w:type="paragraph" w:customStyle="1" w:styleId="NormalWeb">
    <w:name w:val="Normal (Web)"/>
    <w:basedOn w:val="a"/>
    <w:pPr>
      <w:widowControl/>
      <w:overflowPunct/>
      <w:autoSpaceDE/>
      <w:autoSpaceDN/>
      <w:spacing w:before="100" w:after="100" w:line="240" w:lineRule="auto"/>
    </w:pPr>
    <w:rPr>
      <w:rFonts w:ascii="Arial Unicode MS" w:eastAsia="Arial Unicode MS" w:hAnsi="Arial Unicode MS"/>
    </w:rPr>
  </w:style>
  <w:style w:type="paragraph" w:styleId="3">
    <w:name w:val="toc 3"/>
    <w:basedOn w:val="a"/>
    <w:next w:val="a"/>
    <w:autoRedefine/>
    <w:semiHidden/>
    <w:pPr>
      <w:numPr>
        <w:numId w:val="1"/>
      </w:numPr>
      <w:tabs>
        <w:tab w:val="right" w:leader="dot" w:pos="7920"/>
      </w:tabs>
      <w:spacing w:line="400" w:lineRule="atLeast"/>
    </w:pPr>
    <w:rPr>
      <w:rFonts w:hAnsi="Arial"/>
    </w:rPr>
  </w:style>
  <w:style w:type="character" w:styleId="af0">
    <w:name w:val="Hyperlink"/>
    <w:rPr>
      <w:rFonts w:ascii="宋体" w:eastAsia="宋体" w:hAnsi="宋体"/>
      <w:color w:val="0000FF"/>
      <w:sz w:val="20"/>
      <w:u w:val="single"/>
    </w:rPr>
  </w:style>
  <w:style w:type="character" w:customStyle="1" w:styleId="af1">
    <w:name w:val="样式"/>
    <w:rPr>
      <w:rFonts w:ascii="宋体" w:eastAsia="宋体" w:hAnsi="宋体"/>
      <w:sz w:val="20"/>
    </w:rPr>
  </w:style>
  <w:style w:type="character" w:styleId="af2">
    <w:name w:val="FollowedHyperlink"/>
    <w:rPr>
      <w:color w:val="800080"/>
      <w:u w:val="single"/>
    </w:rPr>
  </w:style>
  <w:style w:type="paragraph" w:styleId="31">
    <w:name w:val="Body Text Indent 3"/>
    <w:basedOn w:val="a"/>
    <w:pPr>
      <w:spacing w:line="312" w:lineRule="atLeast"/>
      <w:ind w:firstLine="465"/>
      <w:jc w:val="both"/>
    </w:pPr>
    <w:rPr>
      <w:rFonts w:ascii="Arial" w:hAnsi="Arial"/>
    </w:rPr>
  </w:style>
  <w:style w:type="paragraph" w:styleId="20">
    <w:name w:val="Body Text Indent 2"/>
    <w:basedOn w:val="a"/>
    <w:pPr>
      <w:ind w:firstLine="480"/>
      <w:jc w:val="both"/>
    </w:pPr>
    <w:rPr>
      <w:rFonts w:ascii="Arial" w:hAnsi="Arial"/>
    </w:rPr>
  </w:style>
  <w:style w:type="character" w:styleId="af3">
    <w:name w:val="Strong"/>
    <w:qFormat/>
    <w:rPr>
      <w:b/>
      <w:bCs/>
    </w:rPr>
  </w:style>
  <w:style w:type="paragraph" w:customStyle="1" w:styleId="BodyText24">
    <w:name w:val="Body Text 24"/>
    <w:basedOn w:val="a"/>
    <w:pPr>
      <w:overflowPunct/>
      <w:spacing w:line="240" w:lineRule="auto"/>
      <w:jc w:val="both"/>
    </w:pPr>
    <w:rPr>
      <w:rFonts w:ascii="Times New Roman"/>
      <w:kern w:val="2"/>
      <w:sz w:val="20"/>
      <w:szCs w:val="24"/>
    </w:rPr>
  </w:style>
  <w:style w:type="paragraph" w:customStyle="1" w:styleId="title2">
    <w:name w:val="title2"/>
    <w:basedOn w:val="a"/>
    <w:pPr>
      <w:widowControl/>
      <w:overflowPunct/>
      <w:autoSpaceDE/>
      <w:autoSpaceDN/>
      <w:adjustRightInd/>
      <w:spacing w:before="100" w:beforeAutospacing="1" w:after="100" w:afterAutospacing="1" w:line="300" w:lineRule="atLeast"/>
      <w:textAlignment w:val="auto"/>
    </w:pPr>
    <w:rPr>
      <w:rFonts w:ascii="Arial Unicode MS" w:eastAsia="Arial Unicode MS" w:hAnsi="Arial Unicode MS" w:cs="Arial Unicode MS"/>
      <w:sz w:val="20"/>
    </w:rPr>
  </w:style>
  <w:style w:type="paragraph" w:customStyle="1" w:styleId="content">
    <w:name w:val="content"/>
    <w:basedOn w:val="a"/>
    <w:pPr>
      <w:widowControl/>
      <w:overflowPunct/>
      <w:autoSpaceDE/>
      <w:autoSpaceDN/>
      <w:adjustRightInd/>
      <w:spacing w:before="100" w:beforeAutospacing="1" w:after="100" w:afterAutospacing="1" w:line="300" w:lineRule="atLeast"/>
      <w:textAlignment w:val="auto"/>
    </w:pPr>
    <w:rPr>
      <w:rFonts w:ascii="Arial Unicode MS" w:eastAsia="Arial Unicode MS" w:hAnsi="Arial Unicode MS" w:cs="Arial Unicode MS"/>
      <w:sz w:val="20"/>
    </w:rPr>
  </w:style>
  <w:style w:type="character" w:customStyle="1" w:styleId="105w1">
    <w:name w:val="105w1"/>
    <w:rPr>
      <w:rFonts w:ascii="" w:hAnsi="" w:hint="default"/>
      <w:sz w:val="28"/>
      <w:szCs w:val="28"/>
    </w:rPr>
  </w:style>
  <w:style w:type="paragraph" w:styleId="af4">
    <w:name w:val="Document Map"/>
    <w:basedOn w:val="a"/>
    <w:semiHidden/>
    <w:pPr>
      <w:shd w:val="clear" w:color="auto" w:fill="000080"/>
      <w:overflowPunct/>
      <w:spacing w:line="312" w:lineRule="atLeast"/>
    </w:pPr>
  </w:style>
  <w:style w:type="character" w:customStyle="1" w:styleId="a10">
    <w:name w:val="a1"/>
    <w:rPr>
      <w:sz w:val="21"/>
      <w:szCs w:val="21"/>
    </w:rPr>
  </w:style>
  <w:style w:type="character" w:customStyle="1" w:styleId="chinese">
    <w:name w:val="chinese"/>
    <w:basedOn w:val="a0"/>
  </w:style>
  <w:style w:type="paragraph" w:styleId="21">
    <w:name w:val="Body Text 2"/>
    <w:basedOn w:val="a"/>
    <w:pPr>
      <w:spacing w:line="312" w:lineRule="atLeast"/>
      <w:jc w:val="both"/>
    </w:pPr>
    <w:rPr>
      <w:rFonts w:hAnsi="Arial"/>
      <w:color w:val="000000"/>
    </w:rPr>
  </w:style>
  <w:style w:type="paragraph" w:customStyle="1" w:styleId="BodyText22">
    <w:name w:val="Body Text 22"/>
    <w:basedOn w:val="a"/>
    <w:pPr>
      <w:overflowPunct/>
      <w:spacing w:line="312" w:lineRule="exact"/>
      <w:jc w:val="center"/>
    </w:pPr>
    <w:rPr>
      <w:rFonts w:ascii="Times New Roman"/>
      <w:b/>
      <w:kern w:val="2"/>
      <w:sz w:val="21"/>
    </w:rPr>
  </w:style>
  <w:style w:type="paragraph" w:customStyle="1" w:styleId="af5">
    <w:name w:val="摘要正文"/>
    <w:basedOn w:val="a3"/>
    <w:pPr>
      <w:overflowPunct/>
      <w:autoSpaceDE/>
      <w:autoSpaceDN/>
      <w:adjustRightInd/>
      <w:spacing w:line="240" w:lineRule="auto"/>
      <w:jc w:val="both"/>
      <w:textAlignment w:val="auto"/>
    </w:pPr>
    <w:rPr>
      <w:rFonts w:ascii="Times New Roman"/>
      <w:kern w:val="2"/>
    </w:rPr>
  </w:style>
  <w:style w:type="paragraph" w:styleId="22">
    <w:name w:val="toc 2"/>
    <w:basedOn w:val="a"/>
    <w:next w:val="a"/>
    <w:autoRedefine/>
    <w:semiHidden/>
    <w:pPr>
      <w:ind w:leftChars="200" w:left="42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styleId="af6">
    <w:name w:val="Title"/>
    <w:basedOn w:val="a"/>
    <w:next w:val="a"/>
    <w:link w:val="af7"/>
    <w:qFormat/>
    <w:rsid w:val="00D402D3"/>
    <w:pPr>
      <w:spacing w:before="240" w:after="60"/>
      <w:jc w:val="center"/>
      <w:outlineLvl w:val="0"/>
    </w:pPr>
    <w:rPr>
      <w:rFonts w:ascii="Cambria" w:hAnsi="Cambria"/>
      <w:b/>
      <w:bCs/>
      <w:sz w:val="32"/>
      <w:szCs w:val="32"/>
    </w:rPr>
  </w:style>
  <w:style w:type="character" w:customStyle="1" w:styleId="af7">
    <w:name w:val="标题 字符"/>
    <w:link w:val="af6"/>
    <w:rsid w:val="00D402D3"/>
    <w:rPr>
      <w:rFonts w:ascii="Cambria"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3726</Words>
  <Characters>21243</Characters>
  <Application>Microsoft Office Word</Application>
  <DocSecurity>0</DocSecurity>
  <Lines>177</Lines>
  <Paragraphs>49</Paragraphs>
  <ScaleCrop>false</ScaleCrop>
  <Company>Microsoft</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DAILY</dc:title>
  <dc:subject/>
  <dc:creator>AIC服务器</dc:creator>
  <cp:keywords/>
  <cp:lastModifiedBy>albertwuxinyu</cp:lastModifiedBy>
  <cp:revision>2</cp:revision>
  <cp:lastPrinted>2004-10-27T08:10:00Z</cp:lastPrinted>
  <dcterms:created xsi:type="dcterms:W3CDTF">2017-06-26T07:27:00Z</dcterms:created>
  <dcterms:modified xsi:type="dcterms:W3CDTF">2017-06-26T07:27:00Z</dcterms:modified>
</cp:coreProperties>
</file>