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financiera de glosas de cuentas médicas</w:t>
      </w:r>
    </w:p>
    <w:p>
      <w:pPr>
        <w:pStyle w:val="Subtitle"/>
      </w:pPr>
      <w:r>
        <w:t>Resultados del archivo actualizado y prioridades de control</w:t>
      </w:r>
    </w:p>
    <w:p>
      <w:r>
        <w:t>Fecha de elaboración  9 de octubre de 2026</w:t>
        <w:br/>
        <w:t>Dirigido a  Dirección financiera y equipo de auditoría de cuentas médicas</w:t>
        <w:br/>
        <w:t>Alcance  Muestra de 30 facturas del caso de estudio</w:t>
      </w:r>
    </w:p>
    <w:p>
      <w:pPr>
        <w:pStyle w:val="Heading1"/>
      </w:pPr>
      <w:r>
        <w:t>Resumen ejecutivo</w:t>
      </w:r>
    </w:p>
    <w:p>
      <w:r>
        <w:t>La muestra registra COP 137.925.000 facturados y COP 35.465.000 glosados. Las diez facturas con probabilidad de glosa estrictamente mayor al 70% suman COP 84.720.000 facturados y COP 33.800.000 objetados. Estas cifras representan, respectivamente, exposición bruta y monto glosado del subconjunto crítico.</w:t>
      </w:r>
    </w:p>
    <w:p>
      <w:r>
        <w:t>Nueva EPS y Sura EPS concentran el 94,91% de las glosas. Nueva EPS reúne el 86,20% de la pérdida definitiva registrada; la prioridad de control se sitúa en el sustento de estancias UCI y en la liquidación contractual de implantes y tarifas.</w:t>
      </w:r>
    </w:p>
    <w:p>
      <w:pPr>
        <w:pStyle w:val="Heading1"/>
      </w:pPr>
      <w:r>
        <w:t>Balance financiero de la muestra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Indicador en COP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Toda la muestra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Probabilidad &gt;70%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Facturación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137.925.000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84.720.000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Monto glosado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35.465.000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33.800.000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Estimación ponderada del archivo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30.340.800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29.311.800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Valor recuperado registrado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29.305.000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28.850.000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Pérdida definitiva registrada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6.160.000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4.950.000</w:t>
            </w:r>
          </w:p>
        </w:tc>
      </w:tr>
    </w:tbl>
    <w:p>
      <w:pPr>
        <w:spacing w:after="0"/>
      </w:pPr>
    </w:p>
    <w:p>
      <w:r>
        <w:t>La tasa de glosa sobre facturación es 25,71%; la recuperación registrada equivale al 82,63% de lo glosado y la pérdida definitiva al 4,47% de la facturación. En cada factura se cumple la conciliación entre glosa, recuperación y pérdida definitiva.</w:t>
      </w:r>
    </w:p>
    <w:p>
      <w:r>
        <w:t>Este reporte describe un caso de estudio. Los importes y resultados no fueron contrastados con pagos, contratos, historias clínicas ni respuestas externas de las EPS. No constituye un dictamen de auditoría independiente.</w:t>
      </w:r>
    </w:p>
    <w:p>
      <w:r>
        <w:br w:type="page"/>
      </w:r>
    </w:p>
    <w:p>
      <w:pPr>
        <w:pStyle w:val="Heading1"/>
      </w:pPr>
      <w:r>
        <w:t>Concentración por EPS y causales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EPS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Glosa COP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Recuperado COP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Pérdida COP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Nueva EPS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26.460.000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21.150.000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5.310.000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Sura EPS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7.200.000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7.200.000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Compensar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1.030.000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180.000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850.000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Famisanar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775.000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775.000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EPS Sanitas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Salud Total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0"/>
      </w:pPr>
    </w:p>
    <w:p>
      <w:r>
        <w:t>Nueva EPS presenta COP 26.460.000 glosados. Su causal agrupada predominante es pertinencia y estancia UCI, con COP 10.400.000 en las facturas 006 y 025. La causal individual de mayor importe es falta de prescripción Mipres de medicamento biológico, factura 029, con COP 7.800.000, recuperados íntegramente según el registro.</w:t>
      </w:r>
    </w:p>
    <w:p>
      <w:r>
        <w:t>Sura EPS presenta COP 7.200.000 glosados por falta de autorización previa para material, factura 003. El importe fue levantado al 100%; su pérdida definitiva registrada es cero.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es-glosa-actual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gráfico utiliza el importe glosado de las 13 facturas objetadas, antes de la sustentación. Las categorías son agrupaciones analíticas de Concepto_Objetado, no códigos oficiales de glosa.</w:t>
      </w:r>
    </w:p>
    <w:p>
      <w:r>
        <w:br w:type="page"/>
      </w:r>
    </w:p>
    <w:p>
      <w:pPr>
        <w:pStyle w:val="Heading1"/>
      </w:pPr>
      <w:r>
        <w:t>Metodología y definición del riesgo</w:t>
      </w:r>
    </w:p>
    <w:p>
      <w:r>
        <w:t>La fuente de cálculo es la hoja Dataset_Cuentas_Medicas del Excel actualizado. Se tomó cada fila como una factura, sin modificar el archivo. Se sumaron los importes originales en COP y se redondearon únicamente los porcentajes para su presentación. El archivo no aporta fechas de servicio o radicación para delimitar un periodo analítico.</w:t>
      </w:r>
    </w:p>
    <w:p>
      <w:r>
        <w:t>Se aplicó Probabilidad_Glosa_IA &gt; 0,70 sin redondeo previo. No existen registros exactamente en 70%. Las diez cuentas seleccionadas representan el 33,33% de las facturas, el 61,42% de la facturación y el 95,31% del monto glosado.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Medida crítica</w:t>
            </w:r>
          </w:p>
        </w:tc>
        <w:tc>
          <w:tcPr>
            <w:tcW w:type="dxa" w:w="5256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Definición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COP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Facturación expuesta</w:t>
            </w:r>
          </w:p>
        </w:tc>
        <w:tc>
          <w:tcPr>
            <w:tcW w:type="dxa" w:w="52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Suma del valor completo de las facturas con probabilidad &gt;70%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84.720.000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Monto glosado crítico</w:t>
            </w:r>
          </w:p>
        </w:tc>
        <w:tc>
          <w:tcPr>
            <w:tcW w:type="dxa" w:w="52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Suma del valor objetado en las mismas facturas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33.800.000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Estimación ponderada</w:t>
            </w:r>
          </w:p>
        </w:tc>
        <w:tc>
          <w:tcPr>
            <w:tcW w:type="dxa" w:w="52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Suma de valor glosado × probabilidad IA para ese subconjunto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29.311.800</w:t>
            </w:r>
          </w:p>
        </w:tc>
      </w:tr>
    </w:tbl>
    <w:p>
      <w:pPr>
        <w:spacing w:after="0"/>
      </w:pPr>
    </w:p>
    <w:p>
      <w:r>
        <w:t>La estimación ponderada reproduce Perdida_Esperada_COP del archivo. No equivale automáticamente a una provisión contable: la probabilidad de recibir una glosa no identifica necesariamente la probabilidad de pérdida tras su sustentación. No debe sumarse a la pérdida definitiva ni interpretarse como saldo pendiente.</w:t>
      </w:r>
    </w:p>
    <w:p>
      <w:pPr>
        <w:pStyle w:val="Heading1"/>
      </w:pPr>
      <w:r>
        <w:t>Reglas de agrupación de causales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Conceptos incluidos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Total COP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Crítico COP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Pertinencia clínica / UCI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Estancias UCI, escala Glasgow y justificación de ondansetrón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11.175.000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11.080.000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Tarifas e implantes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Stent, UVR, SOAT frente a ISS y tope contractual de prótesis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8.370.000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6.800.000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Soportes documentales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Prescripción Mipres y resultado de laboratorio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7.980.000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7.980.000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Autorizaciones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Autorización previa ausente o volante vencido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7.620.000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7.620.000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Cupo autorizado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Sesión de diálisis que excede el cupo mensual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320.000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320.000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40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35.465.000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33.800.000</w:t>
            </w:r>
          </w:p>
        </w:tc>
      </w:tr>
    </w:tbl>
    <w:p>
      <w:pPr>
        <w:spacing w:after="0"/>
      </w:pPr>
    </w:p>
    <w:p>
      <w:r>
        <w:t>Cada factura se asignó a una sola categoría. La causal predominante se determinó por importe glosado, no por frecuencia. El ranking de EPS considera todas las glosas, sin restringirlo al subconjunto crítico.</w:t>
      </w:r>
    </w:p>
    <w:p>
      <w:r>
        <w:br w:type="page"/>
      </w:r>
    </w:p>
    <w:p>
      <w:pPr>
        <w:pStyle w:val="Heading1"/>
      </w:pPr>
      <w:r>
        <w:t>Calidad de datos y límites de interpretación</w:t>
      </w:r>
    </w:p>
    <w:p>
      <w:r>
        <w:t>Se verificaron identificadores únicos, importes numéricos no negativos, probabilidades entre cero y uno y montos glosados no superiores a la facturación. En las 30 filas coinciden el porcentaje glosado con glosa/facturación, la estimación ponderada con glosa × probabilidad y la glosa con recuperación más pérdida definitiva.</w:t>
      </w:r>
    </w:p>
    <w:p>
      <w:r>
        <w:t>La hoja Dashboard_Analitica contiene cifras fijas que no concilian con el detalle. Para este reporte prevalecen las facturas de Dataset_Cuentas_Medicas.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Resumen del Excel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  <w:shd w:fill="E8EEF0"/>
          </w:tcPr>
          <w:p>
            <w:pPr>
              <w:spacing w:after="40" w:before="40"/>
            </w:pPr>
            <w:r>
              <w:rPr>
                <w:b/>
                <w:sz w:val="20"/>
              </w:rPr>
              <w:t>Detalle recalculado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Glosa de Nueva EPS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26.040.000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26.460.000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Recuperación de Nueva EPS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20.830.000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21.150.000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Facturación de EPS Sanitas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29.800.000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24.000.000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Facturación de Salud Total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3.045.000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3.915.000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Facturación expuesta de Famisanar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1.315.000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1.220.000</w:t>
            </w:r>
          </w:p>
        </w:tc>
      </w:tr>
    </w:tbl>
    <w:p>
      <w:pPr>
        <w:spacing w:after="0"/>
      </w:pPr>
    </w:p>
    <w:p>
      <w:r>
        <w:t>El resumen asigna seis facturas a Sanitas y cuatro a Salud Total; el detalle contiene cinco para cada una. Las facturas 012 y 017 figuran como objeción parcial, aunque el monto objetado equivale al 100% de la factura. Debe revisarse si la etiqueta corresponde a una clasificación operativa distinta o a un error.</w:t>
      </w:r>
    </w:p>
    <w:p>
      <w:pPr>
        <w:pStyle w:val="Heading1"/>
      </w:pPr>
      <w:r>
        <w:t>Prioridades de gestión</w:t>
      </w:r>
    </w:p>
    <w:p>
      <w:r>
        <w:t>1. Revisar primero las pérdidas de Nueva EPS en UCI, COP 2.600.000; prótesis, COP 1.300.000; y stent, COP 1.050.000. Contrastar el sustento clínico de estancia y los anexos contractuales antes de definir medidas correctivas.</w:t>
      </w:r>
    </w:p>
    <w:p>
      <w:r>
        <w:t>2. Mantener controles de autorización y soportes Mipres antes de radicar. Las glosas de Sura y del medicamento biológico de Nueva EPS se recuperaron íntegramente, pero generaron objeciones iniciales relevantes.</w:t>
      </w:r>
    </w:p>
    <w:p>
      <w:r>
        <w:t>3. Incluir cuentas por debajo del umbral en la revisión. Suman COP 1.665.000 glosados y COP 1.210.000 de pérdida definitiva; Compensar aporta COP 850.000 por derechos de sala. El filtro crítico no cubre todas las pérdidas.</w:t>
      </w:r>
    </w:p>
    <w:p>
      <w:r>
        <w:t>4. Conciliar y automatizar el resumen del Excel desde el detalle. Separar exposición, glosa inicial, levantamiento y pérdida definitiva. Validar la definición y calibración de la probabilidad IA antes de emplearla para estimaciones contables.</w:t>
      </w:r>
    </w:p>
    <w:p>
      <w:r>
        <w:t>La recuperación corresponde al campo registrado en el caso y no acredita recaudo en efectivo. La atribución a IA no demuestra un efecto causal, porque no hay grupo de comparación ni evidencia del resultado sin esa herramienta.</w:t>
      </w:r>
    </w:p>
    <w:p>
      <w:r>
        <w:t>Fuente documental: caso-estudio-cuentas-medicas.xlsx actualizado, hojas Dataset_Cuentas_Medicas y Dashboard_Analitica. Ruta aportada por el usuario: OneDrive / Mundo Salud Médica / PROYECTO MSM / Curso IA_MSM / plataforma_ia_academy / descargas. Elaboración basada en la versión compartida en esta conversación.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Reporte de auditoría financiera  •  9 de octubre de 2026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MUNDO SALUD MÉDICA  |  CASO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