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2885"/>
          <w:sz w:val="20"/>
        </w:rPr>
        <w:t>PROGRAMA EJECUTIVO DE INTELIGENCIA ARTIFICIAL EN SALUD · CASO PRÁCTICO APLICADO</w:t>
      </w:r>
    </w:p>
    <w:p>
      <w:r>
        <w:rPr>
          <w:b/>
          <w:color w:val="011C4E"/>
          <w:sz w:val="44"/>
        </w:rPr>
        <w:t>Caso de Estudio: Analítica Predictiva y Automatización Agéntica de Cuentas Médicas</w:t>
      </w:r>
    </w:p>
    <w:p>
      <w:r>
        <w:rPr>
          <w:i/>
          <w:color w:val="646973"/>
          <w:sz w:val="22"/>
        </w:rPr>
        <w:t>Optimización del ciclo de ingresos hospitalarios: De la detección temprana de glosas a la respuesta autónoma con IA en Mundo Salud Médica.</w:t>
      </w:r>
    </w:p>
    <w:p>
      <w:pPr>
        <w:pStyle w:val="Heading1"/>
      </w:pPr>
      <w:r>
        <w:t>1. Ficha del Escenario de Negocio: 'Clínica Metropolitana del Norte'</w:t>
      </w:r>
    </w:p>
    <w:p>
      <w:r>
        <w:t>Mundo Salud Médica (MSM) ha sido contratada para asumir la operación integral de facturación, radicación y auditoría de la Clínica Metropolitana del Norte (III y IV nivel de complejidad en Colombia). La clínica enfrenta una severa asfixia de liquidez provocada por ineficiencias en el ciclo de radicación y alta siniestralidad de glosas.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2885"/>
          </w:tcPr>
          <w:p>
            <w:r>
              <w:rPr>
                <w:b/>
                <w:color w:val="FFFFFF"/>
              </w:rPr>
              <w:t>Indicador Operativo / Financiero</w:t>
            </w:r>
          </w:p>
        </w:tc>
        <w:tc>
          <w:tcPr>
            <w:tcW w:type="dxa" w:w="3120"/>
            <w:shd w:fill="002885"/>
          </w:tcPr>
          <w:p>
            <w:r>
              <w:rPr>
                <w:b/>
                <w:color w:val="FFFFFF"/>
              </w:rPr>
              <w:t>Línea Base Actual (As-Is)</w:t>
            </w:r>
          </w:p>
        </w:tc>
        <w:tc>
          <w:tcPr>
            <w:tcW w:type="dxa" w:w="3120"/>
            <w:shd w:fill="002885"/>
          </w:tcPr>
          <w:p>
            <w:r>
              <w:rPr>
                <w:b/>
                <w:color w:val="FFFFFF"/>
              </w:rPr>
              <w:t>Meta Esperada con IA (To-Be)</w:t>
            </w:r>
          </w:p>
        </w:tc>
      </w:tr>
      <w:tr>
        <w:tc>
          <w:tcPr>
            <w:tcW w:type="dxa" w:w="3120"/>
            <w:shd w:fill="F9FAFC"/>
          </w:tcPr>
          <w:p>
            <w:r>
              <w:rPr>
                <w:sz w:val="19"/>
              </w:rPr>
              <w:t>Volumen Mensual de Facturación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8,500 cuentas médicas / mes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8,500 cuentas médicas / mes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Monto Mensual Facturado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$14,200 millones COP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$14,200 millones COP</w:t>
            </w:r>
          </w:p>
        </w:tc>
      </w:tr>
      <w:tr>
        <w:tc>
          <w:tcPr>
            <w:tcW w:type="dxa" w:w="3120"/>
            <w:shd w:fill="F9FAFC"/>
          </w:tcPr>
          <w:p>
            <w:r>
              <w:rPr>
                <w:sz w:val="19"/>
              </w:rPr>
              <w:t>Tasa de Glosa Inicial (Objeción EPS)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16.8% ($2,385 millones COP)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&lt; 4.5% (&lt; $640 millones COP)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Días de Cartera Promedio (DSO)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78 días de rotación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38 días de rotación</w:t>
            </w:r>
          </w:p>
        </w:tc>
      </w:tr>
      <w:tr>
        <w:tc>
          <w:tcPr>
            <w:tcW w:type="dxa" w:w="3120"/>
            <w:shd w:fill="F9FAFC"/>
          </w:tcPr>
          <w:p>
            <w:r>
              <w:rPr>
                <w:sz w:val="19"/>
              </w:rPr>
              <w:t>Glosas Vencidas sin Respuesta (Extemporáneas)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22% (pérdida irrecuperable)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0% (cumplimiento Resolución 3047)</w:t>
            </w:r>
          </w:p>
        </w:tc>
      </w:tr>
    </w:tbl>
    <w:p>
      <w:pPr>
        <w:pStyle w:val="Heading1"/>
      </w:pPr>
      <w:r>
        <w:t>2. Distinción Financiera Clave: Facturación Expuesta vs. Glosa Efectiva vs. Pérdida Esperada</w:t>
      </w:r>
    </w:p>
    <w:p>
      <w:r>
        <w:t>En auditoría médica y finanzas de salud es fundamental no confundir tres conceptos contables distintos:</w:t>
        <w:br/>
        <w:t>• Facturación Expuesta: Es el total facturado de aquellas cuentas que presentan alguna observación o alerta. Si una cuenta de $18.5M tiene un stent objetado, la facturación expuesta es de $18.5M, pero la glosa NO es de $18.5M.</w:t>
        <w:br/>
        <w:t>• Monto Efectivamente Glosado: Es el importe real que la EPS objeta en su acta de glosas (ej. los $4.2M del stent o los días de cama en discusión).</w:t>
        <w:br/>
        <w:t>• Provisión Contable / Pérdida Esperada (Expected Loss): Es la ponderación actuarial calculada como: Monto Glosado × Probabilidad de Glosa IA. Es el valor que la gerencia financiera debe provisionar para deterioro de cartera.</w:t>
        <w:br/>
        <w:t>• Tasa de Recuperación Efectiva (Recovery Rate): Es el porcentaje de glosas que el equipo de MSM logra levantar y cobrar mediante sustentación técnica debidamente soportada (meta &gt; 70%).</w:t>
      </w:r>
    </w:p>
    <w:p>
      <w:pPr>
        <w:pStyle w:val="Heading1"/>
      </w:pPr>
      <w:r>
        <w:t>3. Anatomía de las Glosas y el Pareto de Causas</w:t>
      </w:r>
    </w:p>
    <w:p>
      <w:pPr>
        <w:pStyle w:val="ListBullet"/>
      </w:pPr>
      <w:r>
        <w:rPr>
          <w:b/>
          <w:color w:val="011C4E"/>
        </w:rPr>
        <w:t xml:space="preserve">42% Pertinencia Médica y Justificación Clínica: </w:t>
      </w:r>
      <w:r>
        <w:t>Días de cama en UCI objetados por no justificar ventilación mecánica en notas de evolución; medicamentos de alto costo sin soporte Mipres o fórmula médica adjunta.</w:t>
      </w:r>
    </w:p>
    <w:p>
      <w:pPr>
        <w:pStyle w:val="ListBullet"/>
      </w:pPr>
      <w:r>
        <w:rPr>
          <w:b/>
          <w:color w:val="011C4E"/>
        </w:rPr>
        <w:t xml:space="preserve">28% Discrepancias Tarifarias y Liquidación: </w:t>
      </w:r>
      <w:r>
        <w:t>Cruce erróneo de manuales (ej. liquidar derechos de sala con manual SOAT en contratos suscritos bajo ISS 2001 + 15%), o liquidación incorrecta de cirugías múltiples bilaterales.</w:t>
      </w:r>
    </w:p>
    <w:p>
      <w:pPr>
        <w:pStyle w:val="ListBullet"/>
      </w:pPr>
      <w:r>
        <w:rPr>
          <w:b/>
          <w:color w:val="011C4E"/>
        </w:rPr>
        <w:t xml:space="preserve">18% Soportes y Autorizaciones Faltantes: </w:t>
      </w:r>
      <w:r>
        <w:t>Cuentas radicadas con volantes de autorización de la EPS vencidos, números de contrato inconsistentes o falta de reporte paraclínico obligatorio en el anexo técnico.</w:t>
      </w:r>
    </w:p>
    <w:p>
      <w:pPr>
        <w:pStyle w:val="ListBullet"/>
      </w:pPr>
      <w:r>
        <w:rPr>
          <w:b/>
          <w:color w:val="011C4E"/>
        </w:rPr>
        <w:t xml:space="preserve">12% Inconsistencia en Códigos CIE-10 vs. CUPS: </w:t>
      </w:r>
      <w:r>
        <w:t>Errores formales de codificación donde el procedimiento quirúrgico no guarda coherencia diagnóstica (ej. colecistectomía con diagnóstico principal de dolor torácico).</w:t>
      </w:r>
    </w:p>
    <w:p>
      <w:pPr>
        <w:pStyle w:val="Heading1"/>
      </w:pPr>
      <w:r>
        <w:t>4. Arquitectura de 3 Capas de Inteligencia Artificial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11C4E"/>
          </w:tcPr>
          <w:p>
            <w:r>
              <w:rPr>
                <w:b/>
                <w:color w:val="FFFFFF"/>
              </w:rPr>
              <w:t>Capa Tecnológica</w:t>
            </w:r>
          </w:p>
        </w:tc>
        <w:tc>
          <w:tcPr>
            <w:tcW w:type="dxa" w:w="3120"/>
            <w:shd w:fill="011C4E"/>
          </w:tcPr>
          <w:p>
            <w:r>
              <w:rPr>
                <w:b/>
                <w:color w:val="FFFFFF"/>
              </w:rPr>
              <w:t>Tecnología / Enfoque</w:t>
            </w:r>
          </w:p>
        </w:tc>
        <w:tc>
          <w:tcPr>
            <w:tcW w:type="dxa" w:w="3120"/>
            <w:shd w:fill="011C4E"/>
          </w:tcPr>
          <w:p>
            <w:r>
              <w:rPr>
                <w:b/>
                <w:color w:val="FFFFFF"/>
              </w:rPr>
              <w:t>Intervención Operativa en MSM</w:t>
            </w:r>
          </w:p>
        </w:tc>
      </w:tr>
      <w:tr>
        <w:tc>
          <w:tcPr>
            <w:tcW w:type="dxa" w:w="3120"/>
            <w:shd w:fill="F9FAFC"/>
          </w:tcPr>
          <w:p>
            <w:r>
              <w:rPr>
                <w:sz w:val="19"/>
              </w:rPr>
              <w:t>Capa 1: Pre-auditoría Predictiva (ML)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Modelos de Clasificación Supervisada (LightGBM)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Asigna un Score de Riesgo de Glosa (0-100) a cada cuenta antes de ser radicada. Si el riesgo &gt; 70%, la cuenta se retiene para corrección inmediata.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Capa 2: Auditoría Documental y RAG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OCR Inteligente + Búsqueda Vectorial Híbrida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Cruza el RIPS JSON, la factura electrónica y la historia clínica en PDF. Verifica que cada código CUPS tenga soporte en las notas médicas.</w:t>
            </w:r>
          </w:p>
        </w:tc>
      </w:tr>
      <w:tr>
        <w:tc>
          <w:tcPr>
            <w:tcW w:type="dxa" w:w="3120"/>
            <w:shd w:fill="F9FAFC"/>
          </w:tcPr>
          <w:p>
            <w:r>
              <w:rPr>
                <w:sz w:val="19"/>
              </w:rPr>
              <w:t>Capa 3: Agente de Levantamiento de Glosas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Agente LLM Autónomo con Guardrails (HITL)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Cuando llega una glosa inevitable de la EPS, el agente redacta el oficio formal de respuesta citando los artículos de la Resolución 3047 y los folios de historia clínica.</w:t>
            </w:r>
          </w:p>
        </w:tc>
      </w:tr>
    </w:tbl>
    <w:p>
      <w:pPr>
        <w:pStyle w:val="Heading1"/>
      </w:pPr>
      <w:r>
        <w:t>5. Guía de Trabajo Práctico con ChatGPT / Claude</w:t>
      </w:r>
    </w:p>
    <w:p>
      <w:pPr>
        <w:pStyle w:val="ListNumber"/>
      </w:pPr>
      <w:r>
        <w:t>Actividad 1 (Análisis Financiero): Cargue el archivo 'caso-estudio-cuentas-medicas.xlsx' y compare el ranking de las EPS por 'Facturación Expuesta' vs. 'Monto Efectivamente Glosado'. Note cómo Nueva EPS lidera en glosa efectiva ($26.04M) seguida por Sura ($7.2M), mientras Sanitas tiene $0 de glosa efectiva a pesar de tener $29.8M facturados.</w:t>
      </w:r>
    </w:p>
    <w:p>
      <w:pPr>
        <w:pStyle w:val="ListNumber"/>
      </w:pPr>
      <w:r>
        <w:t>Actividad 2 (Cálculo de Provisión Contable): Multiplique la Probabilidad_Glosa_IA por el Valor_Glosado_COP para estimar la provisión actuarial recomendada para la Junta Directiva.</w:t>
      </w:r>
    </w:p>
    <w:p>
      <w:pPr>
        <w:pStyle w:val="ListNumber"/>
      </w:pPr>
      <w:r>
        <w:t>Actividad 3 (Respuesta Agéntica en Prompt Studio): Utilice el caso FAC-2026-012 en el Prompt Studio de la plataforma para generar la respuesta técnica formal.</w:t>
      </w:r>
    </w:p>
    <w:p>
      <w:pPr>
        <w:pStyle w:val="ListNumber"/>
      </w:pPr>
      <w:r>
        <w:t>Actividad 4 (Evaluación de Impacto): Proyecte cómo la tasa de recuperación del 75% transforma el EBITDA hospitalario y reduce los días cartera de 78 a 38 días.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