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885"/>
          <w:sz w:val="20"/>
        </w:rPr>
        <w:t>PROGRAMA AVANZADO DE INTELIGENCIA ARTIFICIAL · MÓDULO 7</w:t>
      </w:r>
    </w:p>
    <w:p>
      <w:r>
        <w:rPr>
          <w:b/>
          <w:color w:val="011C4E"/>
          <w:sz w:val="44"/>
        </w:rPr>
        <w:t>Manual Técnico-Ejecutivo de RAG Empresarial con Cero Alucinación</w:t>
      </w:r>
    </w:p>
    <w:p>
      <w:r>
        <w:rPr>
          <w:i/>
          <w:color w:val="646973"/>
          <w:sz w:val="22"/>
        </w:rPr>
        <w:t>Guía de mejores prácticas para conectar modelos de lenguaje con la base de conocimiento privado corporativo sin fugas de datos ni desinformación.</w:t>
      </w:r>
    </w:p>
    <w:p>
      <w:pPr>
        <w:pStyle w:val="Heading1"/>
      </w:pPr>
      <w:r>
        <w:t>1. Principios del RAG de Alta Precisión</w:t>
      </w:r>
    </w:p>
    <w:p>
      <w:r>
        <w:t>El mayor temor en la adopción corporativa de LLMs es la alucinación (respuestas inventadas con apariencia de certeza). Retrieval-Augmented Generation (RAG) resuelve este problema separando la memoria del razonamiento: el LLM no responde desde su memoria general de internet, sino estrictamente a partir de los fragmentos recuperados en tiempo real desde la documentación corporativa.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2885"/>
          </w:tcPr>
          <w:p>
            <w:r>
              <w:rPr>
                <w:b/>
                <w:color w:val="FFFFFF"/>
              </w:rPr>
              <w:t>Componente RAG</w:t>
            </w:r>
          </w:p>
        </w:tc>
        <w:tc>
          <w:tcPr>
            <w:tcW w:type="dxa" w:w="3120"/>
            <w:shd w:fill="002885"/>
          </w:tcPr>
          <w:p>
            <w:r>
              <w:rPr>
                <w:b/>
                <w:color w:val="FFFFFF"/>
              </w:rPr>
              <w:t>Práctica Tradicional (Débil)</w:t>
            </w:r>
          </w:p>
        </w:tc>
        <w:tc>
          <w:tcPr>
            <w:tcW w:type="dxa" w:w="3120"/>
            <w:shd w:fill="002885"/>
          </w:tcPr>
          <w:p>
            <w:r>
              <w:rPr>
                <w:b/>
                <w:color w:val="FFFFFF"/>
              </w:rPr>
              <w:t>Práctica Avanzada Empresarial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Segmentación (Chunking)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Trocear por número fijo de caracteres (ej. 500 palabras). Rompe ideas.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Chunking semántico o jerárquico por secciones y tablas lógicas completas.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Búsqueda y Recuperación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Búsqueda vectorial simple (Cosine Similarity). Falla en códigos exactos.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Búsqueda híbrida (Dense Vectors + BM25 léxico) con Re-ranking contextual.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Control de Alucinación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Prompt genérico ('sé preciso').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Prompt con restricción estricta (Grounding) y obligación de citación con enlace al párrafo fuente.</w:t>
            </w:r>
          </w:p>
        </w:tc>
      </w:tr>
      <w:tr>
        <w:tc>
          <w:tcPr>
            <w:tcW w:type="dxa" w:w="3120"/>
            <w:shd w:fill="F9FAFC"/>
          </w:tcPr>
          <w:p>
            <w:r>
              <w:rPr>
                <w:sz w:val="19"/>
              </w:rPr>
              <w:t>Evaluación de Calidad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Revisión humana manual esporádica.</w:t>
            </w:r>
          </w:p>
        </w:tc>
        <w:tc>
          <w:tcPr>
            <w:tcW w:type="dxa" w:w="3120"/>
            <w:shd w:fill="F9FAFC"/>
          </w:tcPr>
          <w:p>
            <w:r>
              <w:rPr>
                <w:sz w:val="19"/>
              </w:rPr>
              <w:t>Evaluación sintética continua con el framework RAGAS (Fidelidad, Relevancia, Exhaustividad).</w:t>
            </w:r>
          </w:p>
        </w:tc>
      </w:tr>
    </w:tbl>
    <w:p>
      <w:pPr>
        <w:pStyle w:val="Heading1"/>
      </w:pPr>
      <w:r>
        <w:t>2. Plantilla de System Prompt Anti-Alucinación (Grounding Estricto)</w:t>
      </w:r>
    </w:p>
    <w:p>
      <w:pPr/>
      <w:r>
        <w:rPr>
          <w:rFonts w:ascii="Courier New" w:hAnsi="Courier New"/>
          <w:color w:val="011C4E"/>
          <w:sz w:val="19"/>
        </w:rPr>
        <w:t>"""</w:t>
        <w:br/>
        <w:t>ROL: Actúas como el Asistente Oficial de Consulta Corporativa de [NOMBRE DE LA ORGANIZACIÓN].</w:t>
        <w:br/>
        <w:t>REGLA 1 (FONDO): Responde ÚNICAMENTE utilizando la información provista en los fragmentos del contexto etiquetados como &lt;FUENTES&gt;.</w:t>
        <w:br/>
        <w:t>REGLA 2 (CERO ALUCINACIÓN): Si la respuesta no se encuentra explícitamente en &lt;FUENTES&gt;, di textualmente: "Esta información no se encuentra en los manuales ni políticas registradas de la institución." Queda estrictamente prohibido suponer, inferir o recurrir a conocimientos externos.</w:t>
        <w:br/>
        <w:t>REGLA 3 (CITAS OBLIGATORIAS): Por cada afirmación o dato técnico, debes incluir la referencia exacta entre corchetes, por ejemplo: [Manual de Contratación, Sección 3.2, Pág. 14].</w:t>
        <w:br/>
        <w:t>"""</w:t>
      </w:r>
    </w:p>
    <w:p>
      <w:pPr>
        <w:pStyle w:val="Heading1"/>
      </w:pPr>
      <w:r>
        <w:t>3. Checklist de Seguridad y Soberanía de Datos</w:t>
      </w:r>
    </w:p>
    <w:p>
      <w:pPr>
        <w:pStyle w:val="ListBullet"/>
      </w:pPr>
      <w:r>
        <w:t>Anonimización Previa: Eliminar datos sensibles personales (nombres, documentos de identidad, teléfonos) antes de vectorizar.</w:t>
      </w:r>
    </w:p>
    <w:p>
      <w:pPr>
        <w:pStyle w:val="ListBullet"/>
      </w:pPr>
      <w:r>
        <w:t>Segregación de Permisos: El motor de búsqueda solo recupera documentos a los que el rol del usuario tiene acceso formal (Role-Based Access Control - RBAC).</w:t>
      </w:r>
    </w:p>
    <w:p>
      <w:pPr>
        <w:pStyle w:val="ListBullet"/>
      </w:pPr>
      <w:r>
        <w:t>Retención Cero en Proveedores de IA: Asegurarse de que los acuerdos de servicio (BAA / DPA) garanticen que ningún dato enviado sea utilizado para entrenar modelos públicos.</w:t>
      </w:r>
    </w:p>
    <w:p>
      <w:pPr>
        <w:pStyle w:val="ListBullet"/>
      </w:pPr>
      <w:r>
        <w:t>Cifrado de Base Vectorial: Cifrado en reposo (AES-256) y en tránsito (TLS 1.3) para todos los embeddings y metadatos almacenados.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