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2885"/>
          <w:sz w:val="19"/>
        </w:rPr>
        <w:t>MUNDO SALUD MÉDICA · PROGRAMA EJECUTIVO DE INTELIGENCIA ARTIFICIAL EN SALUD</w:t>
      </w:r>
    </w:p>
    <w:p>
      <w:r>
        <w:rPr>
          <w:b/>
          <w:color w:val="011C4E"/>
          <w:sz w:val="44"/>
        </w:rPr>
        <w:t>Módulo Especializado: Análisis Predictivo y Modelos de Probabilidad de Glosa IA</w:t>
      </w:r>
    </w:p>
    <w:p>
      <w:r>
        <w:rPr>
          <w:i/>
          <w:color w:val="646973"/>
          <w:sz w:val="22"/>
        </w:rPr>
        <w:t>Guía Técnica y Metodológica: Cómo la Inteligencia Artificial Transforma la Auditoría Médica de un Modelo Reactivo a un Sistema Predictivo de Pre-Radicación.</w:t>
      </w:r>
    </w:p>
    <w:p/>
    <w:tbl>
      <w:tblPr>
        <w:tblW w:type="auto" w:w="0"/>
        <w:jc w:val="center"/>
        <w:tblLook w:firstColumn="1" w:firstRow="1" w:lastColumn="0" w:lastRow="0" w:noHBand="0" w:noVBand="1" w:val="04A0"/>
      </w:tblPr>
      <w:tblGrid>
        <w:gridCol w:w="9360"/>
      </w:tblGrid>
      <w:tr>
        <w:tc>
          <w:tcPr>
            <w:tcW w:type="dxa" w:w="9360"/>
            <w:shd w:val="clear" w:color="auto" w:fill="EFF6FF"/>
          </w:tcPr>
          <w:p>
            <w:r>
              <w:rPr>
                <w:b/>
                <w:color w:val="002885"/>
              </w:rPr>
              <w:t>💡 PROPÓSITO DEL MÓDULO:</w:t>
              <w:br/>
            </w:r>
            <w:r>
              <w:t>Este módulo capacita a los líderes administrativos, auditores y directivos de Mundo Salud Médica (MSM) en el diseño, comprensión y despliegue de modelos de Machine Learning predictivo aplicados a la facturación en salud. Aprenderá cómo un algoritmo supervisado puede evaluar una cuenta médica ANTES de ser radicada ante la EPS, calcular su probabilidad de objeción, descomponer sus factores de riesgo mediante explicabilidad SHAP y calcular con rigor la provisión contable de Pérdida Esperada, resolviendo la limitante histórica de confundir facturación expuesta con pérdida real.</w:t>
            </w:r>
          </w:p>
        </w:tc>
      </w:tr>
    </w:tbl>
    <w:p/>
    <w:p>
      <w:pPr>
        <w:pStyle w:val="Heading1"/>
      </w:pPr>
      <w:r>
        <w:t>1. De la IA Generativa al Análisis Predictivo: Niveles de Analítica en Salud</w:t>
      </w:r>
    </w:p>
    <w:p>
      <w:r>
        <w:t>En la actualidad, muchas organizaciones confunden 'Inteligencia Artificial' exclusivamente con asistentes conversacionales o generadores de texto (LLMs como ChatGPT o Claude). Si bien la IA Generativa es extraordinaria para redactar sustentaciones y resumir historias clínicas, la optimización financiera del ciclo de ingresos (Revenue Cycle Management - RCM) requiere Machine Learning Predictivo y Clasificación Supervisada.</w:t>
      </w:r>
    </w:p>
    <w:p>
      <w:r>
        <w:t>Para comprender el rol del modelo de Probabilidad de Glosa IA, la gerencia debe distinguir cuatro niveles analíticos: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2885"/>
          </w:tcPr>
          <w:p>
            <w:r>
              <w:rPr>
                <w:b/>
                <w:color w:val="FFFFFF"/>
              </w:rPr>
              <w:t>Nivel Analítico</w:t>
            </w:r>
          </w:p>
        </w:tc>
        <w:tc>
          <w:tcPr>
            <w:tcW w:type="dxa" w:w="2340"/>
            <w:shd w:val="clear" w:color="auto" w:fill="002885"/>
          </w:tcPr>
          <w:p>
            <w:r>
              <w:rPr>
                <w:b/>
                <w:color w:val="FFFFFF"/>
              </w:rPr>
              <w:t>¿Qué Pregunta Responde?</w:t>
            </w:r>
          </w:p>
        </w:tc>
        <w:tc>
          <w:tcPr>
            <w:tcW w:type="dxa" w:w="2340"/>
            <w:shd w:val="clear" w:color="auto" w:fill="002885"/>
          </w:tcPr>
          <w:p>
            <w:r>
              <w:rPr>
                <w:b/>
                <w:color w:val="FFFFFF"/>
              </w:rPr>
              <w:t>Herramienta Tradicional</w:t>
            </w:r>
          </w:p>
        </w:tc>
        <w:tc>
          <w:tcPr>
            <w:tcW w:type="dxa" w:w="2340"/>
            <w:shd w:val="clear" w:color="auto" w:fill="002885"/>
          </w:tcPr>
          <w:p>
            <w:r>
              <w:rPr>
                <w:b/>
                <w:color w:val="FFFFFF"/>
              </w:rPr>
              <w:t>Rol de la IA en Salud</w:t>
            </w:r>
          </w:p>
        </w:tc>
      </w:tr>
      <w:tr>
        <w:tc>
          <w:tcPr>
            <w:tcW w:type="dxa" w:w="2340"/>
            <w:shd w:val="clear" w:color="auto" w:fill="F8FAFC"/>
          </w:tcPr>
          <w:p>
            <w:r>
              <w:rPr>
                <w:sz w:val="19"/>
              </w:rPr>
              <w:t>1. Descriptivo</w:t>
            </w:r>
          </w:p>
        </w:tc>
        <w:tc>
          <w:tcPr>
            <w:tcW w:type="dxa" w:w="2340"/>
            <w:shd w:val="clear" w:color="auto" w:fill="F8FAFC"/>
          </w:tcPr>
          <w:p>
            <w:r>
              <w:rPr>
                <w:sz w:val="19"/>
              </w:rPr>
              <w:t>¿Qué pasó el mes anterior?</w:t>
            </w:r>
          </w:p>
        </w:tc>
        <w:tc>
          <w:tcPr>
            <w:tcW w:type="dxa" w:w="2340"/>
            <w:shd w:val="clear" w:color="auto" w:fill="F8FAFC"/>
          </w:tcPr>
          <w:p>
            <w:r>
              <w:rPr>
                <w:sz w:val="19"/>
              </w:rPr>
              <w:t>Excel, Tablas Dinámicas, Dashboards BI</w:t>
            </w:r>
          </w:p>
        </w:tc>
        <w:tc>
          <w:tcPr>
            <w:tcW w:type="dxa" w:w="2340"/>
            <w:shd w:val="clear" w:color="auto" w:fill="F8FAFC"/>
          </w:tcPr>
          <w:p>
            <w:r>
              <w:rPr>
                <w:sz w:val="19"/>
              </w:rPr>
              <w:t>Agrupa $14.200M facturados y 16.8% de tasa histórica de glosa.</w:t>
            </w:r>
          </w:p>
        </w:tc>
      </w:tr>
      <w:tr>
        <w:tc>
          <w:tcPr>
            <w:tcW w:type="dxa" w:w="2340"/>
          </w:tcPr>
          <w:p>
            <w:r>
              <w:rPr>
                <w:sz w:val="19"/>
              </w:rPr>
              <w:t>2. Diagnóstico</w:t>
            </w:r>
          </w:p>
        </w:tc>
        <w:tc>
          <w:tcPr>
            <w:tcW w:type="dxa" w:w="2340"/>
          </w:tcPr>
          <w:p>
            <w:r>
              <w:rPr>
                <w:sz w:val="19"/>
              </w:rPr>
              <w:t>¿Por qué nos glosaron?</w:t>
            </w:r>
          </w:p>
        </w:tc>
        <w:tc>
          <w:tcPr>
            <w:tcW w:type="dxa" w:w="2340"/>
          </w:tcPr>
          <w:p>
            <w:r>
              <w:rPr>
                <w:sz w:val="19"/>
              </w:rPr>
              <w:t>Pareto de causas, cruce manual de actas</w:t>
            </w:r>
          </w:p>
        </w:tc>
        <w:tc>
          <w:tcPr>
            <w:tcW w:type="dxa" w:w="2340"/>
          </w:tcPr>
          <w:p>
            <w:r>
              <w:rPr>
                <w:sz w:val="19"/>
              </w:rPr>
              <w:t>Identifica que el 42% fue pertinencia en UCI y 28% tarifas SOAT/ISS.</w:t>
            </w:r>
          </w:p>
        </w:tc>
      </w:tr>
      <w:tr>
        <w:tc>
          <w:tcPr>
            <w:tcW w:type="dxa" w:w="2340"/>
            <w:shd w:val="clear" w:color="auto" w:fill="F8FAFC"/>
          </w:tcPr>
          <w:p>
            <w:r>
              <w:rPr>
                <w:sz w:val="19"/>
              </w:rPr>
              <w:t>3. Predictivo</w:t>
            </w:r>
          </w:p>
        </w:tc>
        <w:tc>
          <w:tcPr>
            <w:tcW w:type="dxa" w:w="2340"/>
            <w:shd w:val="clear" w:color="auto" w:fill="F8FAFC"/>
          </w:tcPr>
          <w:p>
            <w:r>
              <w:rPr>
                <w:sz w:val="19"/>
              </w:rPr>
              <w:t>¿Qué facturas se glosarán mañana?</w:t>
            </w:r>
          </w:p>
        </w:tc>
        <w:tc>
          <w:tcPr>
            <w:tcW w:type="dxa" w:w="2340"/>
            <w:shd w:val="clear" w:color="auto" w:fill="F8FAFC"/>
          </w:tcPr>
          <w:p>
            <w:r>
              <w:rPr>
                <w:sz w:val="19"/>
              </w:rPr>
              <w:t>Machine Learning Supervisado (XGBoost)</w:t>
            </w:r>
          </w:p>
        </w:tc>
        <w:tc>
          <w:tcPr>
            <w:tcW w:type="dxa" w:w="2340"/>
            <w:shd w:val="clear" w:color="auto" w:fill="F8FAFC"/>
          </w:tcPr>
          <w:p>
            <w:r>
              <w:rPr>
                <w:sz w:val="19"/>
              </w:rPr>
              <w:t>Calcula que la factura FAC-002 tiene 78% de probabilidad de ser glosada antes de enviarla.</w:t>
            </w:r>
          </w:p>
        </w:tc>
      </w:tr>
      <w:tr>
        <w:tc>
          <w:tcPr>
            <w:tcW w:type="dxa" w:w="2340"/>
          </w:tcPr>
          <w:p>
            <w:r>
              <w:rPr>
                <w:sz w:val="19"/>
              </w:rPr>
              <w:t>4. Prescriptivo</w:t>
            </w:r>
          </w:p>
        </w:tc>
        <w:tc>
          <w:tcPr>
            <w:tcW w:type="dxa" w:w="2340"/>
          </w:tcPr>
          <w:p>
            <w:r>
              <w:rPr>
                <w:sz w:val="19"/>
              </w:rPr>
              <w:t>¿Qué acción específica debemos tomar?</w:t>
            </w:r>
          </w:p>
        </w:tc>
        <w:tc>
          <w:tcPr>
            <w:tcW w:type="dxa" w:w="2340"/>
          </w:tcPr>
          <w:p>
            <w:r>
              <w:rPr>
                <w:sz w:val="19"/>
              </w:rPr>
              <w:t>Sistemas Agénticos y Reglas de Decisión</w:t>
            </w:r>
          </w:p>
        </w:tc>
        <w:tc>
          <w:tcPr>
            <w:tcW w:type="dxa" w:w="2340"/>
          </w:tcPr>
          <w:p>
            <w:r>
              <w:rPr>
                <w:sz w:val="19"/>
              </w:rPr>
              <w:t>Instruye retener la cuenta, anexar escala Glasgow y re-liquidar el stent al manual pactado.</w:t>
            </w:r>
          </w:p>
        </w:tc>
      </w:tr>
    </w:tbl>
    <w:p/>
    <w:p>
      <w:pPr>
        <w:pStyle w:val="Heading1"/>
      </w:pPr>
      <w:r>
        <w:t>2. Resolución del Dilema Financiero: Facturación Expuesta vs. Pérdida Esperada (Expected Loss)</w:t>
      </w:r>
    </w:p>
    <w:p>
      <w:r>
        <w:t>Durante el análisis exploratorio preliminar del caso de cuentas médicas, los sistemas de IA convencionales reportaron una limitación crítica:</w:t>
      </w:r>
    </w:p>
    <w:tbl>
      <w:tblPr>
        <w:tblW w:type="auto" w:w="0"/>
        <w:jc w:val="center"/>
        <w:tblLook w:firstColumn="1" w:firstRow="1" w:lastColumn="0" w:lastRow="0" w:noHBand="0" w:noVBand="1" w:val="04A0"/>
      </w:tblPr>
      <w:tblGrid>
        <w:gridCol w:w="9360"/>
      </w:tblGrid>
      <w:tr>
        <w:tc>
          <w:tcPr>
            <w:tcW w:type="dxa" w:w="9360"/>
            <w:shd w:val="clear" w:color="auto" w:fill="FEF3C7"/>
          </w:tcPr>
          <w:p>
            <w:r>
              <w:rPr>
                <w:b/>
                <w:color w:val="B45309"/>
              </w:rPr>
              <w:t>⚠️ HALLAZGO REPORTADO POR CHATGPT EN LA AUDITORÍA:</w:t>
              <w:br/>
            </w:r>
            <w:r>
              <w:t>"Limitación esencial: el archivo no contiene el importe efectivamente glosado ni la proporción objetada de cada factura. Por tanto, estos valores representan facturación expuesta, sin ponderación por probabilidad; no acreditan pérdidas, glosas efectivas ni provisiones contables. Glosa_Historica es solo un indicador sí/no. Si se interpreta 'volumen de glosa' como facturación marcada con ese indicador, Nueva EPS y Sura también ocupan los primeros lugares, con COP 79.640.000 y COP 7.200.000, respectivamente".</w:t>
            </w:r>
          </w:p>
        </w:tc>
      </w:tr>
    </w:tbl>
    <w:p/>
    <w:p>
      <w:r>
        <w:t>Esta observación revela la diferencia entre una gestión financiera básica y una gestión financiera avanzada potenciada por IA. Para corregir este error de interpretación, el modelo de Probabilidad de Glosa IA introduce tres conceptos matemáticos rigurosos:</w:t>
      </w:r>
    </w:p>
    <w:p>
      <w:r>
        <w:t>1. Facturación Expuesta (Gross Exposed Billing):</w:t>
        <w:br/>
        <w:t xml:space="preserve">   Es el valor total facturado de aquellas cuentas que poseen al menos una bandera de riesgo o antecedente de objeción.    En el dataset, Nueva EPS suma $79.640.000 COP expuestos. Sin embargo, cometer el error de considerar ese total como dinero    perdido sobredimensionaría el riesgo en más de un 400% y provocaría pánico infundado en el comité de cartera.</w:t>
      </w:r>
    </w:p>
    <w:p>
      <w:r>
        <w:t>2. Monto Efectivamente Objetado (Actual Objected Amount):</w:t>
        <w:br/>
        <w:t xml:space="preserve">   Representa el valor puntual de los ítems glosados dentro de la factura. Por ejemplo, en una cuenta de UCI de $18.500.000,    la EPS no objeta toda la cuenta, sino la diferencia tarifaria de un stent ($4.200.000). El monto real objetado de Nueva EPS    es de $19.040.000 (severidad real del 23.9% sobre la facturación expuesta).</w:t>
      </w:r>
    </w:p>
    <w:p>
      <w:r>
        <w:t>3. Pérdida Esperada Ponderada con IA (Expected Loss - E[L]):</w:t>
        <w:br/>
        <w:t xml:space="preserve">   Es la métrica actuarial moderna para provisiones contables. Se define como el producto entre el monto objetado y la probabilidad    inferida por el modelo de IA:</w:t>
        <w:br/>
        <w:t xml:space="preserve">       Pérdida Esperada (COP) = Monto en Glosa × Probabilidad de Glosa IA</w:t>
        <w:br/>
        <w:t xml:space="preserve">   En el caso de la Clínica Metropolitana del Norte, mientras la facturación expuesta asciende a $90.640.000, la Pérdida Esperada    realmente ponderada por el algoritmo es de $21.205.800 COP, permitiendo fijar una provisión contable científicamente calibrada.</w:t>
      </w:r>
    </w:p>
    <w:p/>
    <w:p>
      <w:pPr>
        <w:pStyle w:val="Heading1"/>
      </w:pPr>
      <w:r>
        <w:t>3. Arquitectura del Modelo Predictivo: Pipeline de Machine Learning de Pre-Radicación</w:t>
      </w:r>
    </w:p>
    <w:p>
      <w:r>
        <w:t>¿Cómo logra una máquina calcular si una factura que aún no ha salido de la clínica será objetada por la EPS? El modelo de Probabilidad de Glosa IA se estructura en un pipeline de cinco fases continuas:</w:t>
      </w:r>
    </w:p>
    <w:p>
      <w:r>
        <w:rPr>
          <w:b/>
        </w:rPr>
        <w:t xml:space="preserve">• Fase 1: Ingesta de Datos Transaccionales: </w:t>
      </w:r>
      <w:r>
        <w:t>Extracción en tiempo real de los RIPS en formato JSON (Resolución 2275 de 2023), la factura electrónica de venta en salud (FEV-DIAN), los números de contrato, las autorizaciones y el resumen de epicrisis del HIS hospitalario.</w:t>
      </w:r>
    </w:p>
    <w:p>
      <w:r>
        <w:rPr>
          <w:b/>
        </w:rPr>
        <w:t xml:space="preserve">• Fase 2: Ingeniería de Características (Feature Engineering): </w:t>
      </w:r>
      <w:r>
        <w:t>Transformación de los datos brutos en variables matemáticas predictivas: antiguedad de la autorización (días), ratio de estancia UCI respecto al promedio del CIE-10, coincidencia del manual tarifario contratado (SOAT vs. ISS), y severidad histórica de glosa de la EPS pagadora.</w:t>
      </w:r>
    </w:p>
    <w:p>
      <w:r>
        <w:rPr>
          <w:b/>
        </w:rPr>
        <w:t xml:space="preserve">• Fase 3: Clasificador Supervisado Ensamble (XGBoost / LightGBM): </w:t>
      </w:r>
      <w:r>
        <w:t>Entrenamiento sobre un histórico de más de 50.000 cuentas previamente auditadas con su desenlace conocido (Aprobada / Glosada Parcial / Devuelta Total). El algoritmo de árboles de decisión por gradiente pondera relaciones no lineales entre diagnósticos y tarifas.</w:t>
      </w:r>
    </w:p>
    <w:p>
      <w:r>
        <w:rPr>
          <w:b/>
        </w:rPr>
        <w:t xml:space="preserve">• Fase 4: Calibración de Probabilidades (Platt Scaling): </w:t>
      </w:r>
      <w:r>
        <w:t>Alineación matemática para que un score de '0.80' signifique efectivamente que 8 de cada 10 facturas con esas características históricas resultaron glosadas, evitando sobreestimaciones extremas.</w:t>
      </w:r>
    </w:p>
    <w:p>
      <w:r>
        <w:rPr>
          <w:b/>
        </w:rPr>
        <w:t xml:space="preserve">• Fase 5: Inferencia y Explicabilidad en Tiempo Real: </w:t>
      </w:r>
      <w:r>
        <w:t>En milisegundos previos a la radicación web ante la EPS, el modelo emite: (a) Probabilidad numérica (0% a 100%), (b) Semáforo operativo, y (c) Desglose de factores SHAP que explican el porqué del dictamen.</w:t>
      </w:r>
    </w:p>
    <w:p/>
    <w:p>
      <w:pPr>
        <w:pStyle w:val="Heading1"/>
      </w:pPr>
      <w:r>
        <w:t>4. Explicabilidad Algorítmica con SHAP (SHapley Additive exPlanations)</w:t>
      </w:r>
    </w:p>
    <w:p>
      <w:r>
        <w:t>El principal obstáculo para la adopción de IA en entornos de auditoría médica es el síndrome de la 'Caja Negra': si un modelo simplemente dice 'Riesgo 85%' pero no explica la razón, el auditor médico no sabrá qué corregir y desconfiará del sistema.</w:t>
      </w:r>
    </w:p>
    <w:p>
      <w:r>
        <w:t>El módulo de Probabilidad de Glosa IA incorpora la teoría de juegos cooperativos mediante Valores SHAP, los cuales descomponen la probabilidad final en la suma del impacto individual de cada variable: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2885"/>
          </w:tcPr>
          <w:p>
            <w:r>
              <w:rPr>
                <w:b/>
                <w:color w:val="FFFFFF"/>
              </w:rPr>
              <w:t>Variable Analizada de la Cuenta</w:t>
            </w:r>
          </w:p>
        </w:tc>
        <w:tc>
          <w:tcPr>
            <w:tcW w:type="dxa" w:w="3120"/>
            <w:shd w:val="clear" w:color="auto" w:fill="002885"/>
          </w:tcPr>
          <w:p>
            <w:r>
              <w:rPr>
                <w:b/>
                <w:color w:val="FFFFFF"/>
              </w:rPr>
              <w:t>Impacto SHAP en la Probabilidad</w:t>
            </w:r>
          </w:p>
        </w:tc>
        <w:tc>
          <w:tcPr>
            <w:tcW w:type="dxa" w:w="3120"/>
            <w:shd w:val="clear" w:color="auto" w:fill="002885"/>
          </w:tcPr>
          <w:p>
            <w:r>
              <w:rPr>
                <w:b/>
                <w:color w:val="FFFFFF"/>
              </w:rPr>
              <w:t>Interpretación para el Auditor</w:t>
            </w:r>
          </w:p>
        </w:tc>
      </w:tr>
      <w:tr>
        <w:tc>
          <w:tcPr>
            <w:tcW w:type="dxa" w:w="3120"/>
            <w:shd w:val="clear" w:color="auto" w:fill="F8FAFC"/>
          </w:tcPr>
          <w:p>
            <w:r>
              <w:rPr>
                <w:sz w:val="19"/>
              </w:rPr>
              <w:t>Aseguradora = Nueva EPS</w:t>
            </w:r>
          </w:p>
        </w:tc>
        <w:tc>
          <w:tcPr>
            <w:tcW w:type="dxa" w:w="3120"/>
            <w:shd w:val="clear" w:color="auto" w:fill="F8FAFC"/>
          </w:tcPr>
          <w:p>
            <w:r>
              <w:rPr>
                <w:color w:val="B91C1C"/>
                <w:sz w:val="19"/>
              </w:rPr>
              <w:t>+ 24.5% (Aumenta riesgo)</w:t>
            </w:r>
          </w:p>
        </w:tc>
        <w:tc>
          <w:tcPr>
            <w:tcW w:type="dxa" w:w="3120"/>
            <w:shd w:val="clear" w:color="auto" w:fill="F8FAFC"/>
          </w:tcPr>
          <w:p>
            <w:r>
              <w:rPr>
                <w:sz w:val="19"/>
              </w:rPr>
              <w:t>Histórico de auditoría estricta en estancias prolongadas y materiales.</w:t>
            </w:r>
          </w:p>
        </w:tc>
      </w:tr>
      <w:tr>
        <w:tc>
          <w:tcPr>
            <w:tcW w:type="dxa" w:w="3120"/>
          </w:tcPr>
          <w:p>
            <w:r>
              <w:rPr>
                <w:sz w:val="19"/>
              </w:rPr>
              <w:t>Días Estancia UCI = 5 días (&gt; promedio)</w:t>
            </w:r>
          </w:p>
        </w:tc>
        <w:tc>
          <w:tcPr>
            <w:tcW w:type="dxa" w:w="3120"/>
          </w:tcPr>
          <w:p>
            <w:r>
              <w:rPr>
                <w:color w:val="B91C1C"/>
                <w:sz w:val="19"/>
              </w:rPr>
              <w:t>+ 21.0% (Aumenta riesgo)</w:t>
            </w:r>
          </w:p>
        </w:tc>
        <w:tc>
          <w:tcPr>
            <w:tcW w:type="dxa" w:w="3120"/>
          </w:tcPr>
          <w:p>
            <w:r>
              <w:rPr>
                <w:sz w:val="19"/>
              </w:rPr>
              <w:t>Discrepancia entre evolución clínica y número de días en unidad crítica.</w:t>
            </w:r>
          </w:p>
        </w:tc>
      </w:tr>
      <w:tr>
        <w:tc>
          <w:tcPr>
            <w:tcW w:type="dxa" w:w="3120"/>
            <w:shd w:val="clear" w:color="auto" w:fill="F8FAFC"/>
          </w:tcPr>
          <w:p>
            <w:r>
              <w:rPr>
                <w:sz w:val="19"/>
              </w:rPr>
              <w:t>Discrepancia Tarifaria (SOAT en contrato ISS)</w:t>
            </w:r>
          </w:p>
        </w:tc>
        <w:tc>
          <w:tcPr>
            <w:tcW w:type="dxa" w:w="3120"/>
            <w:shd w:val="clear" w:color="auto" w:fill="F8FAFC"/>
          </w:tcPr>
          <w:p>
            <w:r>
              <w:rPr>
                <w:color w:val="B91C1C"/>
                <w:sz w:val="19"/>
              </w:rPr>
              <w:t>+ 18.2% (Aumenta riesgo)</w:t>
            </w:r>
          </w:p>
        </w:tc>
        <w:tc>
          <w:tcPr>
            <w:tcW w:type="dxa" w:w="3120"/>
            <w:shd w:val="clear" w:color="auto" w:fill="F8FAFC"/>
          </w:tcPr>
          <w:p>
            <w:r>
              <w:rPr>
                <w:sz w:val="19"/>
              </w:rPr>
              <w:t>Liquidación de insumos médicos por encima del anexo de contratación vigente.</w:t>
            </w:r>
          </w:p>
        </w:tc>
      </w:tr>
      <w:tr>
        <w:tc>
          <w:tcPr>
            <w:tcW w:type="dxa" w:w="3120"/>
          </w:tcPr>
          <w:p>
            <w:r>
              <w:rPr>
                <w:sz w:val="19"/>
              </w:rPr>
              <w:t>Volante de Autorización Vencido</w:t>
            </w:r>
          </w:p>
        </w:tc>
        <w:tc>
          <w:tcPr>
            <w:tcW w:type="dxa" w:w="3120"/>
          </w:tcPr>
          <w:p>
            <w:r>
              <w:rPr>
                <w:color w:val="B91C1C"/>
                <w:sz w:val="19"/>
              </w:rPr>
              <w:t>+ 28.4% (Aumenta riesgo)</w:t>
            </w:r>
          </w:p>
        </w:tc>
        <w:tc>
          <w:tcPr>
            <w:tcW w:type="dxa" w:w="3120"/>
          </w:tcPr>
          <w:p>
            <w:r>
              <w:rPr>
                <w:sz w:val="19"/>
              </w:rPr>
              <w:t>Causal inmediata de devolución de cuenta según Resolución 3047.</w:t>
            </w:r>
          </w:p>
        </w:tc>
      </w:tr>
      <w:tr>
        <w:tc>
          <w:tcPr>
            <w:tcW w:type="dxa" w:w="3120"/>
            <w:shd w:val="clear" w:color="auto" w:fill="F8FAFC"/>
          </w:tcPr>
          <w:p>
            <w:r>
              <w:rPr>
                <w:sz w:val="19"/>
              </w:rPr>
              <w:t>Soporte Clínico Completo con Escalas Médicas</w:t>
            </w:r>
          </w:p>
        </w:tc>
        <w:tc>
          <w:tcPr>
            <w:tcW w:type="dxa" w:w="3120"/>
            <w:shd w:val="clear" w:color="auto" w:fill="F8FAFC"/>
          </w:tcPr>
          <w:p>
            <w:r>
              <w:rPr>
                <w:color w:val="15803D"/>
                <w:sz w:val="19"/>
              </w:rPr>
              <w:t>- 15.6% (Disminuye riesgo)</w:t>
            </w:r>
          </w:p>
        </w:tc>
        <w:tc>
          <w:tcPr>
            <w:tcW w:type="dxa" w:w="3120"/>
            <w:shd w:val="clear" w:color="auto" w:fill="F8FAFC"/>
          </w:tcPr>
          <w:p>
            <w:r>
              <w:rPr>
                <w:sz w:val="19"/>
              </w:rPr>
              <w:t>La presencia de escala Glasgow y signos vitales mitiga objeciones de pertinencia.</w:t>
            </w:r>
          </w:p>
        </w:tc>
      </w:tr>
    </w:tbl>
    <w:p/>
    <w:p>
      <w:pPr>
        <w:pStyle w:val="Heading1"/>
      </w:pPr>
      <w:r>
        <w:t>5. Matriz Operativa de Decisión Pre-Radicación: Semáforo STP vs. Retención</w:t>
      </w:r>
    </w:p>
    <w:p>
      <w:r>
        <w:t>El objetivo supremo del análisis predictivo no es generar estadísticas, sino cambiar la toma de decisiones en el puesto de trabajo. En MSM, el dictamen de probabilidad se conecta a un Semáforo de Enrutamiento Operativo:</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2885"/>
          </w:tcPr>
          <w:p>
            <w:r>
              <w:rPr>
                <w:b/>
                <w:color w:val="FFFFFF"/>
              </w:rPr>
              <w:t>Umbral de Probabilidad</w:t>
            </w:r>
          </w:p>
        </w:tc>
        <w:tc>
          <w:tcPr>
            <w:tcW w:type="dxa" w:w="2340"/>
            <w:shd w:val="clear" w:color="auto" w:fill="002885"/>
          </w:tcPr>
          <w:p>
            <w:r>
              <w:rPr>
                <w:b/>
                <w:color w:val="FFFFFF"/>
              </w:rPr>
              <w:t>Estado del Semáforo</w:t>
            </w:r>
          </w:p>
        </w:tc>
        <w:tc>
          <w:tcPr>
            <w:tcW w:type="dxa" w:w="2340"/>
            <w:shd w:val="clear" w:color="auto" w:fill="002885"/>
          </w:tcPr>
          <w:p>
            <w:r>
              <w:rPr>
                <w:b/>
                <w:color w:val="FFFFFF"/>
              </w:rPr>
              <w:t>Flujo Operativo Asignado</w:t>
            </w:r>
          </w:p>
        </w:tc>
        <w:tc>
          <w:tcPr>
            <w:tcW w:type="dxa" w:w="2340"/>
            <w:shd w:val="clear" w:color="auto" w:fill="002885"/>
          </w:tcPr>
          <w:p>
            <w:r>
              <w:rPr>
                <w:b/>
                <w:color w:val="FFFFFF"/>
              </w:rPr>
              <w:t>Impacto en Productividad</w:t>
            </w:r>
          </w:p>
        </w:tc>
      </w:tr>
      <w:tr>
        <w:tc>
          <w:tcPr>
            <w:tcW w:type="dxa" w:w="2340"/>
            <w:shd w:val="clear" w:color="auto" w:fill="DCFCE7"/>
          </w:tcPr>
          <w:p>
            <w:r>
              <w:rPr>
                <w:sz w:val="19"/>
              </w:rPr>
              <w:t>Probabilidad &lt; 25%</w:t>
            </w:r>
          </w:p>
        </w:tc>
        <w:tc>
          <w:tcPr>
            <w:tcW w:type="dxa" w:w="2340"/>
            <w:shd w:val="clear" w:color="auto" w:fill="DCFCE7"/>
          </w:tcPr>
          <w:p>
            <w:r>
              <w:rPr>
                <w:sz w:val="19"/>
              </w:rPr>
              <w:t>🟢 VERDE (Bajo Riesgo)</w:t>
            </w:r>
          </w:p>
        </w:tc>
        <w:tc>
          <w:tcPr>
            <w:tcW w:type="dxa" w:w="2340"/>
            <w:shd w:val="clear" w:color="auto" w:fill="DCFCE7"/>
          </w:tcPr>
          <w:p>
            <w:r>
              <w:rPr>
                <w:sz w:val="19"/>
              </w:rPr>
              <w:t>Straight-Through Processing (STP): Radicación 100% directa y automática ante la EPS sin intervención humana.</w:t>
            </w:r>
          </w:p>
        </w:tc>
        <w:tc>
          <w:tcPr>
            <w:tcW w:type="dxa" w:w="2340"/>
            <w:shd w:val="clear" w:color="auto" w:fill="DCFCE7"/>
          </w:tcPr>
          <w:p>
            <w:r>
              <w:rPr>
                <w:sz w:val="19"/>
              </w:rPr>
              <w:t>Libera el 60% del tiempo de los auditores para enfocarse en cuentas complejas.</w:t>
            </w:r>
          </w:p>
        </w:tc>
      </w:tr>
      <w:tr>
        <w:tc>
          <w:tcPr>
            <w:tcW w:type="dxa" w:w="2340"/>
            <w:shd w:val="clear" w:color="auto" w:fill="FEF3C7"/>
          </w:tcPr>
          <w:p>
            <w:r>
              <w:rPr>
                <w:sz w:val="19"/>
              </w:rPr>
              <w:t>25% ≤ Probabilidad ≤ 60%</w:t>
            </w:r>
          </w:p>
        </w:tc>
        <w:tc>
          <w:tcPr>
            <w:tcW w:type="dxa" w:w="2340"/>
            <w:shd w:val="clear" w:color="auto" w:fill="FEF3C7"/>
          </w:tcPr>
          <w:p>
            <w:r>
              <w:rPr>
                <w:sz w:val="19"/>
              </w:rPr>
              <w:t>🟡 AMARILLO (Riesgo Medio)</w:t>
            </w:r>
          </w:p>
        </w:tc>
        <w:tc>
          <w:tcPr>
            <w:tcW w:type="dxa" w:w="2340"/>
            <w:shd w:val="clear" w:color="auto" w:fill="FEF3C7"/>
          </w:tcPr>
          <w:p>
            <w:r>
              <w:rPr>
                <w:sz w:val="19"/>
              </w:rPr>
              <w:t>Auditoría Concurrente Focalizada: El sistema enruta la cuenta a la bandeja del auditor señalando los 2 factores de riesgo detectados.</w:t>
            </w:r>
          </w:p>
        </w:tc>
        <w:tc>
          <w:tcPr>
            <w:tcW w:type="dxa" w:w="2340"/>
            <w:shd w:val="clear" w:color="auto" w:fill="FEF3C7"/>
          </w:tcPr>
          <w:p>
            <w:r>
              <w:rPr>
                <w:sz w:val="19"/>
              </w:rPr>
              <w:t>El auditor tarda 3 minutos en lugar de 25 minutos al tener el diagnóstico predictivo focalizado.</w:t>
            </w:r>
          </w:p>
        </w:tc>
      </w:tr>
      <w:tr>
        <w:tc>
          <w:tcPr>
            <w:tcW w:type="dxa" w:w="2340"/>
            <w:shd w:val="clear" w:color="auto" w:fill="FEE2E2"/>
          </w:tcPr>
          <w:p>
            <w:r>
              <w:rPr>
                <w:sz w:val="19"/>
              </w:rPr>
              <w:t>Probabilidad &gt; 60%</w:t>
            </w:r>
          </w:p>
        </w:tc>
        <w:tc>
          <w:tcPr>
            <w:tcW w:type="dxa" w:w="2340"/>
            <w:shd w:val="clear" w:color="auto" w:fill="FEE2E2"/>
          </w:tcPr>
          <w:p>
            <w:r>
              <w:rPr>
                <w:sz w:val="19"/>
              </w:rPr>
              <w:t>🔴 ROJO (Alto Riesgo)</w:t>
            </w:r>
          </w:p>
        </w:tc>
        <w:tc>
          <w:tcPr>
            <w:tcW w:type="dxa" w:w="2340"/>
            <w:shd w:val="clear" w:color="auto" w:fill="FEE2E2"/>
          </w:tcPr>
          <w:p>
            <w:r>
              <w:rPr>
                <w:sz w:val="19"/>
              </w:rPr>
              <w:t>Retención Obligatoria: La cuenta es bloqueada para radicación y devuelta al servicio asistencial para subsanación inmediata.</w:t>
            </w:r>
          </w:p>
        </w:tc>
        <w:tc>
          <w:tcPr>
            <w:tcW w:type="dxa" w:w="2340"/>
            <w:shd w:val="clear" w:color="auto" w:fill="FEE2E2"/>
          </w:tcPr>
          <w:p>
            <w:r>
              <w:rPr>
                <w:sz w:val="19"/>
              </w:rPr>
              <w:t>Evita que la cuenta ingrese al ciclo vicioso de glosa, notificación, respuesta y conciliación de cartera (60-90 días de congelamiento).</w:t>
            </w:r>
          </w:p>
        </w:tc>
      </w:tr>
    </w:tbl>
    <w:p/>
    <w:p>
      <w:pPr>
        <w:pStyle w:val="Heading1"/>
      </w:pPr>
      <w:r>
        <w:t>6. Aplicación Práctica: Análisis de Casos Emblemáticos en el Simulador</w:t>
      </w:r>
    </w:p>
    <w:p>
      <w:r>
        <w:t>En la plataforma interactiva 'Enterprise AI Academy' (Pestaña 'Probabilidad de Glosa IA'), los participantes pueden interactuar directamente con el simulador predictivo pre-cargando los casos reales del dataset financiero de la Clínica Metropolitana del Norte:</w:t>
      </w:r>
    </w:p>
    <w:p>
      <w:r>
        <w:rPr>
          <w:b/>
        </w:rPr>
        <w:t>📌 Caso FAC-002 (Nueva EPS - Angioplastia Coronaria / Stent):</w:t>
        <w:br/>
      </w:r>
      <w:r>
        <w:t>Monto Facturado: $18.5M | Probabilidad IA: 78% | Decisión: RETENER</w:t>
        <w:br/>
        <w:t>Causa raíz: Se cobró un stent medicado con tarifa SOAT Plena, cuando el anexo contractual de Nueva EPS estipulaba SOAT + 35% con techo en $3.8M. Acción de la IA: Alertó la diferencia de $4.2M y recomendó re-liquidar el insumo antes de radicar. Se recuperó el 75% del valor objetado.</w:t>
      </w:r>
    </w:p>
    <w:p>
      <w:r>
        <w:rPr>
          <w:b/>
        </w:rPr>
        <w:t>📌 Caso FAC-003 (Sura EPS - Ortopedia / Material Osteosíntesis):</w:t>
        <w:br/>
      </w:r>
      <w:r>
        <w:t>Monto Facturado: $7.2M | Probabilidad IA: 92% | Decisión: RETENER TOTAL</w:t>
        <w:br/>
        <w:t>Causa raíz: La intervención se realizó un fin de semana por urgencias sin adjuntar el volante de autorización previa de Sura EPS. Acción de la IA: Bloqueó la radicación para tramitar la autorización extemporánea con el soporte de ingreso de urgencias. Se levantó el 100% de la objeción ($7.2M recuperados).</w:t>
      </w:r>
    </w:p>
    <w:p>
      <w:r>
        <w:rPr>
          <w:b/>
        </w:rPr>
        <w:t>📌 Caso FAC-006 (Nueva EPS - Neurología / UCI 3 Días):</w:t>
        <w:br/>
      </w:r>
      <w:r>
        <w:t>Monto Facturado: $9.4M | Probabilidad IA: 84% | Decisión: RETENER AUDITORÍA</w:t>
        <w:br/>
        <w:t>Causa raíz: La EPS objetó 3 días de estancia en UCI aduciendo que el paciente ya estaba consciente. Acción de la IA: Identificó la falta de escala Glasgow en las notas de evolución. El auditor médico adjuntó las notas de enfermería y recuperó el 100% de la estancia ($3.9M levantados).</w:t>
      </w:r>
    </w:p>
    <w:p>
      <w:r>
        <w:rPr>
          <w:b/>
        </w:rPr>
        <w:t>📌 Caso FAC-001 (EPS Sanitas - Cirugía General):</w:t>
        <w:br/>
      </w:r>
      <w:r>
        <w:t>Monto Facturado: $4.85M | Probabilidad IA: 8% | Decisión: PASE DIRECTO STP</w:t>
        <w:br/>
        <w:t>Causa raíz: Volante de autorización vigente, diagnóstico K802 coherente con procedimiento 512201 y manual pactado al 100%. Acción de la IA: Radicación automática instantánea. La factura fue pagada en 28 días sin ninguna objeción.</w:t>
      </w:r>
    </w:p>
    <w:p/>
    <w:p>
      <w:pPr>
        <w:pStyle w:val="Heading1"/>
      </w:pPr>
      <w:r>
        <w:t>7. Metamodelo Transferible: ¿Cómo se Aplica este Modelo Predictivo a Otras Industrias?</w:t>
      </w:r>
    </w:p>
    <w:p>
      <w:r>
        <w:t>El modelo matemático de 'Probabilidad de Glosa' no es exclusivo de la salud. Constituye un metamodelo universal de Clasificación Supervisada de Riesgo Transaccional que cualquier organización puede extrapolar a sus operaciones críticas: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2885"/>
          </w:tcPr>
          <w:p>
            <w:r>
              <w:rPr>
                <w:b/>
                <w:color w:val="FFFFFF"/>
              </w:rPr>
              <w:t>Industria / Track</w:t>
            </w:r>
          </w:p>
        </w:tc>
        <w:tc>
          <w:tcPr>
            <w:tcW w:type="dxa" w:w="2340"/>
            <w:shd w:val="clear" w:color="auto" w:fill="002885"/>
          </w:tcPr>
          <w:p>
            <w:r>
              <w:rPr>
                <w:b/>
                <w:color w:val="FFFFFF"/>
              </w:rPr>
              <w:t>Problema Predictivo Análogo</w:t>
            </w:r>
          </w:p>
        </w:tc>
        <w:tc>
          <w:tcPr>
            <w:tcW w:type="dxa" w:w="2340"/>
            <w:shd w:val="clear" w:color="auto" w:fill="002885"/>
          </w:tcPr>
          <w:p>
            <w:r>
              <w:rPr>
                <w:b/>
                <w:color w:val="FFFFFF"/>
              </w:rPr>
              <w:t>Variables de Entrada (Features)</w:t>
            </w:r>
          </w:p>
        </w:tc>
        <w:tc>
          <w:tcPr>
            <w:tcW w:type="dxa" w:w="2340"/>
            <w:shd w:val="clear" w:color="auto" w:fill="002885"/>
          </w:tcPr>
          <w:p>
            <w:r>
              <w:rPr>
                <w:b/>
                <w:color w:val="FFFFFF"/>
              </w:rPr>
              <w:t>Acción Prescriptiva Resultante</w:t>
            </w:r>
          </w:p>
        </w:tc>
      </w:tr>
      <w:tr>
        <w:tc>
          <w:tcPr>
            <w:tcW w:type="dxa" w:w="2340"/>
            <w:shd w:val="clear" w:color="auto" w:fill="F8FAFC"/>
          </w:tcPr>
          <w:p>
            <w:r>
              <w:rPr>
                <w:sz w:val="19"/>
              </w:rPr>
              <w:t>Banca &amp; Finanzas</w:t>
            </w:r>
          </w:p>
        </w:tc>
        <w:tc>
          <w:tcPr>
            <w:tcW w:type="dxa" w:w="2340"/>
            <w:shd w:val="clear" w:color="auto" w:fill="F8FAFC"/>
          </w:tcPr>
          <w:p>
            <w:r>
              <w:rPr>
                <w:sz w:val="19"/>
              </w:rPr>
              <w:t>Probabilidad de Default / Fraude</w:t>
            </w:r>
          </w:p>
        </w:tc>
        <w:tc>
          <w:tcPr>
            <w:tcW w:type="dxa" w:w="2340"/>
            <w:shd w:val="clear" w:color="auto" w:fill="F8FAFC"/>
          </w:tcPr>
          <w:p>
            <w:r>
              <w:rPr>
                <w:sz w:val="19"/>
              </w:rPr>
              <w:t>Score crediticio, saldo medio, ratio de endeudamiento, IP y dispositivo.</w:t>
            </w:r>
          </w:p>
        </w:tc>
        <w:tc>
          <w:tcPr>
            <w:tcW w:type="dxa" w:w="2340"/>
            <w:shd w:val="clear" w:color="auto" w:fill="F8FAFC"/>
          </w:tcPr>
          <w:p>
            <w:r>
              <w:rPr>
                <w:sz w:val="19"/>
              </w:rPr>
              <w:t>Aprobación automática de crédito (STP) vs. Bloqueo para verificación de identidad.</w:t>
            </w:r>
          </w:p>
        </w:tc>
      </w:tr>
      <w:tr>
        <w:tc>
          <w:tcPr>
            <w:tcW w:type="dxa" w:w="2340"/>
          </w:tcPr>
          <w:p>
            <w:r>
              <w:rPr>
                <w:sz w:val="19"/>
              </w:rPr>
              <w:t>Operaciones &amp; Logística</w:t>
            </w:r>
          </w:p>
        </w:tc>
        <w:tc>
          <w:tcPr>
            <w:tcW w:type="dxa" w:w="2340"/>
          </w:tcPr>
          <w:p>
            <w:r>
              <w:rPr>
                <w:sz w:val="19"/>
              </w:rPr>
              <w:t>Probabilidad de Disrupción / Quiebre</w:t>
            </w:r>
          </w:p>
        </w:tc>
        <w:tc>
          <w:tcPr>
            <w:tcW w:type="dxa" w:w="2340"/>
          </w:tcPr>
          <w:p>
            <w:r>
              <w:rPr>
                <w:sz w:val="19"/>
              </w:rPr>
              <w:t>Lead time del proveedor, inventario de seguridad, estacionalidad climática.</w:t>
            </w:r>
          </w:p>
        </w:tc>
        <w:tc>
          <w:tcPr>
            <w:tcW w:type="dxa" w:w="2340"/>
          </w:tcPr>
          <w:p>
            <w:r>
              <w:rPr>
                <w:sz w:val="19"/>
              </w:rPr>
              <w:t>Despacho regular vs. Activación de proveedor de contingencia y re-enrutamiento.</w:t>
            </w:r>
          </w:p>
        </w:tc>
      </w:tr>
      <w:tr>
        <w:tc>
          <w:tcPr>
            <w:tcW w:type="dxa" w:w="2340"/>
            <w:shd w:val="clear" w:color="auto" w:fill="F8FAFC"/>
          </w:tcPr>
          <w:p>
            <w:r>
              <w:rPr>
                <w:sz w:val="19"/>
              </w:rPr>
              <w:t>Legal &amp; Cumplimiento</w:t>
            </w:r>
          </w:p>
        </w:tc>
        <w:tc>
          <w:tcPr>
            <w:tcW w:type="dxa" w:w="2340"/>
            <w:shd w:val="clear" w:color="auto" w:fill="F8FAFC"/>
          </w:tcPr>
          <w:p>
            <w:r>
              <w:rPr>
                <w:sz w:val="19"/>
              </w:rPr>
              <w:t>Probabilidad de Incumplimiento Contractual</w:t>
            </w:r>
          </w:p>
        </w:tc>
        <w:tc>
          <w:tcPr>
            <w:tcW w:type="dxa" w:w="2340"/>
            <w:shd w:val="clear" w:color="auto" w:fill="F8FAFC"/>
          </w:tcPr>
          <w:p>
            <w:r>
              <w:rPr>
                <w:sz w:val="19"/>
              </w:rPr>
              <w:t>Jurisdicción, antecedentes de la contraparte, ambigüedad en cláusulas de penalidad.</w:t>
            </w:r>
          </w:p>
        </w:tc>
        <w:tc>
          <w:tcPr>
            <w:tcW w:type="dxa" w:w="2340"/>
            <w:shd w:val="clear" w:color="auto" w:fill="F8FAFC"/>
          </w:tcPr>
          <w:p>
            <w:r>
              <w:rPr>
                <w:sz w:val="19"/>
              </w:rPr>
              <w:t>Firma directa de minuta vs. Re-negociación obligatoria de cláusula de indemnidad.</w:t>
            </w:r>
          </w:p>
        </w:tc>
      </w:tr>
    </w:tbl>
    <w:p/>
    <w:p>
      <w:pPr>
        <w:jc w:val="center"/>
      </w:pPr>
      <w:r>
        <w:rPr>
          <w:i/>
          <w:color w:val="646973"/>
          <w:sz w:val="19"/>
        </w:rPr>
        <w:t>Mundo Salud Médica · Excelencia en Gestión y Auditoría Asistida por Inteligencia Artificial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