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2885"/>
          <w:sz w:val="20"/>
        </w:rPr>
        <w:t>PROGRAMA AVANZADO DE INTELIGENCIA ARTIFICIAL · MÓDULO 6</w:t>
      </w:r>
    </w:p>
    <w:p>
      <w:r>
        <w:rPr>
          <w:b/>
          <w:color w:val="011C4E"/>
          <w:sz w:val="44"/>
        </w:rPr>
        <w:t>Plantilla Ejecutiva de Orquestación Multi-Agente y Matriz de Escalamiento Humano (HITL)</w:t>
      </w:r>
    </w:p>
    <w:p>
      <w:r>
        <w:rPr>
          <w:i/>
          <w:color w:val="646973"/>
          <w:sz w:val="22"/>
        </w:rPr>
        <w:t>Guía de diseño para células agénticas colaborativas, protocolos de supervisión humana y gobernanza operativa.</w:t>
      </w:r>
    </w:p>
    <w:p>
      <w:pPr>
        <w:pStyle w:val="Heading1"/>
      </w:pPr>
      <w:r>
        <w:t>1. Ficha Técnica del Proceso Candidato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F5F7FA"/>
          </w:tcPr>
          <w:p>
            <w:r>
              <w:rPr>
                <w:b/>
              </w:rPr>
              <w:t>Nombre del Proceso:</w:t>
            </w:r>
          </w:p>
        </w:tc>
        <w:tc>
          <w:tcPr>
            <w:tcW w:type="dxa" w:w="5760"/>
          </w:tcPr>
          <w:p>
            <w:r>
              <w:t>Ej. Auditoría y Conciliación Integral de Facturas / Reclamaciones</w:t>
            </w:r>
          </w:p>
        </w:tc>
      </w:tr>
      <w:tr>
        <w:tc>
          <w:tcPr>
            <w:tcW w:type="dxa" w:w="3600"/>
            <w:shd w:fill="F5F7FA"/>
          </w:tcPr>
          <w:p>
            <w:r>
              <w:rPr>
                <w:b/>
              </w:rPr>
              <w:t>Área / Departamento:</w:t>
            </w:r>
          </w:p>
        </w:tc>
        <w:tc>
          <w:tcPr>
            <w:tcW w:type="dxa" w:w="5760"/>
          </w:tcPr>
          <w:p>
            <w:r>
              <w:t>Operaciones / Facturación / Finanzas</w:t>
            </w:r>
          </w:p>
        </w:tc>
      </w:tr>
      <w:tr>
        <w:tc>
          <w:tcPr>
            <w:tcW w:type="dxa" w:w="3600"/>
            <w:shd w:fill="F5F7FA"/>
          </w:tcPr>
          <w:p>
            <w:r>
              <w:rPr>
                <w:b/>
              </w:rPr>
              <w:t>Volumen Mensual de Casos:</w:t>
            </w:r>
          </w:p>
        </w:tc>
        <w:tc>
          <w:tcPr>
            <w:tcW w:type="dxa" w:w="5760"/>
          </w:tcPr>
          <w:p>
            <w:r>
              <w:t>12,000 expedientes / transacciones por mes</w:t>
            </w:r>
          </w:p>
        </w:tc>
      </w:tr>
      <w:tr>
        <w:tc>
          <w:tcPr>
            <w:tcW w:type="dxa" w:w="3600"/>
            <w:shd w:fill="F5F7FA"/>
          </w:tcPr>
          <w:p>
            <w:r>
              <w:rPr>
                <w:b/>
              </w:rPr>
              <w:t>Tiempo Actual de Ciclo Manual:</w:t>
            </w:r>
          </w:p>
        </w:tc>
        <w:tc>
          <w:tcPr>
            <w:tcW w:type="dxa" w:w="5760"/>
          </w:tcPr>
          <w:p>
            <w:r>
              <w:t>4.5 días hábiles promedio por caso</w:t>
            </w:r>
          </w:p>
        </w:tc>
      </w:tr>
      <w:tr>
        <w:tc>
          <w:tcPr>
            <w:tcW w:type="dxa" w:w="3600"/>
            <w:shd w:fill="F5F7FA"/>
          </w:tcPr>
          <w:p>
            <w:r>
              <w:rPr>
                <w:b/>
              </w:rPr>
              <w:t>Meta de Automatización Autónoma (STP):</w:t>
            </w:r>
          </w:p>
        </w:tc>
        <w:tc>
          <w:tcPr>
            <w:tcW w:type="dxa" w:w="5760"/>
          </w:tcPr>
          <w:p>
            <w:r>
              <w:t>75% resolución sin intervención humana con 0% error crítico</w:t>
            </w:r>
          </w:p>
        </w:tc>
      </w:tr>
    </w:tbl>
    <w:p>
      <w:pPr>
        <w:pStyle w:val="Heading1"/>
      </w:pPr>
      <w:r>
        <w:t>2. Diseño de Roles de la Célula Multi-Agente</w:t>
      </w:r>
    </w:p>
    <w:p>
      <w:r>
        <w:t>En una arquitectura multi-agente, la complejidad se distribuye en roles especializados que colaboran e intercambian mensajes estructurados bajo el patrón Orquestador-Trabajadores (Supervisor-Workers) o Creador-Revisor (Maker-Checker).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2885"/>
          </w:tcPr>
          <w:p>
            <w:r>
              <w:rPr>
                <w:b/>
                <w:color w:val="FFFFFF"/>
              </w:rPr>
              <w:t>Rol del Agente</w:t>
            </w:r>
          </w:p>
        </w:tc>
        <w:tc>
          <w:tcPr>
            <w:tcW w:type="dxa" w:w="2340"/>
            <w:shd w:fill="002885"/>
          </w:tcPr>
          <w:p>
            <w:r>
              <w:rPr>
                <w:b/>
                <w:color w:val="FFFFFF"/>
              </w:rPr>
              <w:t>Misión Operativa</w:t>
            </w:r>
          </w:p>
        </w:tc>
        <w:tc>
          <w:tcPr>
            <w:tcW w:type="dxa" w:w="2340"/>
            <w:shd w:fill="002885"/>
          </w:tcPr>
          <w:p>
            <w:r>
              <w:rPr>
                <w:b/>
                <w:color w:val="FFFFFF"/>
              </w:rPr>
              <w:t>Herramientas Conectadas</w:t>
            </w:r>
          </w:p>
        </w:tc>
        <w:tc>
          <w:tcPr>
            <w:tcW w:type="dxa" w:w="2340"/>
            <w:shd w:fill="002885"/>
          </w:tcPr>
          <w:p>
            <w:r>
              <w:rPr>
                <w:b/>
                <w:color w:val="FFFFFF"/>
              </w:rPr>
              <w:t>Output Esperado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Agente 1: Orquestador / Dispatcher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Clasifica el caso de entrada, evalúa prioridad y asigna tareas a los agentes especializados.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API Webhook, Cola de Mensajes, Logs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Plan de ejecución JSON y asignación</w:t>
            </w:r>
          </w:p>
        </w:tc>
      </w:tr>
      <w:tr>
        <w:tc>
          <w:tcPr>
            <w:tcW w:type="dxa" w:w="2340"/>
            <w:shd w:fill="F9FAFC"/>
          </w:tcPr>
          <w:p>
            <w:r>
              <w:rPr>
                <w:sz w:val="19"/>
              </w:rPr>
              <w:t>Agente 2: Extractor y Normalizador</w:t>
            </w:r>
          </w:p>
        </w:tc>
        <w:tc>
          <w:tcPr>
            <w:tcW w:type="dxa" w:w="2340"/>
            <w:shd w:fill="F9FAFC"/>
          </w:tcPr>
          <w:p>
            <w:r>
              <w:rPr>
                <w:sz w:val="19"/>
              </w:rPr>
              <w:t>Extrae datos de PDFs, escaneos o correos y valida contra bases de datos maestras.</w:t>
            </w:r>
          </w:p>
        </w:tc>
        <w:tc>
          <w:tcPr>
            <w:tcW w:type="dxa" w:w="2340"/>
            <w:shd w:fill="F9FAFC"/>
          </w:tcPr>
          <w:p>
            <w:r>
              <w:rPr>
                <w:sz w:val="19"/>
              </w:rPr>
              <w:t>OCR / Vision API, SQL Database, Schemas</w:t>
            </w:r>
          </w:p>
        </w:tc>
        <w:tc>
          <w:tcPr>
            <w:tcW w:type="dxa" w:w="2340"/>
            <w:shd w:fill="F9FAFC"/>
          </w:tcPr>
          <w:p>
            <w:r>
              <w:rPr>
                <w:sz w:val="19"/>
              </w:rPr>
              <w:t>Dataset estructurado limpio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Agente 3: Auditor de Reglas de Negocio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Cruza tarifas, contratos vigentes y normativas. Identifica discrepancias o glosas.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Motor de Reglas, Vector DB (RAG Contratos)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Informe de hallazgos y alertas</w:t>
            </w:r>
          </w:p>
        </w:tc>
      </w:tr>
      <w:tr>
        <w:tc>
          <w:tcPr>
            <w:tcW w:type="dxa" w:w="2340"/>
            <w:shd w:fill="F9FAFC"/>
          </w:tcPr>
          <w:p>
            <w:r>
              <w:rPr>
                <w:sz w:val="19"/>
              </w:rPr>
              <w:t>Agente 4: Generador de Dictamen &amp; Respuesta</w:t>
            </w:r>
          </w:p>
        </w:tc>
        <w:tc>
          <w:tcPr>
            <w:tcW w:type="dxa" w:w="2340"/>
            <w:shd w:fill="F9FAFC"/>
          </w:tcPr>
          <w:p>
            <w:r>
              <w:rPr>
                <w:sz w:val="19"/>
              </w:rPr>
              <w:t>Redacta el borrador de resolución, orden de pago o respuesta legal con soporte documental.</w:t>
            </w:r>
          </w:p>
        </w:tc>
        <w:tc>
          <w:tcPr>
            <w:tcW w:type="dxa" w:w="2340"/>
            <w:shd w:fill="F9FAFC"/>
          </w:tcPr>
          <w:p>
            <w:r>
              <w:rPr>
                <w:sz w:val="19"/>
              </w:rPr>
              <w:t>Templates corporativos, API de correo / ERP</w:t>
            </w:r>
          </w:p>
        </w:tc>
        <w:tc>
          <w:tcPr>
            <w:tcW w:type="dxa" w:w="2340"/>
            <w:shd w:fill="F9FAFC"/>
          </w:tcPr>
          <w:p>
            <w:r>
              <w:rPr>
                <w:sz w:val="19"/>
              </w:rPr>
              <w:t>Borrador de resolución listo para firma</w:t>
            </w:r>
          </w:p>
        </w:tc>
      </w:tr>
    </w:tbl>
    <w:p>
      <w:pPr>
        <w:pStyle w:val="Heading1"/>
      </w:pPr>
      <w:r>
        <w:t>3. Matriz de Escalamiento Humano (Human-in-the-Loop - HITL)</w:t>
      </w:r>
    </w:p>
    <w:p>
      <w:r>
        <w:t>Define los umbrales deterministas bajo los cuales el sistema detiene la ejecución autónoma y requiere validación de un analista humano.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11C4E"/>
          </w:tcPr>
          <w:p>
            <w:r>
              <w:rPr>
                <w:b/>
                <w:color w:val="FFFFFF"/>
              </w:rPr>
              <w:t>Condición de Disparo</w:t>
            </w:r>
          </w:p>
        </w:tc>
        <w:tc>
          <w:tcPr>
            <w:tcW w:type="dxa" w:w="2340"/>
            <w:shd w:fill="011C4E"/>
          </w:tcPr>
          <w:p>
            <w:r>
              <w:rPr>
                <w:b/>
                <w:color w:val="FFFFFF"/>
              </w:rPr>
              <w:t>Nivel de Riesgo</w:t>
            </w:r>
          </w:p>
        </w:tc>
        <w:tc>
          <w:tcPr>
            <w:tcW w:type="dxa" w:w="2340"/>
            <w:shd w:fill="011C4E"/>
          </w:tcPr>
          <w:p>
            <w:r>
              <w:rPr>
                <w:b/>
                <w:color w:val="FFFFFF"/>
              </w:rPr>
              <w:t>Acción del Agente</w:t>
            </w:r>
          </w:p>
        </w:tc>
        <w:tc>
          <w:tcPr>
            <w:tcW w:type="dxa" w:w="2340"/>
            <w:shd w:fill="011C4E"/>
          </w:tcPr>
          <w:p>
            <w:r>
              <w:rPr>
                <w:b/>
                <w:color w:val="FFFFFF"/>
              </w:rPr>
              <w:t>Rol Humano Revisor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Confianza del modelo &lt; 85%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Medio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Pausa el flujo, genera resumen de dudas y envía a bandeja de revisión.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Analista Operativo Sénior</w:t>
            </w:r>
          </w:p>
        </w:tc>
      </w:tr>
      <w:tr>
        <w:tc>
          <w:tcPr>
            <w:tcW w:type="dxa" w:w="2340"/>
            <w:shd w:fill="F9FAFC"/>
          </w:tcPr>
          <w:p>
            <w:r>
              <w:rPr>
                <w:sz w:val="19"/>
              </w:rPr>
              <w:t>Monto de la transacción &gt; $10,000 USD</w:t>
            </w:r>
          </w:p>
        </w:tc>
        <w:tc>
          <w:tcPr>
            <w:tcW w:type="dxa" w:w="2340"/>
            <w:shd w:fill="F9FAFC"/>
          </w:tcPr>
          <w:p>
            <w:r>
              <w:rPr>
                <w:sz w:val="19"/>
              </w:rPr>
              <w:t>Alto</w:t>
            </w:r>
          </w:p>
        </w:tc>
        <w:tc>
          <w:tcPr>
            <w:tcW w:type="dxa" w:w="2340"/>
            <w:shd w:fill="F9FAFC"/>
          </w:tcPr>
          <w:p>
            <w:r>
              <w:rPr>
                <w:sz w:val="19"/>
              </w:rPr>
              <w:t>Completa pre-auditoría pero bloquea desembolso hasta firma electrónica.</w:t>
            </w:r>
          </w:p>
        </w:tc>
        <w:tc>
          <w:tcPr>
            <w:tcW w:type="dxa" w:w="2340"/>
            <w:shd w:fill="F9FAFC"/>
          </w:tcPr>
          <w:p>
            <w:r>
              <w:rPr>
                <w:sz w:val="19"/>
              </w:rPr>
              <w:t>Director Financiero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Discrepancia contractual o legal ambigua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Alto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Cita artículos en conflicto y transfiere el expediente con enlaces.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Auditor Legal / Jurídico</w:t>
            </w:r>
          </w:p>
        </w:tc>
      </w:tr>
      <w:tr>
        <w:tc>
          <w:tcPr>
            <w:tcW w:type="dxa" w:w="2340"/>
            <w:shd w:fill="F9FAFC"/>
          </w:tcPr>
          <w:p>
            <w:r>
              <w:rPr>
                <w:sz w:val="19"/>
              </w:rPr>
              <w:t>Cliente VIP o Reclamación Reiterada (x3)</w:t>
            </w:r>
          </w:p>
        </w:tc>
        <w:tc>
          <w:tcPr>
            <w:tcW w:type="dxa" w:w="2340"/>
            <w:shd w:fill="F9FAFC"/>
          </w:tcPr>
          <w:p>
            <w:r>
              <w:rPr>
                <w:sz w:val="19"/>
              </w:rPr>
              <w:t>Crítico</w:t>
            </w:r>
          </w:p>
        </w:tc>
        <w:tc>
          <w:tcPr>
            <w:tcW w:type="dxa" w:w="2340"/>
            <w:shd w:fill="F9FAFC"/>
          </w:tcPr>
          <w:p>
            <w:r>
              <w:rPr>
                <w:sz w:val="19"/>
              </w:rPr>
              <w:t>Prioridad máxima con alerta en Slack / Teams inmediata.</w:t>
            </w:r>
          </w:p>
        </w:tc>
        <w:tc>
          <w:tcPr>
            <w:tcW w:type="dxa" w:w="2340"/>
            <w:shd w:fill="F9FAFC"/>
          </w:tcPr>
          <w:p>
            <w:r>
              <w:rPr>
                <w:sz w:val="19"/>
              </w:rPr>
              <w:t>Líder de Servicio al Cliente</w:t>
            </w:r>
          </w:p>
        </w:tc>
      </w:tr>
    </w:tbl>
    <w:p>
      <w:pPr>
        <w:pStyle w:val="Heading1"/>
      </w:pPr>
      <w:r>
        <w:t>4. Protocolo de Seguridad y Prevención de Bucles Infinitos</w:t>
      </w:r>
    </w:p>
    <w:p>
      <w:pPr>
        <w:pStyle w:val="ListBullet"/>
      </w:pPr>
      <w:r>
        <w:t>Límite Máximo de Iteraciones: Todo agente orquestador debe contar con un 'hard limit' de máximo 5 pasos de razonamiento por caso.</w:t>
      </w:r>
    </w:p>
    <w:p>
      <w:pPr>
        <w:pStyle w:val="ListBullet"/>
      </w:pPr>
      <w:r>
        <w:t>Presupuesto de Inferencia: Límite estricto de tokens de entrada/salida para evitar costos descontrolados por consultas redundantes.</w:t>
      </w:r>
    </w:p>
    <w:p>
      <w:pPr>
        <w:pStyle w:val="ListBullet"/>
      </w:pPr>
      <w:r>
        <w:t>Aislamiento de Permisos: Las credenciales de base de datos entregadas a los agentes deben ser de 'Sólo Lectura' (Read-Only) salvo en puntos específicos con auditoría.</w:t>
      </w:r>
    </w:p>
    <w:p>
      <w:pPr>
        <w:pStyle w:val="ListBullet"/>
      </w:pPr>
      <w:r>
        <w:t>Trazabilidad de Razonamiento (Traces): Todo pensamiento, llamada a herramienta y resultado debe quedar registrado en un log inmutable de auditoría.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