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42D3" w14:textId="77777777" w:rsidR="00082937" w:rsidRPr="00121F70" w:rsidRDefault="00000000" w:rsidP="00121F70">
      <w:pPr>
        <w:pStyle w:val="Ttulo1"/>
        <w:spacing w:before="0" w:after="0" w:line="275" w:lineRule="auto"/>
        <w:jc w:val="both"/>
        <w:rPr>
          <w:rFonts w:ascii="Aptos" w:eastAsia="Google Sans" w:hAnsi="Aptos" w:cs="Google Sans"/>
          <w:color w:val="1F1F1F"/>
        </w:rPr>
      </w:pPr>
      <w:r w:rsidRPr="00121F70">
        <w:rPr>
          <w:rFonts w:ascii="Aptos" w:eastAsia="Google Sans" w:hAnsi="Aptos" w:cs="Google Sans"/>
          <w:color w:val="1F1F1F"/>
        </w:rPr>
        <w:t>Diagnóstico del Entorno Competitivo y Formulación Estratégica para Optimus Health en Sincelejo, Sucre</w:t>
      </w:r>
    </w:p>
    <w:p w14:paraId="4EB88765" w14:textId="77777777" w:rsidR="00082937" w:rsidRPr="00121F70" w:rsidRDefault="00000000" w:rsidP="00121F70">
      <w:pPr>
        <w:pStyle w:val="Ttulo2"/>
        <w:spacing w:before="0" w:after="0" w:line="275" w:lineRule="auto"/>
        <w:jc w:val="both"/>
        <w:rPr>
          <w:rFonts w:ascii="Aptos" w:eastAsia="Google Sans" w:hAnsi="Aptos" w:cs="Google Sans"/>
          <w:color w:val="1F1F1F"/>
        </w:rPr>
      </w:pPr>
      <w:r w:rsidRPr="00121F70">
        <w:rPr>
          <w:rFonts w:ascii="Aptos" w:eastAsia="Google Sans" w:hAnsi="Aptos" w:cs="Google Sans"/>
          <w:color w:val="1F1F1F"/>
        </w:rPr>
        <w:t>Análisis Sociodemográfico y Dinámica Poblacional</w:t>
      </w:r>
    </w:p>
    <w:p w14:paraId="182F195E"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El municipio de Sincelejo, como capital administrativa y nodo económico del departamento de Sucre, experimenta transformaciones demográficas sustanciales que redefinen la demanda de servicios de salud de media y larga estancia</w:t>
      </w:r>
      <w:r w:rsidRPr="00121F70">
        <w:rPr>
          <w:rFonts w:ascii="Aptos" w:eastAsia="Google Sans" w:hAnsi="Aptos" w:cs="Google Sans"/>
          <w:color w:val="444746"/>
          <w:sz w:val="24"/>
          <w:szCs w:val="24"/>
          <w:vertAlign w:val="superscript"/>
        </w:rPr>
        <w:t>1</w:t>
      </w:r>
      <w:r w:rsidRPr="00121F70">
        <w:rPr>
          <w:rFonts w:ascii="Aptos" w:eastAsia="Google Sans" w:hAnsi="Aptos" w:cs="Google Sans"/>
          <w:color w:val="1F1F1F"/>
        </w:rPr>
        <w:t>. La población departamental supera el millón de habitantes, con una distribución territorial en la que el 61% reside en cabeceras urbanas y el 39% habita en zonas rurales y centros poblados dispersos</w:t>
      </w:r>
      <w:r w:rsidRPr="00121F70">
        <w:rPr>
          <w:rFonts w:ascii="Aptos" w:eastAsia="Google Sans" w:hAnsi="Aptos" w:cs="Google Sans"/>
          <w:color w:val="444746"/>
          <w:sz w:val="24"/>
          <w:szCs w:val="24"/>
          <w:vertAlign w:val="superscript"/>
        </w:rPr>
        <w:t>1</w:t>
      </w:r>
      <w:r w:rsidRPr="00121F70">
        <w:rPr>
          <w:rFonts w:ascii="Aptos" w:eastAsia="Google Sans" w:hAnsi="Aptos" w:cs="Google Sans"/>
          <w:color w:val="1F1F1F"/>
        </w:rPr>
        <w:t>. En este contexto territorial, Sincelejo concentra a más de 300.000 residentes y absorbe flujos continuos de pacientes procedentes de las subregiones de Montes de María, La Mojana, el San Jorge y la Sabana sucreña</w:t>
      </w:r>
      <w:r w:rsidRPr="00121F70">
        <w:rPr>
          <w:rFonts w:ascii="Aptos" w:eastAsia="Google Sans" w:hAnsi="Aptos" w:cs="Google Sans"/>
          <w:color w:val="444746"/>
          <w:sz w:val="24"/>
          <w:szCs w:val="24"/>
          <w:vertAlign w:val="superscript"/>
        </w:rPr>
        <w:t>1</w:t>
      </w:r>
      <w:r w:rsidRPr="00121F70">
        <w:rPr>
          <w:rFonts w:ascii="Aptos" w:eastAsia="Google Sans" w:hAnsi="Aptos" w:cs="Google Sans"/>
          <w:color w:val="1F1F1F"/>
        </w:rPr>
        <w:t>.</w:t>
      </w:r>
    </w:p>
    <w:p w14:paraId="61ECDF4C" w14:textId="77777777" w:rsidR="00082937" w:rsidRPr="00121F70" w:rsidRDefault="00082937" w:rsidP="00121F70">
      <w:pPr>
        <w:pBdr>
          <w:top w:val="nil"/>
          <w:left w:val="nil"/>
          <w:bottom w:val="nil"/>
          <w:right w:val="nil"/>
          <w:between w:val="nil"/>
        </w:pBdr>
        <w:spacing w:line="275" w:lineRule="auto"/>
        <w:jc w:val="both"/>
        <w:rPr>
          <w:rFonts w:ascii="Aptos" w:eastAsia="Google Sans" w:hAnsi="Aptos" w:cs="Google Sans"/>
          <w:color w:val="1F1F1F"/>
        </w:rPr>
      </w:pP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082937" w:rsidRPr="00A50ABA" w14:paraId="3FF001A5" w14:textId="77777777" w:rsidTr="00E92864">
        <w:trPr>
          <w:tblHeader/>
        </w:trPr>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73F50A2" w14:textId="77777777" w:rsidR="00082937" w:rsidRPr="00A50ABA" w:rsidRDefault="00000000" w:rsidP="00121F70">
            <w:pPr>
              <w:pBdr>
                <w:top w:val="nil"/>
                <w:left w:val="nil"/>
                <w:bottom w:val="nil"/>
                <w:right w:val="nil"/>
                <w:between w:val="nil"/>
              </w:pBdr>
              <w:spacing w:before="120" w:after="120" w:line="275" w:lineRule="auto"/>
              <w:jc w:val="both"/>
              <w:rPr>
                <w:rFonts w:ascii="Aptos" w:eastAsia="Google Sans" w:hAnsi="Aptos" w:cs="Google Sans"/>
                <w:b/>
                <w:bCs/>
                <w:color w:val="1F1F1F"/>
                <w:sz w:val="18"/>
                <w:szCs w:val="18"/>
              </w:rPr>
            </w:pPr>
            <w:r w:rsidRPr="00A50ABA">
              <w:rPr>
                <w:rFonts w:ascii="Aptos" w:eastAsia="Google Sans" w:hAnsi="Aptos" w:cs="Google Sans"/>
                <w:b/>
                <w:bCs/>
                <w:color w:val="1F1F1F"/>
                <w:sz w:val="18"/>
                <w:szCs w:val="18"/>
              </w:rPr>
              <w:t>Dimensión Sociodemográfica</w:t>
            </w:r>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3053184" w14:textId="77777777" w:rsidR="00082937" w:rsidRPr="00A50ABA" w:rsidRDefault="00000000" w:rsidP="00121F70">
            <w:pPr>
              <w:pBdr>
                <w:top w:val="nil"/>
                <w:left w:val="nil"/>
                <w:bottom w:val="nil"/>
                <w:right w:val="nil"/>
                <w:between w:val="nil"/>
              </w:pBdr>
              <w:spacing w:before="120" w:after="120" w:line="275" w:lineRule="auto"/>
              <w:jc w:val="both"/>
              <w:rPr>
                <w:rFonts w:ascii="Aptos" w:eastAsia="Google Sans" w:hAnsi="Aptos" w:cs="Google Sans"/>
                <w:b/>
                <w:bCs/>
                <w:color w:val="1F1F1F"/>
                <w:sz w:val="18"/>
                <w:szCs w:val="18"/>
              </w:rPr>
            </w:pPr>
            <w:r w:rsidRPr="00A50ABA">
              <w:rPr>
                <w:rFonts w:ascii="Aptos" w:eastAsia="Google Sans" w:hAnsi="Aptos" w:cs="Google Sans"/>
                <w:b/>
                <w:bCs/>
                <w:color w:val="1F1F1F"/>
                <w:sz w:val="18"/>
                <w:szCs w:val="18"/>
              </w:rPr>
              <w:t>Indicador o Cifra Cuantificada</w:t>
            </w:r>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6949668C" w14:textId="77777777" w:rsidR="00082937" w:rsidRPr="00A50ABA" w:rsidRDefault="00000000" w:rsidP="00121F70">
            <w:pPr>
              <w:pBdr>
                <w:top w:val="nil"/>
                <w:left w:val="nil"/>
                <w:bottom w:val="nil"/>
                <w:right w:val="nil"/>
                <w:between w:val="nil"/>
              </w:pBdr>
              <w:spacing w:before="120" w:after="120" w:line="275" w:lineRule="auto"/>
              <w:jc w:val="both"/>
              <w:rPr>
                <w:rFonts w:ascii="Aptos" w:eastAsia="Google Sans" w:hAnsi="Aptos" w:cs="Google Sans"/>
                <w:b/>
                <w:bCs/>
                <w:color w:val="1F1F1F"/>
                <w:sz w:val="18"/>
                <w:szCs w:val="18"/>
              </w:rPr>
            </w:pPr>
            <w:r w:rsidRPr="00A50ABA">
              <w:rPr>
                <w:rFonts w:ascii="Aptos" w:eastAsia="Google Sans" w:hAnsi="Aptos" w:cs="Google Sans"/>
                <w:b/>
                <w:bCs/>
                <w:color w:val="1F1F1F"/>
                <w:sz w:val="18"/>
                <w:szCs w:val="18"/>
              </w:rPr>
              <w:t>Repercusión Operativa y Estratégica para Optimus Health</w:t>
            </w:r>
          </w:p>
        </w:tc>
      </w:tr>
      <w:tr w:rsidR="00082937" w:rsidRPr="00A50ABA" w14:paraId="00C39AF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7BE949" w14:textId="77777777" w:rsidR="00082937" w:rsidRPr="00A50ABA" w:rsidRDefault="00000000" w:rsidP="00121F70">
            <w:pPr>
              <w:pBdr>
                <w:top w:val="nil"/>
                <w:left w:val="nil"/>
                <w:bottom w:val="nil"/>
                <w:right w:val="nil"/>
                <w:between w:val="nil"/>
              </w:pBdr>
              <w:spacing w:before="120" w:after="120" w:line="275" w:lineRule="auto"/>
              <w:jc w:val="both"/>
              <w:rPr>
                <w:rFonts w:ascii="Aptos" w:eastAsia="Google Sans" w:hAnsi="Aptos" w:cs="Google Sans"/>
                <w:b/>
                <w:bCs/>
                <w:color w:val="1F1F1F"/>
                <w:sz w:val="18"/>
                <w:szCs w:val="18"/>
              </w:rPr>
            </w:pPr>
            <w:r w:rsidRPr="00A50ABA">
              <w:rPr>
                <w:rFonts w:ascii="Aptos" w:eastAsia="Google Sans" w:hAnsi="Aptos" w:cs="Google Sans"/>
                <w:b/>
                <w:bCs/>
                <w:color w:val="1F1F1F"/>
                <w:sz w:val="18"/>
                <w:szCs w:val="18"/>
              </w:rPr>
              <w:t>Población Total Sucre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B18743" w14:textId="77777777" w:rsidR="00082937" w:rsidRPr="00A50ABA" w:rsidRDefault="00000000" w:rsidP="00121F70">
            <w:pPr>
              <w:pBdr>
                <w:top w:val="nil"/>
                <w:left w:val="nil"/>
                <w:bottom w:val="nil"/>
                <w:right w:val="nil"/>
                <w:between w:val="nil"/>
              </w:pBdr>
              <w:spacing w:line="275" w:lineRule="auto"/>
              <w:jc w:val="both"/>
              <w:rPr>
                <w:rFonts w:ascii="Aptos" w:eastAsia="Google Sans" w:hAnsi="Aptos" w:cs="Google Sans"/>
                <w:color w:val="444746"/>
                <w:sz w:val="18"/>
                <w:szCs w:val="18"/>
                <w:vertAlign w:val="superscript"/>
              </w:rPr>
            </w:pPr>
            <w:r w:rsidRPr="00A50ABA">
              <w:rPr>
                <w:rFonts w:ascii="Aptos" w:eastAsia="Google Sans" w:hAnsi="Aptos" w:cs="Google Sans"/>
                <w:color w:val="1F1F1F"/>
                <w:sz w:val="18"/>
                <w:szCs w:val="18"/>
              </w:rPr>
              <w:t>1.006.044 habitantes (61% urbana / 39% rural)</w:t>
            </w:r>
            <w:r w:rsidRPr="00A50ABA">
              <w:rPr>
                <w:rFonts w:ascii="Aptos" w:eastAsia="Google Sans" w:hAnsi="Aptos" w:cs="Google Sans"/>
                <w:color w:val="444746"/>
                <w:sz w:val="18"/>
                <w:szCs w:val="18"/>
                <w:vertAlign w:val="superscript"/>
              </w:rPr>
              <w:t>1</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9EE4FE" w14:textId="30954C1D" w:rsidR="00082937" w:rsidRPr="00A50ABA" w:rsidRDefault="00000000" w:rsidP="00121F70">
            <w:pPr>
              <w:pBdr>
                <w:top w:val="nil"/>
                <w:left w:val="nil"/>
                <w:bottom w:val="nil"/>
                <w:right w:val="nil"/>
                <w:between w:val="nil"/>
              </w:pBdr>
              <w:spacing w:before="120" w:after="120" w:line="275" w:lineRule="auto"/>
              <w:jc w:val="both"/>
              <w:rPr>
                <w:rFonts w:ascii="Aptos" w:eastAsia="Google Sans" w:hAnsi="Aptos" w:cs="Google Sans"/>
                <w:color w:val="1F1F1F"/>
                <w:sz w:val="18"/>
                <w:szCs w:val="18"/>
              </w:rPr>
            </w:pPr>
            <w:r w:rsidRPr="00A50ABA">
              <w:rPr>
                <w:rFonts w:ascii="Aptos" w:eastAsia="Google Sans" w:hAnsi="Aptos" w:cs="Google Sans"/>
                <w:color w:val="1F1F1F"/>
                <w:sz w:val="18"/>
                <w:szCs w:val="18"/>
              </w:rPr>
              <w:t xml:space="preserve">Mercado objetivo concentrado en la conurbación </w:t>
            </w:r>
            <w:r w:rsidR="006B2DF5" w:rsidRPr="00A50ABA">
              <w:rPr>
                <w:rStyle w:val="Refdenotaalpie"/>
                <w:rFonts w:ascii="Aptos" w:eastAsia="Google Sans" w:hAnsi="Aptos" w:cs="Google Sans"/>
                <w:color w:val="1F1F1F"/>
                <w:sz w:val="18"/>
                <w:szCs w:val="18"/>
              </w:rPr>
              <w:footnoteReference w:id="1"/>
            </w:r>
            <w:r w:rsidRPr="00A50ABA">
              <w:rPr>
                <w:rFonts w:ascii="Aptos" w:eastAsia="Google Sans" w:hAnsi="Aptos" w:cs="Google Sans"/>
                <w:color w:val="1F1F1F"/>
                <w:sz w:val="18"/>
                <w:szCs w:val="18"/>
              </w:rPr>
              <w:t>Sincelejo-Corozal y subregiones adyacentes.</w:t>
            </w:r>
          </w:p>
        </w:tc>
      </w:tr>
      <w:tr w:rsidR="00082937" w:rsidRPr="00A50ABA" w14:paraId="68D04B65"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1D0CDC" w14:textId="77777777" w:rsidR="00082937" w:rsidRPr="00A50ABA" w:rsidRDefault="00000000" w:rsidP="00121F70">
            <w:pPr>
              <w:pBdr>
                <w:top w:val="nil"/>
                <w:left w:val="nil"/>
                <w:bottom w:val="nil"/>
                <w:right w:val="nil"/>
                <w:between w:val="nil"/>
              </w:pBdr>
              <w:spacing w:before="120" w:after="120" w:line="275" w:lineRule="auto"/>
              <w:jc w:val="both"/>
              <w:rPr>
                <w:rFonts w:ascii="Aptos" w:eastAsia="Google Sans" w:hAnsi="Aptos" w:cs="Google Sans"/>
                <w:b/>
                <w:bCs/>
                <w:color w:val="1F1F1F"/>
                <w:sz w:val="18"/>
                <w:szCs w:val="18"/>
              </w:rPr>
            </w:pPr>
            <w:r w:rsidRPr="00A50ABA">
              <w:rPr>
                <w:rFonts w:ascii="Aptos" w:eastAsia="Google Sans" w:hAnsi="Aptos" w:cs="Google Sans"/>
                <w:b/>
                <w:bCs/>
                <w:color w:val="1F1F1F"/>
                <w:sz w:val="18"/>
                <w:szCs w:val="18"/>
              </w:rPr>
              <w:t>Población Mayor de 60 Años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833BEC" w14:textId="77777777" w:rsidR="00082937" w:rsidRPr="00A50ABA" w:rsidRDefault="00000000" w:rsidP="00121F70">
            <w:pPr>
              <w:pBdr>
                <w:top w:val="nil"/>
                <w:left w:val="nil"/>
                <w:bottom w:val="nil"/>
                <w:right w:val="nil"/>
                <w:between w:val="nil"/>
              </w:pBdr>
              <w:spacing w:line="275" w:lineRule="auto"/>
              <w:jc w:val="both"/>
              <w:rPr>
                <w:rFonts w:ascii="Aptos" w:eastAsia="Google Sans" w:hAnsi="Aptos" w:cs="Google Sans"/>
                <w:color w:val="444746"/>
                <w:sz w:val="18"/>
                <w:szCs w:val="18"/>
                <w:vertAlign w:val="superscript"/>
              </w:rPr>
            </w:pPr>
            <w:r w:rsidRPr="00A50ABA">
              <w:rPr>
                <w:rFonts w:ascii="Aptos" w:eastAsia="Google Sans" w:hAnsi="Aptos" w:cs="Google Sans"/>
                <w:color w:val="1F1F1F"/>
                <w:sz w:val="18"/>
                <w:szCs w:val="18"/>
              </w:rPr>
              <w:t>14,0% departamental (140.567 hab.), proyectada a 16,1% para 2030</w:t>
            </w:r>
            <w:r w:rsidRPr="00A50ABA">
              <w:rPr>
                <w:rFonts w:ascii="Aptos" w:eastAsia="Google Sans" w:hAnsi="Aptos" w:cs="Google Sans"/>
                <w:color w:val="444746"/>
                <w:sz w:val="18"/>
                <w:szCs w:val="18"/>
                <w:vertAlign w:val="superscript"/>
              </w:rPr>
              <w:t>1</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9EB69C" w14:textId="77777777" w:rsidR="00082937" w:rsidRPr="00A50ABA" w:rsidRDefault="00000000" w:rsidP="00121F70">
            <w:pPr>
              <w:pBdr>
                <w:top w:val="nil"/>
                <w:left w:val="nil"/>
                <w:bottom w:val="nil"/>
                <w:right w:val="nil"/>
                <w:between w:val="nil"/>
              </w:pBdr>
              <w:spacing w:before="120" w:after="120" w:line="275" w:lineRule="auto"/>
              <w:jc w:val="both"/>
              <w:rPr>
                <w:rFonts w:ascii="Aptos" w:eastAsia="Google Sans" w:hAnsi="Aptos" w:cs="Google Sans"/>
                <w:color w:val="1F1F1F"/>
                <w:sz w:val="18"/>
                <w:szCs w:val="18"/>
              </w:rPr>
            </w:pPr>
            <w:r w:rsidRPr="00A50ABA">
              <w:rPr>
                <w:rFonts w:ascii="Aptos" w:eastAsia="Google Sans" w:hAnsi="Aptos" w:cs="Google Sans"/>
                <w:color w:val="1F1F1F"/>
                <w:sz w:val="18"/>
                <w:szCs w:val="18"/>
              </w:rPr>
              <w:t>Crecimiento constante de la masa crítica susceptible de atención y hospitalización domiciliaria.</w:t>
            </w:r>
          </w:p>
        </w:tc>
      </w:tr>
      <w:tr w:rsidR="00082937" w:rsidRPr="00A50ABA" w14:paraId="17F60D13"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E961E5" w14:textId="77777777" w:rsidR="00082937" w:rsidRPr="00A50ABA" w:rsidRDefault="00000000" w:rsidP="00121F70">
            <w:pPr>
              <w:pBdr>
                <w:top w:val="nil"/>
                <w:left w:val="nil"/>
                <w:bottom w:val="nil"/>
                <w:right w:val="nil"/>
                <w:between w:val="nil"/>
              </w:pBdr>
              <w:spacing w:before="120" w:after="120" w:line="275" w:lineRule="auto"/>
              <w:jc w:val="both"/>
              <w:rPr>
                <w:rFonts w:ascii="Aptos" w:eastAsia="Google Sans" w:hAnsi="Aptos" w:cs="Google Sans"/>
                <w:b/>
                <w:bCs/>
                <w:color w:val="1F1F1F"/>
                <w:sz w:val="18"/>
                <w:szCs w:val="18"/>
              </w:rPr>
            </w:pPr>
            <w:r w:rsidRPr="00A50ABA">
              <w:rPr>
                <w:rFonts w:ascii="Aptos" w:eastAsia="Google Sans" w:hAnsi="Aptos" w:cs="Google Sans"/>
                <w:b/>
                <w:bCs/>
                <w:color w:val="1F1F1F"/>
                <w:sz w:val="18"/>
                <w:szCs w:val="18"/>
              </w:rPr>
              <w:t>Índice de Envejecimiento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5D5FDD" w14:textId="77777777" w:rsidR="00082937" w:rsidRPr="00A50ABA" w:rsidRDefault="00000000" w:rsidP="00121F70">
            <w:pPr>
              <w:pBdr>
                <w:top w:val="nil"/>
                <w:left w:val="nil"/>
                <w:bottom w:val="nil"/>
                <w:right w:val="nil"/>
                <w:between w:val="nil"/>
              </w:pBdr>
              <w:spacing w:line="275" w:lineRule="auto"/>
              <w:jc w:val="both"/>
              <w:rPr>
                <w:rFonts w:ascii="Aptos" w:eastAsia="Google Sans" w:hAnsi="Aptos" w:cs="Google Sans"/>
                <w:color w:val="444746"/>
                <w:sz w:val="18"/>
                <w:szCs w:val="18"/>
                <w:vertAlign w:val="superscript"/>
              </w:rPr>
            </w:pPr>
            <w:r w:rsidRPr="00A50ABA">
              <w:rPr>
                <w:rFonts w:ascii="Aptos" w:eastAsia="Google Sans" w:hAnsi="Aptos" w:cs="Google Sans"/>
                <w:color w:val="1F1F1F"/>
                <w:sz w:val="18"/>
                <w:szCs w:val="18"/>
              </w:rPr>
              <w:t>Incremento de 38 a 43 adultos mayores por cada 100 menores de 15 años</w:t>
            </w:r>
            <w:r w:rsidRPr="00A50ABA">
              <w:rPr>
                <w:rFonts w:ascii="Aptos" w:eastAsia="Google Sans" w:hAnsi="Aptos" w:cs="Google Sans"/>
                <w:color w:val="444746"/>
                <w:sz w:val="18"/>
                <w:szCs w:val="18"/>
                <w:vertAlign w:val="superscript"/>
              </w:rPr>
              <w:t>2</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337AAC" w14:textId="77777777" w:rsidR="00082937" w:rsidRPr="00A50ABA" w:rsidRDefault="00000000" w:rsidP="00121F70">
            <w:pPr>
              <w:pBdr>
                <w:top w:val="nil"/>
                <w:left w:val="nil"/>
                <w:bottom w:val="nil"/>
                <w:right w:val="nil"/>
                <w:between w:val="nil"/>
              </w:pBdr>
              <w:spacing w:before="120" w:after="120" w:line="275" w:lineRule="auto"/>
              <w:jc w:val="both"/>
              <w:rPr>
                <w:rFonts w:ascii="Aptos" w:eastAsia="Google Sans" w:hAnsi="Aptos" w:cs="Google Sans"/>
                <w:color w:val="1F1F1F"/>
                <w:sz w:val="18"/>
                <w:szCs w:val="18"/>
              </w:rPr>
            </w:pPr>
            <w:r w:rsidRPr="00A50ABA">
              <w:rPr>
                <w:rFonts w:ascii="Aptos" w:eastAsia="Google Sans" w:hAnsi="Aptos" w:cs="Google Sans"/>
                <w:color w:val="1F1F1F"/>
                <w:sz w:val="18"/>
                <w:szCs w:val="18"/>
              </w:rPr>
              <w:t>Incremento en los índices de dependencia funcional, fragilidad clínica y patología degenerativa.</w:t>
            </w:r>
          </w:p>
        </w:tc>
      </w:tr>
      <w:tr w:rsidR="00082937" w:rsidRPr="00A50ABA" w14:paraId="1ECAE045"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605DA7" w14:textId="77777777" w:rsidR="00082937" w:rsidRPr="00A50ABA" w:rsidRDefault="00000000" w:rsidP="00121F70">
            <w:pPr>
              <w:pBdr>
                <w:top w:val="nil"/>
                <w:left w:val="nil"/>
                <w:bottom w:val="nil"/>
                <w:right w:val="nil"/>
                <w:between w:val="nil"/>
              </w:pBdr>
              <w:spacing w:before="120" w:after="120" w:line="275" w:lineRule="auto"/>
              <w:jc w:val="both"/>
              <w:rPr>
                <w:rFonts w:ascii="Aptos" w:eastAsia="Google Sans" w:hAnsi="Aptos" w:cs="Google Sans"/>
                <w:b/>
                <w:bCs/>
                <w:color w:val="1F1F1F"/>
                <w:sz w:val="18"/>
                <w:szCs w:val="18"/>
              </w:rPr>
            </w:pPr>
            <w:r w:rsidRPr="00A50ABA">
              <w:rPr>
                <w:rFonts w:ascii="Aptos" w:eastAsia="Google Sans" w:hAnsi="Aptos" w:cs="Google Sans"/>
                <w:b/>
                <w:bCs/>
                <w:color w:val="1F1F1F"/>
                <w:sz w:val="18"/>
                <w:szCs w:val="18"/>
              </w:rPr>
              <w:t>Estratificación Socioeconómica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F5C202" w14:textId="77777777" w:rsidR="00082937" w:rsidRPr="00A50ABA" w:rsidRDefault="00000000" w:rsidP="00121F70">
            <w:pPr>
              <w:pBdr>
                <w:top w:val="nil"/>
                <w:left w:val="nil"/>
                <w:bottom w:val="nil"/>
                <w:right w:val="nil"/>
                <w:between w:val="nil"/>
              </w:pBdr>
              <w:spacing w:line="275" w:lineRule="auto"/>
              <w:jc w:val="both"/>
              <w:rPr>
                <w:rFonts w:ascii="Aptos" w:eastAsia="Google Sans" w:hAnsi="Aptos" w:cs="Google Sans"/>
                <w:color w:val="444746"/>
                <w:sz w:val="18"/>
                <w:szCs w:val="18"/>
                <w:vertAlign w:val="superscript"/>
              </w:rPr>
            </w:pPr>
            <w:r w:rsidRPr="00A50ABA">
              <w:rPr>
                <w:rFonts w:ascii="Aptos" w:eastAsia="Google Sans" w:hAnsi="Aptos" w:cs="Google Sans"/>
                <w:color w:val="1F1F1F"/>
                <w:sz w:val="18"/>
                <w:szCs w:val="18"/>
              </w:rPr>
              <w:t>Estratos 1 y 2 representan más del 78% del casco urbano</w:t>
            </w:r>
            <w:r w:rsidRPr="00A50ABA">
              <w:rPr>
                <w:rFonts w:ascii="Aptos" w:eastAsia="Google Sans" w:hAnsi="Aptos" w:cs="Google Sans"/>
                <w:color w:val="444746"/>
                <w:sz w:val="18"/>
                <w:szCs w:val="18"/>
                <w:vertAlign w:val="superscript"/>
              </w:rPr>
              <w:t>3</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20A79C" w14:textId="77777777" w:rsidR="00082937" w:rsidRPr="00A50ABA" w:rsidRDefault="00000000" w:rsidP="00121F70">
            <w:pPr>
              <w:pBdr>
                <w:top w:val="nil"/>
                <w:left w:val="nil"/>
                <w:bottom w:val="nil"/>
                <w:right w:val="nil"/>
                <w:between w:val="nil"/>
              </w:pBdr>
              <w:spacing w:before="120" w:after="120" w:line="275" w:lineRule="auto"/>
              <w:jc w:val="both"/>
              <w:rPr>
                <w:rFonts w:ascii="Aptos" w:eastAsia="Google Sans" w:hAnsi="Aptos" w:cs="Google Sans"/>
                <w:color w:val="1F1F1F"/>
                <w:sz w:val="18"/>
                <w:szCs w:val="18"/>
              </w:rPr>
            </w:pPr>
            <w:r w:rsidRPr="00A50ABA">
              <w:rPr>
                <w:rFonts w:ascii="Aptos" w:eastAsia="Google Sans" w:hAnsi="Aptos" w:cs="Google Sans"/>
                <w:color w:val="1F1F1F"/>
                <w:sz w:val="18"/>
                <w:szCs w:val="18"/>
              </w:rPr>
              <w:t>Restricción severa del gasto de bolsillo; indispensabilidad de la contratación con el SGSSS.</w:t>
            </w:r>
          </w:p>
        </w:tc>
      </w:tr>
      <w:tr w:rsidR="00082937" w:rsidRPr="00A50ABA" w14:paraId="50367FF7"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0A6D50" w14:textId="77777777" w:rsidR="00082937" w:rsidRPr="00A50ABA" w:rsidRDefault="00000000" w:rsidP="00121F70">
            <w:pPr>
              <w:pBdr>
                <w:top w:val="nil"/>
                <w:left w:val="nil"/>
                <w:bottom w:val="nil"/>
                <w:right w:val="nil"/>
                <w:between w:val="nil"/>
              </w:pBdr>
              <w:spacing w:before="120" w:after="120" w:line="275" w:lineRule="auto"/>
              <w:jc w:val="both"/>
              <w:rPr>
                <w:rFonts w:ascii="Aptos" w:eastAsia="Google Sans" w:hAnsi="Aptos" w:cs="Google Sans"/>
                <w:b/>
                <w:bCs/>
                <w:color w:val="1F1F1F"/>
                <w:sz w:val="18"/>
                <w:szCs w:val="18"/>
              </w:rPr>
            </w:pPr>
            <w:r w:rsidRPr="00A50ABA">
              <w:rPr>
                <w:rFonts w:ascii="Aptos" w:eastAsia="Google Sans" w:hAnsi="Aptos" w:cs="Google Sans"/>
                <w:b/>
                <w:bCs/>
                <w:color w:val="1F1F1F"/>
                <w:sz w:val="18"/>
                <w:szCs w:val="18"/>
              </w:rPr>
              <w:t>Aseguramiento en Salud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108361" w14:textId="77777777" w:rsidR="00082937" w:rsidRPr="00A50ABA" w:rsidRDefault="00000000" w:rsidP="00121F70">
            <w:pPr>
              <w:pBdr>
                <w:top w:val="nil"/>
                <w:left w:val="nil"/>
                <w:bottom w:val="nil"/>
                <w:right w:val="nil"/>
                <w:between w:val="nil"/>
              </w:pBdr>
              <w:spacing w:line="275" w:lineRule="auto"/>
              <w:jc w:val="both"/>
              <w:rPr>
                <w:rFonts w:ascii="Aptos" w:eastAsia="Google Sans" w:hAnsi="Aptos" w:cs="Google Sans"/>
                <w:color w:val="444746"/>
                <w:sz w:val="18"/>
                <w:szCs w:val="18"/>
                <w:vertAlign w:val="superscript"/>
              </w:rPr>
            </w:pPr>
            <w:r w:rsidRPr="00A50ABA">
              <w:rPr>
                <w:rFonts w:ascii="Aptos" w:eastAsia="Google Sans" w:hAnsi="Aptos" w:cs="Google Sans"/>
                <w:color w:val="1F1F1F"/>
                <w:sz w:val="18"/>
                <w:szCs w:val="18"/>
              </w:rPr>
              <w:t xml:space="preserve">&gt;72% Régimen Subsidiado / ~25% Régimen Contributivo y Regímenes </w:t>
            </w:r>
            <w:r w:rsidRPr="00A50ABA">
              <w:rPr>
                <w:rFonts w:ascii="Aptos" w:eastAsia="Google Sans" w:hAnsi="Aptos" w:cs="Google Sans"/>
                <w:color w:val="1F1F1F"/>
                <w:sz w:val="18"/>
                <w:szCs w:val="18"/>
              </w:rPr>
              <w:lastRenderedPageBreak/>
              <w:t>Especiales</w:t>
            </w:r>
            <w:r w:rsidRPr="00A50ABA">
              <w:rPr>
                <w:rFonts w:ascii="Aptos" w:eastAsia="Google Sans" w:hAnsi="Aptos" w:cs="Google Sans"/>
                <w:color w:val="444746"/>
                <w:sz w:val="18"/>
                <w:szCs w:val="18"/>
                <w:vertAlign w:val="superscript"/>
              </w:rPr>
              <w:t>3</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8D20F7" w14:textId="77777777" w:rsidR="00082937" w:rsidRPr="00A50ABA" w:rsidRDefault="00000000" w:rsidP="00121F70">
            <w:pPr>
              <w:pBdr>
                <w:top w:val="nil"/>
                <w:left w:val="nil"/>
                <w:bottom w:val="nil"/>
                <w:right w:val="nil"/>
                <w:between w:val="nil"/>
              </w:pBdr>
              <w:spacing w:before="120" w:after="120" w:line="275" w:lineRule="auto"/>
              <w:jc w:val="both"/>
              <w:rPr>
                <w:rFonts w:ascii="Aptos" w:eastAsia="Google Sans" w:hAnsi="Aptos" w:cs="Google Sans"/>
                <w:color w:val="1F1F1F"/>
                <w:sz w:val="18"/>
                <w:szCs w:val="18"/>
              </w:rPr>
            </w:pPr>
            <w:r w:rsidRPr="00A50ABA">
              <w:rPr>
                <w:rFonts w:ascii="Aptos" w:eastAsia="Google Sans" w:hAnsi="Aptos" w:cs="Google Sans"/>
                <w:color w:val="1F1F1F"/>
                <w:sz w:val="18"/>
                <w:szCs w:val="18"/>
              </w:rPr>
              <w:lastRenderedPageBreak/>
              <w:t xml:space="preserve">Dependencia directa del flujo de recursos administrado por las EPS </w:t>
            </w:r>
            <w:r w:rsidRPr="00A50ABA">
              <w:rPr>
                <w:rFonts w:ascii="Aptos" w:eastAsia="Google Sans" w:hAnsi="Aptos" w:cs="Google Sans"/>
                <w:color w:val="1F1F1F"/>
                <w:sz w:val="18"/>
                <w:szCs w:val="18"/>
              </w:rPr>
              <w:lastRenderedPageBreak/>
              <w:t>subsidiadas y la ADRES.</w:t>
            </w:r>
          </w:p>
        </w:tc>
      </w:tr>
      <w:tr w:rsidR="00082937" w:rsidRPr="00A50ABA" w14:paraId="08B17CB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D81792" w14:textId="77777777" w:rsidR="00082937" w:rsidRPr="00A50ABA" w:rsidRDefault="00000000" w:rsidP="00121F70">
            <w:pPr>
              <w:pBdr>
                <w:top w:val="nil"/>
                <w:left w:val="nil"/>
                <w:bottom w:val="nil"/>
                <w:right w:val="nil"/>
                <w:between w:val="nil"/>
              </w:pBdr>
              <w:spacing w:before="120" w:after="120" w:line="275" w:lineRule="auto"/>
              <w:jc w:val="both"/>
              <w:rPr>
                <w:rFonts w:ascii="Aptos" w:eastAsia="Google Sans" w:hAnsi="Aptos" w:cs="Google Sans"/>
                <w:b/>
                <w:bCs/>
                <w:color w:val="1F1F1F"/>
                <w:sz w:val="18"/>
                <w:szCs w:val="18"/>
              </w:rPr>
            </w:pPr>
            <w:r w:rsidRPr="00A50ABA">
              <w:rPr>
                <w:rFonts w:ascii="Aptos" w:eastAsia="Google Sans" w:hAnsi="Aptos" w:cs="Google Sans"/>
                <w:b/>
                <w:bCs/>
                <w:color w:val="1F1F1F"/>
                <w:sz w:val="18"/>
                <w:szCs w:val="18"/>
              </w:rPr>
              <w:lastRenderedPageBreak/>
              <w:t>Mercado Laboral e Ingresos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0D2B02" w14:textId="77777777" w:rsidR="00082937" w:rsidRPr="00A50ABA" w:rsidRDefault="00000000" w:rsidP="00121F70">
            <w:pPr>
              <w:pBdr>
                <w:top w:val="nil"/>
                <w:left w:val="nil"/>
                <w:bottom w:val="nil"/>
                <w:right w:val="nil"/>
                <w:between w:val="nil"/>
              </w:pBdr>
              <w:spacing w:line="275" w:lineRule="auto"/>
              <w:jc w:val="both"/>
              <w:rPr>
                <w:rFonts w:ascii="Aptos" w:eastAsia="Google Sans" w:hAnsi="Aptos" w:cs="Google Sans"/>
                <w:color w:val="444746"/>
                <w:sz w:val="18"/>
                <w:szCs w:val="18"/>
                <w:vertAlign w:val="superscript"/>
              </w:rPr>
            </w:pPr>
            <w:r w:rsidRPr="00A50ABA">
              <w:rPr>
                <w:rFonts w:ascii="Aptos" w:eastAsia="Google Sans" w:hAnsi="Aptos" w:cs="Google Sans"/>
                <w:color w:val="1F1F1F"/>
                <w:sz w:val="18"/>
                <w:szCs w:val="18"/>
              </w:rPr>
              <w:t>Tasa de informalidad &gt;55% y desempleo regional de 10,5%</w:t>
            </w:r>
            <w:r w:rsidRPr="00A50ABA">
              <w:rPr>
                <w:rFonts w:ascii="Aptos" w:eastAsia="Google Sans" w:hAnsi="Aptos" w:cs="Google Sans"/>
                <w:color w:val="444746"/>
                <w:sz w:val="18"/>
                <w:szCs w:val="18"/>
                <w:vertAlign w:val="superscript"/>
              </w:rPr>
              <w:t>6</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37C5F1" w14:textId="77777777" w:rsidR="00082937" w:rsidRPr="00A50ABA" w:rsidRDefault="00000000" w:rsidP="00121F70">
            <w:pPr>
              <w:pBdr>
                <w:top w:val="nil"/>
                <w:left w:val="nil"/>
                <w:bottom w:val="nil"/>
                <w:right w:val="nil"/>
                <w:between w:val="nil"/>
              </w:pBdr>
              <w:spacing w:before="120" w:after="120" w:line="275" w:lineRule="auto"/>
              <w:jc w:val="both"/>
              <w:rPr>
                <w:rFonts w:ascii="Aptos" w:eastAsia="Google Sans" w:hAnsi="Aptos" w:cs="Google Sans"/>
                <w:color w:val="1F1F1F"/>
                <w:sz w:val="18"/>
                <w:szCs w:val="18"/>
              </w:rPr>
            </w:pPr>
            <w:r w:rsidRPr="00A50ABA">
              <w:rPr>
                <w:rFonts w:ascii="Aptos" w:eastAsia="Google Sans" w:hAnsi="Aptos" w:cs="Google Sans"/>
                <w:color w:val="1F1F1F"/>
                <w:sz w:val="18"/>
                <w:szCs w:val="18"/>
              </w:rPr>
              <w:t>Vulnerabilidad sociofamiliar; dependencia de cuidadores informales no remunerados.</w:t>
            </w:r>
          </w:p>
        </w:tc>
      </w:tr>
      <w:tr w:rsidR="00082937" w:rsidRPr="00A50ABA" w14:paraId="3BA1A6C7"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09CA2D" w14:textId="77777777" w:rsidR="00082937" w:rsidRPr="00A50ABA" w:rsidRDefault="00000000" w:rsidP="00121F70">
            <w:pPr>
              <w:pBdr>
                <w:top w:val="nil"/>
                <w:left w:val="nil"/>
                <w:bottom w:val="nil"/>
                <w:right w:val="nil"/>
                <w:between w:val="nil"/>
              </w:pBdr>
              <w:spacing w:before="120" w:after="120" w:line="275" w:lineRule="auto"/>
              <w:jc w:val="both"/>
              <w:rPr>
                <w:rFonts w:ascii="Aptos" w:eastAsia="Google Sans" w:hAnsi="Aptos" w:cs="Google Sans"/>
                <w:b/>
                <w:bCs/>
                <w:color w:val="1F1F1F"/>
                <w:sz w:val="18"/>
                <w:szCs w:val="18"/>
              </w:rPr>
            </w:pPr>
            <w:r w:rsidRPr="00A50ABA">
              <w:rPr>
                <w:rFonts w:ascii="Aptos" w:eastAsia="Google Sans" w:hAnsi="Aptos" w:cs="Google Sans"/>
                <w:b/>
                <w:bCs/>
                <w:color w:val="1F1F1F"/>
                <w:sz w:val="18"/>
                <w:szCs w:val="18"/>
              </w:rPr>
              <w:t>Pobreza Multidimensional</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9DF072" w14:textId="77777777" w:rsidR="00082937" w:rsidRPr="00A50ABA" w:rsidRDefault="00000000" w:rsidP="00121F70">
            <w:pPr>
              <w:pBdr>
                <w:top w:val="nil"/>
                <w:left w:val="nil"/>
                <w:bottom w:val="nil"/>
                <w:right w:val="nil"/>
                <w:between w:val="nil"/>
              </w:pBdr>
              <w:spacing w:line="275" w:lineRule="auto"/>
              <w:jc w:val="both"/>
              <w:rPr>
                <w:rFonts w:ascii="Aptos" w:eastAsia="Google Sans" w:hAnsi="Aptos" w:cs="Google Sans"/>
                <w:color w:val="444746"/>
                <w:sz w:val="18"/>
                <w:szCs w:val="18"/>
                <w:vertAlign w:val="superscript"/>
              </w:rPr>
            </w:pPr>
            <w:r w:rsidRPr="00A50ABA">
              <w:rPr>
                <w:rFonts w:ascii="Aptos" w:eastAsia="Google Sans" w:hAnsi="Aptos" w:cs="Google Sans"/>
                <w:color w:val="1F1F1F"/>
                <w:sz w:val="18"/>
                <w:szCs w:val="18"/>
              </w:rPr>
              <w:t>20,0% en cabeceras y 36,0% en centros poblados rurales dispersos</w:t>
            </w:r>
            <w:r w:rsidRPr="00A50ABA">
              <w:rPr>
                <w:rFonts w:ascii="Aptos" w:eastAsia="Google Sans" w:hAnsi="Aptos" w:cs="Google Sans"/>
                <w:color w:val="444746"/>
                <w:sz w:val="18"/>
                <w:szCs w:val="18"/>
                <w:vertAlign w:val="superscript"/>
              </w:rPr>
              <w:t>1</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1E25EC" w14:textId="77777777" w:rsidR="00082937" w:rsidRPr="00A50ABA" w:rsidRDefault="00000000" w:rsidP="00121F70">
            <w:pPr>
              <w:pBdr>
                <w:top w:val="nil"/>
                <w:left w:val="nil"/>
                <w:bottom w:val="nil"/>
                <w:right w:val="nil"/>
                <w:between w:val="nil"/>
              </w:pBdr>
              <w:spacing w:before="120" w:after="120" w:line="275" w:lineRule="auto"/>
              <w:jc w:val="both"/>
              <w:rPr>
                <w:rFonts w:ascii="Aptos" w:eastAsia="Google Sans" w:hAnsi="Aptos" w:cs="Google Sans"/>
                <w:color w:val="1F1F1F"/>
                <w:sz w:val="18"/>
                <w:szCs w:val="18"/>
              </w:rPr>
            </w:pPr>
            <w:r w:rsidRPr="00A50ABA">
              <w:rPr>
                <w:rFonts w:ascii="Aptos" w:eastAsia="Google Sans" w:hAnsi="Aptos" w:cs="Google Sans"/>
                <w:color w:val="1F1F1F"/>
                <w:sz w:val="18"/>
                <w:szCs w:val="18"/>
              </w:rPr>
              <w:t>Precariedad en servicios públicos domiciliarios que condiciona la habilitación del hogar.</w:t>
            </w:r>
          </w:p>
        </w:tc>
      </w:tr>
    </w:tbl>
    <w:p w14:paraId="51105FDB" w14:textId="77777777" w:rsidR="00E17AA6" w:rsidRDefault="00E17AA6" w:rsidP="00121F70">
      <w:pPr>
        <w:pBdr>
          <w:top w:val="nil"/>
          <w:left w:val="nil"/>
          <w:bottom w:val="nil"/>
          <w:right w:val="nil"/>
          <w:between w:val="nil"/>
        </w:pBdr>
        <w:spacing w:line="275" w:lineRule="auto"/>
        <w:jc w:val="both"/>
        <w:rPr>
          <w:rFonts w:ascii="Aptos" w:eastAsia="Google Sans" w:hAnsi="Aptos" w:cs="Google Sans"/>
          <w:color w:val="1F1F1F"/>
        </w:rPr>
      </w:pPr>
    </w:p>
    <w:p w14:paraId="4387E42E" w14:textId="7FADFEAE"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El acelerado envejecimiento poblacional en Sucre se evidencia en una pirámide demográfica en proceso de transición avanzada</w:t>
      </w:r>
      <w:r w:rsidRPr="00121F70">
        <w:rPr>
          <w:rFonts w:ascii="Aptos" w:eastAsia="Google Sans" w:hAnsi="Aptos" w:cs="Google Sans"/>
          <w:color w:val="444746"/>
          <w:sz w:val="24"/>
          <w:szCs w:val="24"/>
          <w:vertAlign w:val="superscript"/>
        </w:rPr>
        <w:t>1</w:t>
      </w:r>
      <w:r w:rsidRPr="00121F70">
        <w:rPr>
          <w:rFonts w:ascii="Aptos" w:eastAsia="Google Sans" w:hAnsi="Aptos" w:cs="Google Sans"/>
          <w:color w:val="1F1F1F"/>
        </w:rPr>
        <w:t>. En el departamento, el contingente de adultos mayores de 60 años creció desde 110.964 personas registradas en el censo de 2018 hasta más de 140.567 individuos, proyectándose una cifra superior a 171.000 para el cierre de la década</w:t>
      </w:r>
      <w:r w:rsidRPr="00121F70">
        <w:rPr>
          <w:rFonts w:ascii="Aptos" w:eastAsia="Google Sans" w:hAnsi="Aptos" w:cs="Google Sans"/>
          <w:color w:val="444746"/>
          <w:sz w:val="24"/>
          <w:szCs w:val="24"/>
          <w:vertAlign w:val="superscript"/>
        </w:rPr>
        <w:t>1</w:t>
      </w:r>
      <w:r w:rsidRPr="00121F70">
        <w:rPr>
          <w:rFonts w:ascii="Aptos" w:eastAsia="Google Sans" w:hAnsi="Aptos" w:cs="Google Sans"/>
          <w:color w:val="1F1F1F"/>
        </w:rPr>
        <w:t>. Este fenómeno exhibe además una feminización marcada de la vejez, derivada de una mayor expectativa de vida de las mujeres frente a los hombres, lo cual incrementa la cantidad de mujeres mayores solas o al cuidado de otros dependientes</w:t>
      </w:r>
      <w:r w:rsidRPr="00121F70">
        <w:rPr>
          <w:rFonts w:ascii="Aptos" w:eastAsia="Google Sans" w:hAnsi="Aptos" w:cs="Google Sans"/>
          <w:color w:val="444746"/>
          <w:sz w:val="24"/>
          <w:szCs w:val="24"/>
          <w:vertAlign w:val="superscript"/>
        </w:rPr>
        <w:t>8</w:t>
      </w:r>
      <w:r w:rsidRPr="00121F70">
        <w:rPr>
          <w:rFonts w:ascii="Aptos" w:eastAsia="Google Sans" w:hAnsi="Aptos" w:cs="Google Sans"/>
          <w:color w:val="1F1F1F"/>
        </w:rPr>
        <w:t>.</w:t>
      </w:r>
    </w:p>
    <w:p w14:paraId="4F4981EA"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La configuración socioeconómica de Sincelejo impone límites determinantes sobre el modelo de negocio sanitario</w:t>
      </w:r>
      <w:r w:rsidRPr="00121F70">
        <w:rPr>
          <w:rFonts w:ascii="Aptos" w:eastAsia="Google Sans" w:hAnsi="Aptos" w:cs="Google Sans"/>
          <w:color w:val="444746"/>
          <w:sz w:val="24"/>
          <w:szCs w:val="24"/>
          <w:vertAlign w:val="superscript"/>
        </w:rPr>
        <w:t>6</w:t>
      </w:r>
      <w:r w:rsidRPr="00121F70">
        <w:rPr>
          <w:rFonts w:ascii="Aptos" w:eastAsia="Google Sans" w:hAnsi="Aptos" w:cs="Google Sans"/>
          <w:color w:val="1F1F1F"/>
        </w:rPr>
        <w:t>. La amplia prevalencia de viviendas en estratos 1 y 2, sumada a una informalidad laboral superior al 55%, reduce de forma drástica la factibilidad de comercializar programas de atención domiciliaria mediante esquemas de medicina prepagada o planes voluntarios con copagos elevados</w:t>
      </w:r>
      <w:r w:rsidRPr="00121F70">
        <w:rPr>
          <w:rFonts w:ascii="Aptos" w:eastAsia="Google Sans" w:hAnsi="Aptos" w:cs="Google Sans"/>
          <w:color w:val="444746"/>
          <w:sz w:val="24"/>
          <w:szCs w:val="24"/>
          <w:vertAlign w:val="superscript"/>
        </w:rPr>
        <w:t>3</w:t>
      </w:r>
      <w:r w:rsidRPr="00121F70">
        <w:rPr>
          <w:rFonts w:ascii="Aptos" w:eastAsia="Google Sans" w:hAnsi="Aptos" w:cs="Google Sans"/>
          <w:color w:val="1F1F1F"/>
        </w:rPr>
        <w:t>.</w:t>
      </w:r>
    </w:p>
    <w:p w14:paraId="5209D99B"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El sostenimiento asistencial de la población recae en el Régimen Subsidiado del Sistema General de Seguridad Social en Salud (SGSSS), clasificado mediante los grupos A, B y C del Sisbén IV</w:t>
      </w:r>
      <w:r w:rsidRPr="00121F70">
        <w:rPr>
          <w:rFonts w:ascii="Aptos" w:eastAsia="Google Sans" w:hAnsi="Aptos" w:cs="Google Sans"/>
          <w:color w:val="444746"/>
          <w:sz w:val="24"/>
          <w:szCs w:val="24"/>
          <w:vertAlign w:val="superscript"/>
        </w:rPr>
        <w:t>11</w:t>
      </w:r>
      <w:r w:rsidRPr="00121F70">
        <w:rPr>
          <w:rFonts w:ascii="Aptos" w:eastAsia="Google Sans" w:hAnsi="Aptos" w:cs="Google Sans"/>
          <w:color w:val="1F1F1F"/>
        </w:rPr>
        <w:t>. La atención domiciliaria no puede plantearse en este territorio como un servicio suntuario o electivo, sino como una modalidad asistencial sustitutiva de la internación hospitalaria tradicional, orientada a resolver las barreras de acceso y garantizar la sostenibilidad técnica de las entidades responsables del aseguramiento</w:t>
      </w:r>
      <w:r w:rsidRPr="00121F70">
        <w:rPr>
          <w:rFonts w:ascii="Aptos" w:eastAsia="Google Sans" w:hAnsi="Aptos" w:cs="Google Sans"/>
          <w:color w:val="444746"/>
          <w:sz w:val="24"/>
          <w:szCs w:val="24"/>
          <w:vertAlign w:val="superscript"/>
        </w:rPr>
        <w:t>13</w:t>
      </w:r>
      <w:r w:rsidRPr="00121F70">
        <w:rPr>
          <w:rFonts w:ascii="Aptos" w:eastAsia="Google Sans" w:hAnsi="Aptos" w:cs="Google Sans"/>
          <w:color w:val="1F1F1F"/>
        </w:rPr>
        <w:t>.</w:t>
      </w:r>
    </w:p>
    <w:p w14:paraId="4895DFBA" w14:textId="77777777" w:rsidR="00A50ABA" w:rsidRDefault="00A50ABA" w:rsidP="00121F70">
      <w:pPr>
        <w:pStyle w:val="Ttulo2"/>
        <w:spacing w:before="0" w:after="0" w:line="275" w:lineRule="auto"/>
        <w:jc w:val="both"/>
        <w:rPr>
          <w:rFonts w:ascii="Aptos" w:eastAsia="Google Sans" w:hAnsi="Aptos" w:cs="Google Sans"/>
          <w:color w:val="1F1F1F"/>
        </w:rPr>
      </w:pPr>
    </w:p>
    <w:p w14:paraId="5EEDE2DA" w14:textId="1F638945" w:rsidR="00082937" w:rsidRPr="00121F70" w:rsidRDefault="00000000" w:rsidP="00121F70">
      <w:pPr>
        <w:pStyle w:val="Ttulo2"/>
        <w:spacing w:before="0" w:after="0" w:line="275" w:lineRule="auto"/>
        <w:jc w:val="both"/>
        <w:rPr>
          <w:rFonts w:ascii="Aptos" w:eastAsia="Google Sans" w:hAnsi="Aptos" w:cs="Google Sans"/>
          <w:color w:val="1F1F1F"/>
        </w:rPr>
      </w:pPr>
      <w:r w:rsidRPr="00121F70">
        <w:rPr>
          <w:rFonts w:ascii="Aptos" w:eastAsia="Google Sans" w:hAnsi="Aptos" w:cs="Google Sans"/>
          <w:color w:val="1F1F1F"/>
        </w:rPr>
        <w:t>Perfil Epidemiológico y Carga de la Enfermedad Crónica</w:t>
      </w:r>
    </w:p>
    <w:p w14:paraId="6724B356"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 xml:space="preserve">El perfil epidemiológico de Sincelejo y del departamento de Sucre refleja una consolidación de las Enfermedades Crónicas No Transmisibles (ECNT) como la </w:t>
      </w:r>
      <w:r w:rsidRPr="008F61F1">
        <w:rPr>
          <w:rFonts w:ascii="Aptos" w:eastAsia="Google Sans" w:hAnsi="Aptos" w:cs="Google Sans"/>
          <w:i/>
          <w:iCs/>
          <w:color w:val="1F1F1F"/>
        </w:rPr>
        <w:t>principal causa de morbilidad</w:t>
      </w:r>
      <w:r w:rsidRPr="00121F70">
        <w:rPr>
          <w:rFonts w:ascii="Aptos" w:eastAsia="Google Sans" w:hAnsi="Aptos" w:cs="Google Sans"/>
          <w:color w:val="1F1F1F"/>
        </w:rPr>
        <w:t>, consulta médica e internación de estancia prolongada, relegando a las patologías infecciosas a un comportamiento endémico estacional</w:t>
      </w:r>
      <w:r w:rsidRPr="00121F70">
        <w:rPr>
          <w:rFonts w:ascii="Aptos" w:eastAsia="Google Sans" w:hAnsi="Aptos" w:cs="Google Sans"/>
          <w:color w:val="444746"/>
          <w:sz w:val="24"/>
          <w:szCs w:val="24"/>
          <w:vertAlign w:val="superscript"/>
        </w:rPr>
        <w:t>15</w:t>
      </w:r>
      <w:r w:rsidRPr="00121F70">
        <w:rPr>
          <w:rFonts w:ascii="Aptos" w:eastAsia="Google Sans" w:hAnsi="Aptos" w:cs="Google Sans"/>
          <w:color w:val="1F1F1F"/>
        </w:rPr>
        <w:t>.</w:t>
      </w:r>
    </w:p>
    <w:p w14:paraId="0600EAE6" w14:textId="77777777" w:rsidR="00082937" w:rsidRPr="00121F70" w:rsidRDefault="00082937" w:rsidP="00121F70">
      <w:pPr>
        <w:pBdr>
          <w:top w:val="nil"/>
          <w:left w:val="nil"/>
          <w:bottom w:val="nil"/>
          <w:right w:val="nil"/>
          <w:between w:val="nil"/>
        </w:pBdr>
        <w:spacing w:line="275" w:lineRule="auto"/>
        <w:jc w:val="both"/>
        <w:rPr>
          <w:rFonts w:ascii="Aptos" w:eastAsia="Google Sans" w:hAnsi="Aptos" w:cs="Google Sans"/>
          <w:color w:val="1F1F1F"/>
        </w:rPr>
      </w:pPr>
    </w:p>
    <w:tbl>
      <w:tblPr>
        <w:tblStyle w:val="a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082937" w:rsidRPr="00A50ABA" w14:paraId="446F7FEE" w14:textId="77777777">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6C40284F" w14:textId="77777777" w:rsidR="00082937" w:rsidRPr="00A50ABA" w:rsidRDefault="00000000" w:rsidP="00825D8C">
            <w:pPr>
              <w:pBdr>
                <w:top w:val="nil"/>
                <w:left w:val="nil"/>
                <w:bottom w:val="nil"/>
                <w:right w:val="nil"/>
                <w:between w:val="nil"/>
              </w:pBdr>
              <w:spacing w:before="120" w:after="120" w:line="275" w:lineRule="auto"/>
              <w:jc w:val="center"/>
              <w:rPr>
                <w:rFonts w:ascii="Aptos" w:eastAsia="Google Sans" w:hAnsi="Aptos" w:cs="Google Sans"/>
                <w:b/>
                <w:bCs/>
                <w:color w:val="1F1F1F"/>
                <w:sz w:val="18"/>
                <w:szCs w:val="18"/>
              </w:rPr>
            </w:pPr>
            <w:r w:rsidRPr="00A50ABA">
              <w:rPr>
                <w:rFonts w:ascii="Aptos" w:eastAsia="Google Sans" w:hAnsi="Aptos" w:cs="Google Sans"/>
                <w:b/>
                <w:bCs/>
                <w:color w:val="1F1F1F"/>
                <w:sz w:val="18"/>
                <w:szCs w:val="18"/>
              </w:rPr>
              <w:lastRenderedPageBreak/>
              <w:t>Grupo Nosológico</w:t>
            </w:r>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45745B9" w14:textId="77777777" w:rsidR="00082937" w:rsidRPr="00A50ABA" w:rsidRDefault="00000000" w:rsidP="00825D8C">
            <w:pPr>
              <w:pBdr>
                <w:top w:val="nil"/>
                <w:left w:val="nil"/>
                <w:bottom w:val="nil"/>
                <w:right w:val="nil"/>
                <w:between w:val="nil"/>
              </w:pBdr>
              <w:spacing w:before="120" w:after="120" w:line="275" w:lineRule="auto"/>
              <w:jc w:val="center"/>
              <w:rPr>
                <w:rFonts w:ascii="Aptos" w:eastAsia="Google Sans" w:hAnsi="Aptos" w:cs="Google Sans"/>
                <w:b/>
                <w:bCs/>
                <w:color w:val="1F1F1F"/>
                <w:sz w:val="18"/>
                <w:szCs w:val="18"/>
              </w:rPr>
            </w:pPr>
            <w:r w:rsidRPr="00A50ABA">
              <w:rPr>
                <w:rFonts w:ascii="Aptos" w:eastAsia="Google Sans" w:hAnsi="Aptos" w:cs="Google Sans"/>
                <w:b/>
                <w:bCs/>
                <w:color w:val="1F1F1F"/>
                <w:sz w:val="18"/>
                <w:szCs w:val="18"/>
              </w:rPr>
              <w:t>Indicador Epidemiológico Local</w:t>
            </w:r>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31AC11E" w14:textId="77777777" w:rsidR="00082937" w:rsidRPr="00A50ABA" w:rsidRDefault="00000000" w:rsidP="00825D8C">
            <w:pPr>
              <w:pBdr>
                <w:top w:val="nil"/>
                <w:left w:val="nil"/>
                <w:bottom w:val="nil"/>
                <w:right w:val="nil"/>
                <w:between w:val="nil"/>
              </w:pBdr>
              <w:spacing w:before="120" w:after="120" w:line="275" w:lineRule="auto"/>
              <w:jc w:val="center"/>
              <w:rPr>
                <w:rFonts w:ascii="Aptos" w:eastAsia="Google Sans" w:hAnsi="Aptos" w:cs="Google Sans"/>
                <w:b/>
                <w:bCs/>
                <w:color w:val="1F1F1F"/>
                <w:sz w:val="18"/>
                <w:szCs w:val="18"/>
              </w:rPr>
            </w:pPr>
            <w:r w:rsidRPr="00A50ABA">
              <w:rPr>
                <w:rFonts w:ascii="Aptos" w:eastAsia="Google Sans" w:hAnsi="Aptos" w:cs="Google Sans"/>
                <w:b/>
                <w:bCs/>
                <w:color w:val="1F1F1F"/>
                <w:sz w:val="18"/>
                <w:szCs w:val="18"/>
              </w:rPr>
              <w:t>Demanda Asistencial Domiciliaria e Institucional</w:t>
            </w:r>
          </w:p>
        </w:tc>
      </w:tr>
      <w:tr w:rsidR="00082937" w:rsidRPr="00A50ABA" w14:paraId="2B44E32F"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8B93BF" w14:textId="77777777" w:rsidR="00082937" w:rsidRPr="00A50ABA" w:rsidRDefault="00000000" w:rsidP="00121F70">
            <w:pPr>
              <w:pBdr>
                <w:top w:val="nil"/>
                <w:left w:val="nil"/>
                <w:bottom w:val="nil"/>
                <w:right w:val="nil"/>
                <w:between w:val="nil"/>
              </w:pBdr>
              <w:spacing w:before="120" w:after="120" w:line="275" w:lineRule="auto"/>
              <w:jc w:val="both"/>
              <w:rPr>
                <w:rFonts w:ascii="Aptos" w:eastAsia="Google Sans" w:hAnsi="Aptos" w:cs="Google Sans"/>
                <w:b/>
                <w:bCs/>
                <w:color w:val="1F1F1F"/>
                <w:sz w:val="18"/>
                <w:szCs w:val="18"/>
              </w:rPr>
            </w:pPr>
            <w:r w:rsidRPr="00A50ABA">
              <w:rPr>
                <w:rFonts w:ascii="Aptos" w:eastAsia="Google Sans" w:hAnsi="Aptos" w:cs="Google Sans"/>
                <w:b/>
                <w:bCs/>
                <w:color w:val="1F1F1F"/>
                <w:sz w:val="18"/>
                <w:szCs w:val="18"/>
              </w:rPr>
              <w:t>Patologías Cardiovasculares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AFC865" w14:textId="77777777" w:rsidR="00082937" w:rsidRPr="00A50ABA"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A50ABA">
              <w:rPr>
                <w:rFonts w:ascii="Aptos" w:eastAsia="Google Sans" w:hAnsi="Aptos" w:cs="Google Sans"/>
                <w:color w:val="1F1F1F"/>
                <w:sz w:val="18"/>
                <w:szCs w:val="18"/>
              </w:rPr>
              <w:t>Causan el 22,76% al 25,0% de las muertes en Sucre; alta incidencia de falla cardíaca e IAM</w:t>
            </w:r>
            <w:r w:rsidRPr="00A50ABA">
              <w:rPr>
                <w:rFonts w:ascii="Aptos" w:eastAsia="Google Sans" w:hAnsi="Aptos" w:cs="Google Sans"/>
                <w:color w:val="444746"/>
                <w:sz w:val="18"/>
                <w:szCs w:val="18"/>
                <w:vertAlign w:val="superscript"/>
              </w:rPr>
              <w:t>16</w:t>
            </w:r>
            <w:r w:rsidRPr="00A50ABA">
              <w:rPr>
                <w:rFonts w:ascii="Aptos" w:eastAsia="Google Sans" w:hAnsi="Aptos" w:cs="Google Sans"/>
                <w:color w:val="1F1F1F"/>
                <w:sz w:val="18"/>
                <w:szCs w:val="18"/>
              </w:rPr>
              <w: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A7CBDE" w14:textId="77777777" w:rsidR="00082937" w:rsidRPr="00A50ABA" w:rsidRDefault="00000000" w:rsidP="00121F70">
            <w:pPr>
              <w:pBdr>
                <w:top w:val="nil"/>
                <w:left w:val="nil"/>
                <w:bottom w:val="nil"/>
                <w:right w:val="nil"/>
                <w:between w:val="nil"/>
              </w:pBdr>
              <w:spacing w:before="120" w:after="120" w:line="275" w:lineRule="auto"/>
              <w:jc w:val="both"/>
              <w:rPr>
                <w:rFonts w:ascii="Aptos" w:eastAsia="Google Sans" w:hAnsi="Aptos" w:cs="Google Sans"/>
                <w:color w:val="1F1F1F"/>
                <w:sz w:val="18"/>
                <w:szCs w:val="18"/>
              </w:rPr>
            </w:pPr>
            <w:r w:rsidRPr="00A50ABA">
              <w:rPr>
                <w:rFonts w:ascii="Aptos" w:eastAsia="Google Sans" w:hAnsi="Aptos" w:cs="Google Sans"/>
                <w:color w:val="1F1F1F"/>
                <w:sz w:val="18"/>
                <w:szCs w:val="18"/>
              </w:rPr>
              <w:t>Monitorización hemodinámica ambulatoria, esquemas de diuréticos endovenosos y titulación farmacológica.</w:t>
            </w:r>
          </w:p>
        </w:tc>
      </w:tr>
      <w:tr w:rsidR="00082937" w:rsidRPr="00A50ABA" w14:paraId="468A5CCB"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CC4C42" w14:textId="77777777" w:rsidR="00082937" w:rsidRPr="00A50ABA" w:rsidRDefault="00000000" w:rsidP="00121F70">
            <w:pPr>
              <w:pBdr>
                <w:top w:val="nil"/>
                <w:left w:val="nil"/>
                <w:bottom w:val="nil"/>
                <w:right w:val="nil"/>
                <w:between w:val="nil"/>
              </w:pBdr>
              <w:spacing w:before="120" w:after="120" w:line="275" w:lineRule="auto"/>
              <w:jc w:val="both"/>
              <w:rPr>
                <w:rFonts w:ascii="Aptos" w:eastAsia="Google Sans" w:hAnsi="Aptos" w:cs="Google Sans"/>
                <w:b/>
                <w:bCs/>
                <w:color w:val="1F1F1F"/>
                <w:sz w:val="18"/>
                <w:szCs w:val="18"/>
              </w:rPr>
            </w:pPr>
            <w:r w:rsidRPr="00A50ABA">
              <w:rPr>
                <w:rFonts w:ascii="Aptos" w:eastAsia="Google Sans" w:hAnsi="Aptos" w:cs="Google Sans"/>
                <w:b/>
                <w:bCs/>
                <w:color w:val="1F1F1F"/>
                <w:sz w:val="18"/>
                <w:szCs w:val="18"/>
              </w:rPr>
              <w:t>Hipertensión y Diabetes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962CB6" w14:textId="77777777" w:rsidR="00082937" w:rsidRPr="00A50ABA"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A50ABA">
              <w:rPr>
                <w:rFonts w:ascii="Aptos" w:eastAsia="Google Sans" w:hAnsi="Aptos" w:cs="Google Sans"/>
                <w:color w:val="1F1F1F"/>
                <w:sz w:val="18"/>
                <w:szCs w:val="18"/>
              </w:rPr>
              <w:t>Comorbilidad con sobrepeso (&gt;78% en grupos de riesgo). La HTA multiplica por 9 el riesgo de DM</w:t>
            </w:r>
            <w:r w:rsidRPr="00A50ABA">
              <w:rPr>
                <w:rFonts w:ascii="Aptos" w:eastAsia="Google Sans" w:hAnsi="Aptos" w:cs="Google Sans"/>
                <w:color w:val="444746"/>
                <w:sz w:val="18"/>
                <w:szCs w:val="18"/>
                <w:vertAlign w:val="superscript"/>
              </w:rPr>
              <w:t>18</w:t>
            </w:r>
            <w:r w:rsidRPr="00A50ABA">
              <w:rPr>
                <w:rFonts w:ascii="Aptos" w:eastAsia="Google Sans" w:hAnsi="Aptos" w:cs="Google Sans"/>
                <w:color w:val="1F1F1F"/>
                <w:sz w:val="18"/>
                <w:szCs w:val="18"/>
              </w:rPr>
              <w: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3E0673" w14:textId="77777777" w:rsidR="00082937" w:rsidRPr="00A50ABA"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A50ABA">
              <w:rPr>
                <w:rFonts w:ascii="Aptos" w:eastAsia="Google Sans" w:hAnsi="Aptos" w:cs="Google Sans"/>
                <w:color w:val="1F1F1F"/>
                <w:sz w:val="18"/>
                <w:szCs w:val="18"/>
              </w:rPr>
              <w:t>Manejo interdisciplinario, clínica de heridas para lesiones tróficas/pie diabético y educación nutricional</w:t>
            </w:r>
            <w:r w:rsidRPr="00A50ABA">
              <w:rPr>
                <w:rFonts w:ascii="Aptos" w:eastAsia="Google Sans" w:hAnsi="Aptos" w:cs="Google Sans"/>
                <w:color w:val="444746"/>
                <w:sz w:val="18"/>
                <w:szCs w:val="18"/>
                <w:vertAlign w:val="superscript"/>
              </w:rPr>
              <w:t>19</w:t>
            </w:r>
            <w:r w:rsidRPr="00A50ABA">
              <w:rPr>
                <w:rFonts w:ascii="Aptos" w:eastAsia="Google Sans" w:hAnsi="Aptos" w:cs="Google Sans"/>
                <w:color w:val="1F1F1F"/>
                <w:sz w:val="18"/>
                <w:szCs w:val="18"/>
              </w:rPr>
              <w:t>.</w:t>
            </w:r>
          </w:p>
        </w:tc>
      </w:tr>
      <w:tr w:rsidR="00082937" w:rsidRPr="00A50ABA" w14:paraId="1E44C0AD"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16AA9E" w14:textId="77777777" w:rsidR="00082937" w:rsidRPr="00A50ABA" w:rsidRDefault="00000000" w:rsidP="00121F70">
            <w:pPr>
              <w:pBdr>
                <w:top w:val="nil"/>
                <w:left w:val="nil"/>
                <w:bottom w:val="nil"/>
                <w:right w:val="nil"/>
                <w:between w:val="nil"/>
              </w:pBdr>
              <w:spacing w:before="120" w:after="120" w:line="275" w:lineRule="auto"/>
              <w:jc w:val="both"/>
              <w:rPr>
                <w:rFonts w:ascii="Aptos" w:eastAsia="Google Sans" w:hAnsi="Aptos" w:cs="Google Sans"/>
                <w:b/>
                <w:bCs/>
                <w:color w:val="1F1F1F"/>
                <w:sz w:val="18"/>
                <w:szCs w:val="18"/>
              </w:rPr>
            </w:pPr>
            <w:r w:rsidRPr="00A50ABA">
              <w:rPr>
                <w:rFonts w:ascii="Aptos" w:eastAsia="Google Sans" w:hAnsi="Aptos" w:cs="Google Sans"/>
                <w:b/>
                <w:bCs/>
                <w:color w:val="1F1F1F"/>
                <w:sz w:val="18"/>
                <w:szCs w:val="18"/>
              </w:rPr>
              <w:t>Enfermedades Respiratorias (EPOC)</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9C4532" w14:textId="77777777" w:rsidR="00082937" w:rsidRPr="00A50ABA"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A50ABA">
              <w:rPr>
                <w:rFonts w:ascii="Aptos" w:eastAsia="Google Sans" w:hAnsi="Aptos" w:cs="Google Sans"/>
                <w:color w:val="1F1F1F"/>
                <w:sz w:val="18"/>
                <w:szCs w:val="18"/>
              </w:rPr>
              <w:t>Alta prevalencia por tabaquismo y exposición doméstica a humo de leña en áreas periurbanas</w:t>
            </w:r>
            <w:r w:rsidRPr="00A50ABA">
              <w:rPr>
                <w:rFonts w:ascii="Aptos" w:eastAsia="Google Sans" w:hAnsi="Aptos" w:cs="Google Sans"/>
                <w:color w:val="444746"/>
                <w:sz w:val="18"/>
                <w:szCs w:val="18"/>
                <w:vertAlign w:val="superscript"/>
              </w:rPr>
              <w:t>19</w:t>
            </w:r>
            <w:r w:rsidRPr="00A50ABA">
              <w:rPr>
                <w:rFonts w:ascii="Aptos" w:eastAsia="Google Sans" w:hAnsi="Aptos" w:cs="Google Sans"/>
                <w:color w:val="1F1F1F"/>
                <w:sz w:val="18"/>
                <w:szCs w:val="18"/>
              </w:rPr>
              <w: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1741D1" w14:textId="77777777" w:rsidR="00082937" w:rsidRPr="00A50ABA"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A50ABA">
              <w:rPr>
                <w:rFonts w:ascii="Aptos" w:eastAsia="Google Sans" w:hAnsi="Aptos" w:cs="Google Sans"/>
                <w:color w:val="1F1F1F"/>
                <w:sz w:val="18"/>
                <w:szCs w:val="18"/>
              </w:rPr>
              <w:t>Oxigenoterapia domiciliaria, nebulizaciones, terapia respiratoria y ventilación mecánica en casa</w:t>
            </w:r>
            <w:r w:rsidRPr="00A50ABA">
              <w:rPr>
                <w:rFonts w:ascii="Aptos" w:eastAsia="Google Sans" w:hAnsi="Aptos" w:cs="Google Sans"/>
                <w:color w:val="444746"/>
                <w:sz w:val="18"/>
                <w:szCs w:val="18"/>
                <w:vertAlign w:val="superscript"/>
              </w:rPr>
              <w:t>19</w:t>
            </w:r>
            <w:r w:rsidRPr="00A50ABA">
              <w:rPr>
                <w:rFonts w:ascii="Aptos" w:eastAsia="Google Sans" w:hAnsi="Aptos" w:cs="Google Sans"/>
                <w:color w:val="1F1F1F"/>
                <w:sz w:val="18"/>
                <w:szCs w:val="18"/>
              </w:rPr>
              <w:t>.</w:t>
            </w:r>
          </w:p>
        </w:tc>
      </w:tr>
      <w:tr w:rsidR="00082937" w:rsidRPr="00A50ABA" w14:paraId="11E836DD"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A066D7" w14:textId="77777777" w:rsidR="00082937" w:rsidRPr="00A50ABA" w:rsidRDefault="00000000" w:rsidP="00121F70">
            <w:pPr>
              <w:pBdr>
                <w:top w:val="nil"/>
                <w:left w:val="nil"/>
                <w:bottom w:val="nil"/>
                <w:right w:val="nil"/>
                <w:between w:val="nil"/>
              </w:pBdr>
              <w:spacing w:before="120" w:after="120" w:line="275" w:lineRule="auto"/>
              <w:jc w:val="both"/>
              <w:rPr>
                <w:rFonts w:ascii="Aptos" w:eastAsia="Google Sans" w:hAnsi="Aptos" w:cs="Google Sans"/>
                <w:b/>
                <w:bCs/>
                <w:color w:val="1F1F1F"/>
                <w:sz w:val="18"/>
                <w:szCs w:val="18"/>
              </w:rPr>
            </w:pPr>
            <w:r w:rsidRPr="00A50ABA">
              <w:rPr>
                <w:rFonts w:ascii="Aptos" w:eastAsia="Google Sans" w:hAnsi="Aptos" w:cs="Google Sans"/>
                <w:b/>
                <w:bCs/>
                <w:color w:val="1F1F1F"/>
                <w:sz w:val="18"/>
                <w:szCs w:val="18"/>
              </w:rPr>
              <w:t>Neoplasias Malignas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963692" w14:textId="77777777" w:rsidR="00082937" w:rsidRPr="00A50ABA"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A50ABA">
              <w:rPr>
                <w:rFonts w:ascii="Aptos" w:eastAsia="Google Sans" w:hAnsi="Aptos" w:cs="Google Sans"/>
                <w:color w:val="1F1F1F"/>
                <w:sz w:val="18"/>
                <w:szCs w:val="18"/>
              </w:rPr>
              <w:t>Segunda causa de muerte departamental (~13,5%), liderada por cáncer de cuello uterino, próstata y mama</w:t>
            </w:r>
            <w:r w:rsidRPr="00A50ABA">
              <w:rPr>
                <w:rFonts w:ascii="Aptos" w:eastAsia="Google Sans" w:hAnsi="Aptos" w:cs="Google Sans"/>
                <w:color w:val="444746"/>
                <w:sz w:val="18"/>
                <w:szCs w:val="18"/>
                <w:vertAlign w:val="superscript"/>
              </w:rPr>
              <w:t>16</w:t>
            </w:r>
            <w:r w:rsidRPr="00A50ABA">
              <w:rPr>
                <w:rFonts w:ascii="Aptos" w:eastAsia="Google Sans" w:hAnsi="Aptos" w:cs="Google Sans"/>
                <w:color w:val="1F1F1F"/>
                <w:sz w:val="18"/>
                <w:szCs w:val="18"/>
              </w:rPr>
              <w: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B87187" w14:textId="77777777" w:rsidR="00082937" w:rsidRPr="00A50ABA"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A50ABA">
              <w:rPr>
                <w:rFonts w:ascii="Aptos" w:eastAsia="Google Sans" w:hAnsi="Aptos" w:cs="Google Sans"/>
                <w:color w:val="1F1F1F"/>
                <w:sz w:val="18"/>
                <w:szCs w:val="18"/>
              </w:rPr>
              <w:t>Cuidados paliativos continuos, manejo multimodal del dolor y acompañamiento del duelo</w:t>
            </w:r>
            <w:r w:rsidRPr="00A50ABA">
              <w:rPr>
                <w:rFonts w:ascii="Aptos" w:eastAsia="Google Sans" w:hAnsi="Aptos" w:cs="Google Sans"/>
                <w:color w:val="444746"/>
                <w:sz w:val="18"/>
                <w:szCs w:val="18"/>
                <w:vertAlign w:val="superscript"/>
              </w:rPr>
              <w:t>20</w:t>
            </w:r>
            <w:r w:rsidRPr="00A50ABA">
              <w:rPr>
                <w:rFonts w:ascii="Aptos" w:eastAsia="Google Sans" w:hAnsi="Aptos" w:cs="Google Sans"/>
                <w:color w:val="1F1F1F"/>
                <w:sz w:val="18"/>
                <w:szCs w:val="18"/>
              </w:rPr>
              <w:t>.</w:t>
            </w:r>
          </w:p>
        </w:tc>
      </w:tr>
      <w:tr w:rsidR="00082937" w:rsidRPr="00A50ABA" w14:paraId="44F1C5B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8D88A4" w14:textId="77777777" w:rsidR="00082937" w:rsidRPr="00A50ABA" w:rsidRDefault="00000000" w:rsidP="00121F70">
            <w:pPr>
              <w:pBdr>
                <w:top w:val="nil"/>
                <w:left w:val="nil"/>
                <w:bottom w:val="nil"/>
                <w:right w:val="nil"/>
                <w:between w:val="nil"/>
              </w:pBdr>
              <w:spacing w:before="120" w:after="120" w:line="275" w:lineRule="auto"/>
              <w:jc w:val="both"/>
              <w:rPr>
                <w:rFonts w:ascii="Aptos" w:eastAsia="Google Sans" w:hAnsi="Aptos" w:cs="Google Sans"/>
                <w:b/>
                <w:bCs/>
                <w:color w:val="1F1F1F"/>
                <w:sz w:val="18"/>
                <w:szCs w:val="18"/>
              </w:rPr>
            </w:pPr>
            <w:r w:rsidRPr="00A50ABA">
              <w:rPr>
                <w:rFonts w:ascii="Aptos" w:eastAsia="Google Sans" w:hAnsi="Aptos" w:cs="Google Sans"/>
                <w:b/>
                <w:bCs/>
                <w:color w:val="1F1F1F"/>
                <w:sz w:val="18"/>
                <w:szCs w:val="18"/>
              </w:rPr>
              <w:t>Secuelas Neurológicas y Úlceras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BFB294" w14:textId="77777777" w:rsidR="00082937" w:rsidRPr="00A50ABA"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A50ABA">
              <w:rPr>
                <w:rFonts w:ascii="Aptos" w:eastAsia="Google Sans" w:hAnsi="Aptos" w:cs="Google Sans"/>
                <w:color w:val="1F1F1F"/>
                <w:sz w:val="18"/>
                <w:szCs w:val="18"/>
              </w:rPr>
              <w:t>Discapacidad motora secundaria a eventos cerebrovasculares (ACV) y traumatismos</w:t>
            </w:r>
            <w:r w:rsidRPr="00A50ABA">
              <w:rPr>
                <w:rFonts w:ascii="Aptos" w:eastAsia="Google Sans" w:hAnsi="Aptos" w:cs="Google Sans"/>
                <w:color w:val="444746"/>
                <w:sz w:val="18"/>
                <w:szCs w:val="18"/>
                <w:vertAlign w:val="superscript"/>
              </w:rPr>
              <w:t>1</w:t>
            </w:r>
            <w:r w:rsidRPr="00A50ABA">
              <w:rPr>
                <w:rFonts w:ascii="Aptos" w:eastAsia="Google Sans" w:hAnsi="Aptos" w:cs="Google Sans"/>
                <w:color w:val="1F1F1F"/>
                <w:sz w:val="18"/>
                <w:szCs w:val="18"/>
              </w:rPr>
              <w: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3297AF" w14:textId="77777777" w:rsidR="00082937" w:rsidRPr="00A50ABA"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A50ABA">
              <w:rPr>
                <w:rFonts w:ascii="Aptos" w:eastAsia="Google Sans" w:hAnsi="Aptos" w:cs="Google Sans"/>
                <w:color w:val="1F1F1F"/>
                <w:sz w:val="18"/>
                <w:szCs w:val="18"/>
              </w:rPr>
              <w:t>Terapia física, fonoaudiología, nutrición enteral/parenteral y curación avanzada de escaras</w:t>
            </w:r>
            <w:r w:rsidRPr="00A50ABA">
              <w:rPr>
                <w:rFonts w:ascii="Aptos" w:eastAsia="Google Sans" w:hAnsi="Aptos" w:cs="Google Sans"/>
                <w:color w:val="444746"/>
                <w:sz w:val="18"/>
                <w:szCs w:val="18"/>
                <w:vertAlign w:val="superscript"/>
              </w:rPr>
              <w:t>19</w:t>
            </w:r>
            <w:r w:rsidRPr="00A50ABA">
              <w:rPr>
                <w:rFonts w:ascii="Aptos" w:eastAsia="Google Sans" w:hAnsi="Aptos" w:cs="Google Sans"/>
                <w:color w:val="1F1F1F"/>
                <w:sz w:val="18"/>
                <w:szCs w:val="18"/>
              </w:rPr>
              <w:t>.</w:t>
            </w:r>
          </w:p>
        </w:tc>
      </w:tr>
    </w:tbl>
    <w:p w14:paraId="3D59370A" w14:textId="77777777" w:rsidR="00A50ABA" w:rsidRDefault="00A50ABA" w:rsidP="00121F70">
      <w:pPr>
        <w:pBdr>
          <w:top w:val="nil"/>
          <w:left w:val="nil"/>
          <w:bottom w:val="nil"/>
          <w:right w:val="nil"/>
          <w:between w:val="nil"/>
        </w:pBdr>
        <w:spacing w:line="275" w:lineRule="auto"/>
        <w:jc w:val="both"/>
        <w:rPr>
          <w:rFonts w:ascii="Aptos" w:eastAsia="Google Sans" w:hAnsi="Aptos" w:cs="Google Sans"/>
          <w:color w:val="1F1F1F"/>
        </w:rPr>
      </w:pPr>
    </w:p>
    <w:p w14:paraId="0A3B5068" w14:textId="325D38CF"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El daño a órgano blanco originado por el control deficiente de la hipertensión y la diabetes representa uno de los mayores impulsores de costos hospitalarios en el sistema local</w:t>
      </w:r>
      <w:r w:rsidRPr="00121F70">
        <w:rPr>
          <w:rFonts w:ascii="Aptos" w:eastAsia="Google Sans" w:hAnsi="Aptos" w:cs="Google Sans"/>
          <w:color w:val="444746"/>
          <w:sz w:val="24"/>
          <w:szCs w:val="24"/>
          <w:vertAlign w:val="superscript"/>
        </w:rPr>
        <w:t>18</w:t>
      </w:r>
      <w:r w:rsidRPr="00121F70">
        <w:rPr>
          <w:rFonts w:ascii="Aptos" w:eastAsia="Google Sans" w:hAnsi="Aptos" w:cs="Google Sans"/>
          <w:color w:val="1F1F1F"/>
        </w:rPr>
        <w:t>. Los pacientes con retinopatía, nefropatía diabética, cardiopatía isquémica y enfermedad arterial periférica experimentan frecuentes descompensaciones que saturan las salas de urgencias y las camas de hospitalización de segundo y tercer nivel en Sincelejo</w:t>
      </w:r>
      <w:r w:rsidRPr="00121F70">
        <w:rPr>
          <w:rFonts w:ascii="Aptos" w:eastAsia="Google Sans" w:hAnsi="Aptos" w:cs="Google Sans"/>
          <w:color w:val="444746"/>
          <w:sz w:val="24"/>
          <w:szCs w:val="24"/>
          <w:vertAlign w:val="superscript"/>
        </w:rPr>
        <w:t>18</w:t>
      </w:r>
      <w:r w:rsidRPr="00121F70">
        <w:rPr>
          <w:rFonts w:ascii="Aptos" w:eastAsia="Google Sans" w:hAnsi="Aptos" w:cs="Google Sans"/>
          <w:color w:val="1F1F1F"/>
        </w:rPr>
        <w:t>.</w:t>
      </w:r>
    </w:p>
    <w:p w14:paraId="20886579"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La estancia prolongada de estos pacientes crónicos en instituciones agudas no solo eleva exponencialmente el riesgo de infecciones asociadas a la atención en salud (IAAS), sino que además agrava el desacondicionamiento físico del paciente geriátrico</w:t>
      </w:r>
      <w:r w:rsidRPr="00121F70">
        <w:rPr>
          <w:rFonts w:ascii="Aptos" w:eastAsia="Google Sans" w:hAnsi="Aptos" w:cs="Google Sans"/>
          <w:color w:val="444746"/>
          <w:sz w:val="24"/>
          <w:szCs w:val="24"/>
          <w:vertAlign w:val="superscript"/>
        </w:rPr>
        <w:t>19</w:t>
      </w:r>
      <w:r w:rsidRPr="00121F70">
        <w:rPr>
          <w:rFonts w:ascii="Aptos" w:eastAsia="Google Sans" w:hAnsi="Aptos" w:cs="Google Sans"/>
          <w:color w:val="1F1F1F"/>
        </w:rPr>
        <w:t>.</w:t>
      </w:r>
    </w:p>
    <w:p w14:paraId="2BA99592"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 xml:space="preserve">Por su parte, el diagnóstico oncológico tardío en Sucre conduce a que una fracción considerable de pacientes ingrese a fases avanzadas o terminales sin posibilidades de curación, creando una </w:t>
      </w:r>
      <w:r w:rsidRPr="000243E4">
        <w:rPr>
          <w:rFonts w:ascii="Aptos" w:eastAsia="Google Sans" w:hAnsi="Aptos" w:cs="Google Sans"/>
          <w:i/>
          <w:iCs/>
          <w:color w:val="1F1F1F"/>
        </w:rPr>
        <w:t>necesidad insatisfecha de cuidados paliativos</w:t>
      </w:r>
      <w:r w:rsidRPr="00121F70">
        <w:rPr>
          <w:rFonts w:ascii="Aptos" w:eastAsia="Google Sans" w:hAnsi="Aptos" w:cs="Google Sans"/>
          <w:color w:val="1F1F1F"/>
        </w:rPr>
        <w:t xml:space="preserve"> que eviten la futilidad terapéutica y dignifiquen los últimos momentos de la vida</w:t>
      </w:r>
      <w:r w:rsidRPr="00121F70">
        <w:rPr>
          <w:rFonts w:ascii="Aptos" w:eastAsia="Google Sans" w:hAnsi="Aptos" w:cs="Google Sans"/>
          <w:color w:val="444746"/>
          <w:sz w:val="24"/>
          <w:szCs w:val="24"/>
          <w:vertAlign w:val="superscript"/>
        </w:rPr>
        <w:t>20</w:t>
      </w:r>
      <w:r w:rsidRPr="00121F70">
        <w:rPr>
          <w:rFonts w:ascii="Aptos" w:eastAsia="Google Sans" w:hAnsi="Aptos" w:cs="Google Sans"/>
          <w:color w:val="1F1F1F"/>
        </w:rPr>
        <w:t>.</w:t>
      </w:r>
    </w:p>
    <w:p w14:paraId="57F49DF6" w14:textId="77777777" w:rsidR="00FC5778" w:rsidRDefault="00FC5778" w:rsidP="00121F70">
      <w:pPr>
        <w:pStyle w:val="Ttulo2"/>
        <w:spacing w:before="0" w:after="0" w:line="275" w:lineRule="auto"/>
        <w:jc w:val="both"/>
        <w:rPr>
          <w:rFonts w:ascii="Aptos" w:eastAsia="Google Sans" w:hAnsi="Aptos" w:cs="Google Sans"/>
          <w:color w:val="1F1F1F"/>
        </w:rPr>
      </w:pPr>
    </w:p>
    <w:p w14:paraId="23DBC7E0" w14:textId="4CE3BDC9" w:rsidR="00082937" w:rsidRPr="00121F70" w:rsidRDefault="00000000" w:rsidP="00121F70">
      <w:pPr>
        <w:pStyle w:val="Ttulo2"/>
        <w:spacing w:before="0" w:after="0" w:line="275" w:lineRule="auto"/>
        <w:jc w:val="both"/>
        <w:rPr>
          <w:rFonts w:ascii="Aptos" w:eastAsia="Google Sans" w:hAnsi="Aptos" w:cs="Google Sans"/>
          <w:color w:val="1F1F1F"/>
        </w:rPr>
      </w:pPr>
      <w:r w:rsidRPr="00121F70">
        <w:rPr>
          <w:rFonts w:ascii="Aptos" w:eastAsia="Google Sans" w:hAnsi="Aptos" w:cs="Google Sans"/>
          <w:color w:val="1F1F1F"/>
        </w:rPr>
        <w:t>Ecosistema Asegurador, Modelos de Contratación y Flujo de Recursos</w:t>
      </w:r>
    </w:p>
    <w:p w14:paraId="418F9AF1"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 xml:space="preserve">El mercado de aseguramiento en Sincelejo se articula alrededor de un esquema de compra </w:t>
      </w:r>
      <w:proofErr w:type="spellStart"/>
      <w:r w:rsidRPr="00121F70">
        <w:rPr>
          <w:rFonts w:ascii="Aptos" w:eastAsia="Google Sans" w:hAnsi="Aptos" w:cs="Google Sans"/>
          <w:color w:val="1F1F1F"/>
        </w:rPr>
        <w:lastRenderedPageBreak/>
        <w:t>monopsónica</w:t>
      </w:r>
      <w:proofErr w:type="spellEnd"/>
      <w:r w:rsidRPr="00121F70">
        <w:rPr>
          <w:rFonts w:ascii="Aptos" w:eastAsia="Google Sans" w:hAnsi="Aptos" w:cs="Google Sans"/>
          <w:color w:val="1F1F1F"/>
        </w:rPr>
        <w:t xml:space="preserve"> en el que pocas Entidades Promotoras de Salud (EPS) concentran la gran mayoría de la población afiliada</w:t>
      </w:r>
      <w:r w:rsidRPr="00121F70">
        <w:rPr>
          <w:rFonts w:ascii="Aptos" w:eastAsia="Google Sans" w:hAnsi="Aptos" w:cs="Google Sans"/>
          <w:color w:val="444746"/>
          <w:sz w:val="24"/>
          <w:szCs w:val="24"/>
          <w:vertAlign w:val="superscript"/>
        </w:rPr>
        <w:t>5</w:t>
      </w:r>
      <w:r w:rsidRPr="00121F70">
        <w:rPr>
          <w:rFonts w:ascii="Aptos" w:eastAsia="Google Sans" w:hAnsi="Aptos" w:cs="Google Sans"/>
          <w:color w:val="1F1F1F"/>
        </w:rPr>
        <w:t>. Comprender las dinámicas de estas entidades resulta decisivo para la estabilidad contractual de Optimus Health.</w:t>
      </w:r>
    </w:p>
    <w:p w14:paraId="3D37DCBA"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Mutual Ser EPS ejerce un liderazgo territorial histórico en Sucre y en la Costa Caribe, cimentado en una sólida red del régimen subsidiado y una penetración continua en movilidad al régimen contributivo</w:t>
      </w:r>
      <w:r w:rsidRPr="00121F70">
        <w:rPr>
          <w:rFonts w:ascii="Aptos" w:eastAsia="Google Sans" w:hAnsi="Aptos" w:cs="Google Sans"/>
          <w:color w:val="444746"/>
          <w:sz w:val="24"/>
          <w:szCs w:val="24"/>
          <w:vertAlign w:val="superscript"/>
        </w:rPr>
        <w:t>27</w:t>
      </w:r>
      <w:r w:rsidRPr="00121F70">
        <w:rPr>
          <w:rFonts w:ascii="Aptos" w:eastAsia="Google Sans" w:hAnsi="Aptos" w:cs="Google Sans"/>
          <w:color w:val="1F1F1F"/>
        </w:rPr>
        <w:t>. Su operación se distingue por modelos de auditoría concurrente y un enfoque preventivo que premia a las IPS capaces de gestionar el riesgo integral de cohortes con diabetes, hipertensión y cáncer</w:t>
      </w:r>
      <w:r w:rsidRPr="00121F70">
        <w:rPr>
          <w:rFonts w:ascii="Aptos" w:eastAsia="Google Sans" w:hAnsi="Aptos" w:cs="Google Sans"/>
          <w:color w:val="444746"/>
          <w:sz w:val="24"/>
          <w:szCs w:val="24"/>
          <w:vertAlign w:val="superscript"/>
        </w:rPr>
        <w:t>28</w:t>
      </w:r>
      <w:r w:rsidRPr="00121F70">
        <w:rPr>
          <w:rFonts w:ascii="Aptos" w:eastAsia="Google Sans" w:hAnsi="Aptos" w:cs="Google Sans"/>
          <w:color w:val="1F1F1F"/>
        </w:rPr>
        <w:t>.</w:t>
      </w:r>
    </w:p>
    <w:p w14:paraId="231BA8DC"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Nueva EPS representa el mayor asegurador por población asignada, tras haber absorbido de forma masiva afiliados procedentes de múltiples EPS liquidadas en el departamento</w:t>
      </w:r>
      <w:r w:rsidRPr="00121F70">
        <w:rPr>
          <w:rFonts w:ascii="Aptos" w:eastAsia="Google Sans" w:hAnsi="Aptos" w:cs="Google Sans"/>
          <w:color w:val="444746"/>
          <w:sz w:val="24"/>
          <w:szCs w:val="24"/>
          <w:vertAlign w:val="superscript"/>
        </w:rPr>
        <w:t>5</w:t>
      </w:r>
      <w:r w:rsidRPr="00121F70">
        <w:rPr>
          <w:rFonts w:ascii="Aptos" w:eastAsia="Google Sans" w:hAnsi="Aptos" w:cs="Google Sans"/>
          <w:color w:val="1F1F1F"/>
        </w:rPr>
        <w:t>. Su situación de intervención administrativa forzosa por parte de la Superintendencia Nacional de Salud imprime una dinámica particular a sus procesos administrativos, tornando indispensables los acuerdos que operen con flujos de giro directo para mitigar demoras en las conciliaciones de cartera</w:t>
      </w:r>
      <w:r w:rsidRPr="00121F70">
        <w:rPr>
          <w:rFonts w:ascii="Aptos" w:eastAsia="Google Sans" w:hAnsi="Aptos" w:cs="Google Sans"/>
          <w:color w:val="444746"/>
          <w:sz w:val="24"/>
          <w:szCs w:val="24"/>
          <w:vertAlign w:val="superscript"/>
        </w:rPr>
        <w:t>30</w:t>
      </w:r>
      <w:r w:rsidRPr="00121F70">
        <w:rPr>
          <w:rFonts w:ascii="Aptos" w:eastAsia="Google Sans" w:hAnsi="Aptos" w:cs="Google Sans"/>
          <w:color w:val="1F1F1F"/>
        </w:rPr>
        <w:t>.</w:t>
      </w:r>
    </w:p>
    <w:p w14:paraId="7729B8DD"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Coosalud EPS preserva una participación sustancial en la región, operando cohortes específicas para patologías crónicas de alto costo y promoviendo la contención del gasto hospitalario a través de prestadores extramurales</w:t>
      </w:r>
      <w:r w:rsidRPr="00121F70">
        <w:rPr>
          <w:rFonts w:ascii="Aptos" w:eastAsia="Google Sans" w:hAnsi="Aptos" w:cs="Google Sans"/>
          <w:color w:val="444746"/>
          <w:sz w:val="24"/>
          <w:szCs w:val="24"/>
          <w:vertAlign w:val="superscript"/>
        </w:rPr>
        <w:t>5</w:t>
      </w:r>
      <w:r w:rsidRPr="00121F70">
        <w:rPr>
          <w:rFonts w:ascii="Aptos" w:eastAsia="Google Sans" w:hAnsi="Aptos" w:cs="Google Sans"/>
          <w:color w:val="1F1F1F"/>
        </w:rPr>
        <w:t>. EPS Familiar de Colombia atiende sectores de alta vulnerabilidad en el territorio departamental, mientras que el Fondo de Prestaciones Sociales del Magisterio (FOMAG) constituye un régimen especial de alto valor estratégico</w:t>
      </w:r>
      <w:r w:rsidRPr="00121F70">
        <w:rPr>
          <w:rFonts w:ascii="Aptos" w:eastAsia="Google Sans" w:hAnsi="Aptos" w:cs="Google Sans"/>
          <w:color w:val="444746"/>
          <w:sz w:val="24"/>
          <w:szCs w:val="24"/>
          <w:vertAlign w:val="superscript"/>
        </w:rPr>
        <w:t>32</w:t>
      </w:r>
      <w:r w:rsidRPr="00121F70">
        <w:rPr>
          <w:rFonts w:ascii="Aptos" w:eastAsia="Google Sans" w:hAnsi="Aptos" w:cs="Google Sans"/>
          <w:color w:val="1F1F1F"/>
        </w:rPr>
        <w:t>. El FOMAG cubre al cuerpo docente y sus beneficiarios en Sucre, un segmento demográfico que exhibe un promedio de edad avanzado y una alta concentración de comorbilidades crónicas</w:t>
      </w:r>
      <w:r w:rsidRPr="00121F70">
        <w:rPr>
          <w:rFonts w:ascii="Aptos" w:eastAsia="Google Sans" w:hAnsi="Aptos" w:cs="Google Sans"/>
          <w:color w:val="444746"/>
          <w:sz w:val="24"/>
          <w:szCs w:val="24"/>
          <w:vertAlign w:val="superscript"/>
        </w:rPr>
        <w:t>33</w:t>
      </w:r>
      <w:r w:rsidRPr="00121F70">
        <w:rPr>
          <w:rFonts w:ascii="Aptos" w:eastAsia="Google Sans" w:hAnsi="Aptos" w:cs="Google Sans"/>
          <w:color w:val="1F1F1F"/>
        </w:rPr>
        <w:t>. La reorganización de la red de prestación de este fondo demanda instituciones locales con capacidad de garantizar atención médica, farmacéutica y terapéutica directamente en el domicilio</w:t>
      </w:r>
      <w:r w:rsidRPr="00121F70">
        <w:rPr>
          <w:rFonts w:ascii="Aptos" w:eastAsia="Google Sans" w:hAnsi="Aptos" w:cs="Google Sans"/>
          <w:color w:val="444746"/>
          <w:sz w:val="24"/>
          <w:szCs w:val="24"/>
          <w:vertAlign w:val="superscript"/>
        </w:rPr>
        <w:t>20</w:t>
      </w:r>
      <w:r w:rsidRPr="00121F70">
        <w:rPr>
          <w:rFonts w:ascii="Aptos" w:eastAsia="Google Sans" w:hAnsi="Aptos" w:cs="Google Sans"/>
          <w:color w:val="1F1F1F"/>
        </w:rPr>
        <w:t>.</w:t>
      </w:r>
    </w:p>
    <w:p w14:paraId="16A5F84A"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La estructuración de los acuerdos de voluntades entre las EPS y las IPS se rige por el Decreto 441 de 2022, disposición que transformó la relación contractual en el SGSSS al exigir el desmonte de esquemas de pago por evento atomizados para el manejo de condiciones crónicas</w:t>
      </w:r>
      <w:r w:rsidRPr="00121F70">
        <w:rPr>
          <w:rFonts w:ascii="Aptos" w:eastAsia="Google Sans" w:hAnsi="Aptos" w:cs="Google Sans"/>
          <w:color w:val="444746"/>
          <w:sz w:val="24"/>
          <w:szCs w:val="24"/>
          <w:vertAlign w:val="superscript"/>
        </w:rPr>
        <w:t>30</w:t>
      </w:r>
      <w:r w:rsidRPr="00121F70">
        <w:rPr>
          <w:rFonts w:ascii="Aptos" w:eastAsia="Google Sans" w:hAnsi="Aptos" w:cs="Google Sans"/>
          <w:color w:val="1F1F1F"/>
        </w:rPr>
        <w:t>. El decreto privilegia mecanismos de asignación prospectiva como el Pago Global Prospectivo (PGP), los acuerdos por conjunto integral de atenciones (paquetes o canastas) y los esquemas capitados con transferencia de riesgo técnico</w:t>
      </w:r>
      <w:r w:rsidRPr="00121F70">
        <w:rPr>
          <w:rFonts w:ascii="Aptos" w:eastAsia="Google Sans" w:hAnsi="Aptos" w:cs="Google Sans"/>
          <w:color w:val="444746"/>
          <w:sz w:val="24"/>
          <w:szCs w:val="24"/>
          <w:vertAlign w:val="superscript"/>
        </w:rPr>
        <w:t>34</w:t>
      </w:r>
      <w:r w:rsidRPr="00121F70">
        <w:rPr>
          <w:rFonts w:ascii="Aptos" w:eastAsia="Google Sans" w:hAnsi="Aptos" w:cs="Google Sans"/>
          <w:color w:val="1F1F1F"/>
        </w:rPr>
        <w:t>. Para una institución como Optimus Health, esto exige el sustento analítico riguroso de notas técnicas que relacionen la frecuencia de uso proyectada, el costo medio poblacional y el cumplimiento estricto de indicadores de calidad y resultado en salud</w:t>
      </w:r>
      <w:r w:rsidRPr="00121F70">
        <w:rPr>
          <w:rFonts w:ascii="Aptos" w:eastAsia="Google Sans" w:hAnsi="Aptos" w:cs="Google Sans"/>
          <w:color w:val="444746"/>
          <w:sz w:val="24"/>
          <w:szCs w:val="24"/>
          <w:vertAlign w:val="superscript"/>
        </w:rPr>
        <w:t>34</w:t>
      </w:r>
      <w:r w:rsidRPr="00121F70">
        <w:rPr>
          <w:rFonts w:ascii="Aptos" w:eastAsia="Google Sans" w:hAnsi="Aptos" w:cs="Google Sans"/>
          <w:color w:val="1F1F1F"/>
        </w:rPr>
        <w:t>.</w:t>
      </w:r>
    </w:p>
    <w:p w14:paraId="7832E80D"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La liquidez de la operación asistencial se encuentra salvaguardada por la aplicación del Decreto 489 de 2024 y la Resolución 1809 de 2024, normas que estandarizaron el giro directo obligatorio de los recursos de la Unidad de Pago por Capitación (UPC) y de los presupuestos máximos desde la Administradora de los Recursos del Sistema General de Seguridad Social en Salud (ADRES) hacia los prestadores de servicios habilitados</w:t>
      </w:r>
      <w:r w:rsidRPr="00121F70">
        <w:rPr>
          <w:rFonts w:ascii="Aptos" w:eastAsia="Google Sans" w:hAnsi="Aptos" w:cs="Google Sans"/>
          <w:color w:val="444746"/>
          <w:sz w:val="24"/>
          <w:szCs w:val="24"/>
          <w:vertAlign w:val="superscript"/>
        </w:rPr>
        <w:t>30</w:t>
      </w:r>
      <w:r w:rsidRPr="00121F70">
        <w:rPr>
          <w:rFonts w:ascii="Aptos" w:eastAsia="Google Sans" w:hAnsi="Aptos" w:cs="Google Sans"/>
          <w:color w:val="1F1F1F"/>
        </w:rPr>
        <w:t>.</w:t>
      </w:r>
    </w:p>
    <w:p w14:paraId="53FD2B44"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En la práctica operativa, la EPS postula las cuentas mensuales y la ADRES desembolsa el valor liquidado directamente en la cuenta bancaria de la IPS, eludiendo la retención de intermediación de las aseguradoras</w:t>
      </w:r>
      <w:r w:rsidRPr="00121F70">
        <w:rPr>
          <w:rFonts w:ascii="Aptos" w:eastAsia="Google Sans" w:hAnsi="Aptos" w:cs="Google Sans"/>
          <w:color w:val="444746"/>
          <w:sz w:val="24"/>
          <w:szCs w:val="24"/>
          <w:vertAlign w:val="superscript"/>
        </w:rPr>
        <w:t>30</w:t>
      </w:r>
      <w:r w:rsidRPr="00121F70">
        <w:rPr>
          <w:rFonts w:ascii="Aptos" w:eastAsia="Google Sans" w:hAnsi="Aptos" w:cs="Google Sans"/>
          <w:color w:val="1F1F1F"/>
        </w:rPr>
        <w:t xml:space="preserve">. Para que este flujo financiero opere sin interrupciones, la institución debe articular su facturación electrónica con los Registros Individuales de Prestación de Servicios de Salud (RIPS) validados digitalmente, eliminando glosas de soporte administrativo que retengan los </w:t>
      </w:r>
      <w:r w:rsidRPr="00121F70">
        <w:rPr>
          <w:rFonts w:ascii="Aptos" w:eastAsia="Google Sans" w:hAnsi="Aptos" w:cs="Google Sans"/>
          <w:color w:val="1F1F1F"/>
        </w:rPr>
        <w:lastRenderedPageBreak/>
        <w:t>desembolsos</w:t>
      </w:r>
      <w:r w:rsidRPr="00121F70">
        <w:rPr>
          <w:rFonts w:ascii="Aptos" w:eastAsia="Google Sans" w:hAnsi="Aptos" w:cs="Google Sans"/>
          <w:color w:val="444746"/>
          <w:sz w:val="24"/>
          <w:szCs w:val="24"/>
          <w:vertAlign w:val="superscript"/>
        </w:rPr>
        <w:t>30</w:t>
      </w:r>
      <w:r w:rsidRPr="00121F70">
        <w:rPr>
          <w:rFonts w:ascii="Aptos" w:eastAsia="Google Sans" w:hAnsi="Aptos" w:cs="Google Sans"/>
          <w:color w:val="1F1F1F"/>
        </w:rPr>
        <w:t>.</w:t>
      </w:r>
    </w:p>
    <w:p w14:paraId="0EB8251E" w14:textId="77777777" w:rsidR="00656829" w:rsidRDefault="00656829" w:rsidP="00121F70">
      <w:pPr>
        <w:pStyle w:val="Ttulo2"/>
        <w:spacing w:before="0" w:after="0" w:line="275" w:lineRule="auto"/>
        <w:jc w:val="both"/>
        <w:rPr>
          <w:rFonts w:ascii="Aptos" w:eastAsia="Google Sans" w:hAnsi="Aptos" w:cs="Google Sans"/>
          <w:color w:val="1F1F1F"/>
        </w:rPr>
      </w:pPr>
    </w:p>
    <w:p w14:paraId="3271A2F3" w14:textId="2DB4DE12" w:rsidR="00082937" w:rsidRPr="00121F70" w:rsidRDefault="00000000" w:rsidP="00121F70">
      <w:pPr>
        <w:pStyle w:val="Ttulo2"/>
        <w:spacing w:before="0" w:after="0" w:line="275" w:lineRule="auto"/>
        <w:jc w:val="both"/>
        <w:rPr>
          <w:rFonts w:ascii="Aptos" w:eastAsia="Google Sans" w:hAnsi="Aptos" w:cs="Google Sans"/>
          <w:color w:val="1F1F1F"/>
        </w:rPr>
      </w:pPr>
      <w:r w:rsidRPr="00121F70">
        <w:rPr>
          <w:rFonts w:ascii="Aptos" w:eastAsia="Google Sans" w:hAnsi="Aptos" w:cs="Google Sans"/>
          <w:color w:val="1F1F1F"/>
        </w:rPr>
        <w:t>Análisis de la Oferta Competitiva y Posicionamiento de Mercado</w:t>
      </w:r>
    </w:p>
    <w:p w14:paraId="4C85168C"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El mercado de atención domiciliaria y manejo de pacientes crónicos en Sincelejo muestra una convergencia de operadores regionales consolidados, prestadores especializados en soporte ventilatorio y entidades locales enfocadas en servicios ambulatorios</w:t>
      </w:r>
      <w:r w:rsidRPr="00121F70">
        <w:rPr>
          <w:rFonts w:ascii="Aptos" w:eastAsia="Google Sans" w:hAnsi="Aptos" w:cs="Google Sans"/>
          <w:color w:val="444746"/>
          <w:sz w:val="24"/>
          <w:szCs w:val="24"/>
          <w:vertAlign w:val="superscript"/>
        </w:rPr>
        <w:t>21</w:t>
      </w:r>
      <w:r w:rsidRPr="00121F70">
        <w:rPr>
          <w:rFonts w:ascii="Aptos" w:eastAsia="Google Sans" w:hAnsi="Aptos" w:cs="Google Sans"/>
          <w:color w:val="1F1F1F"/>
        </w:rPr>
        <w:t>.</w:t>
      </w:r>
    </w:p>
    <w:p w14:paraId="28BEE3A2" w14:textId="77777777" w:rsidR="00082937" w:rsidRPr="00121F70" w:rsidRDefault="00082937" w:rsidP="00121F70">
      <w:pPr>
        <w:pBdr>
          <w:top w:val="nil"/>
          <w:left w:val="nil"/>
          <w:bottom w:val="nil"/>
          <w:right w:val="nil"/>
          <w:between w:val="nil"/>
        </w:pBdr>
        <w:spacing w:line="275" w:lineRule="auto"/>
        <w:jc w:val="both"/>
        <w:rPr>
          <w:rFonts w:ascii="Aptos" w:eastAsia="Google Sans" w:hAnsi="Aptos" w:cs="Google Sans"/>
          <w:color w:val="1F1F1F"/>
        </w:rPr>
      </w:pPr>
    </w:p>
    <w:tbl>
      <w:tblPr>
        <w:tblStyle w:val="a1"/>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119"/>
        <w:gridCol w:w="2561"/>
        <w:gridCol w:w="2340"/>
        <w:gridCol w:w="2340"/>
      </w:tblGrid>
      <w:tr w:rsidR="00082937" w:rsidRPr="00EC730A" w14:paraId="4BB18993" w14:textId="77777777" w:rsidTr="00141724">
        <w:trPr>
          <w:trHeight w:val="731"/>
          <w:tblHeader/>
        </w:trPr>
        <w:tc>
          <w:tcPr>
            <w:tcW w:w="2119"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E2F9179" w14:textId="77777777" w:rsidR="00082937" w:rsidRPr="00EC730A" w:rsidRDefault="00000000" w:rsidP="00EC730A">
            <w:pPr>
              <w:pBdr>
                <w:top w:val="nil"/>
                <w:left w:val="nil"/>
                <w:bottom w:val="nil"/>
                <w:right w:val="nil"/>
                <w:between w:val="nil"/>
              </w:pBdr>
              <w:spacing w:before="120" w:after="120" w:line="275" w:lineRule="auto"/>
              <w:jc w:val="center"/>
              <w:rPr>
                <w:rFonts w:ascii="Aptos" w:eastAsia="Google Sans" w:hAnsi="Aptos" w:cs="Google Sans"/>
                <w:b/>
                <w:bCs/>
                <w:color w:val="1F1F1F"/>
                <w:sz w:val="18"/>
                <w:szCs w:val="18"/>
              </w:rPr>
            </w:pPr>
            <w:r w:rsidRPr="00EC730A">
              <w:rPr>
                <w:rFonts w:ascii="Aptos" w:eastAsia="Google Sans" w:hAnsi="Aptos" w:cs="Google Sans"/>
                <w:b/>
                <w:bCs/>
                <w:color w:val="1F1F1F"/>
                <w:sz w:val="18"/>
                <w:szCs w:val="18"/>
              </w:rPr>
              <w:t>Institución Prestadora (IPS)</w:t>
            </w:r>
          </w:p>
        </w:tc>
        <w:tc>
          <w:tcPr>
            <w:tcW w:w="2561"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1EC9DB5" w14:textId="77777777" w:rsidR="00082937" w:rsidRPr="00EC730A" w:rsidRDefault="00000000" w:rsidP="00EC730A">
            <w:pPr>
              <w:pBdr>
                <w:top w:val="nil"/>
                <w:left w:val="nil"/>
                <w:bottom w:val="nil"/>
                <w:right w:val="nil"/>
                <w:between w:val="nil"/>
              </w:pBdr>
              <w:spacing w:before="120" w:after="120" w:line="275" w:lineRule="auto"/>
              <w:jc w:val="center"/>
              <w:rPr>
                <w:rFonts w:ascii="Aptos" w:eastAsia="Google Sans" w:hAnsi="Aptos" w:cs="Google Sans"/>
                <w:b/>
                <w:bCs/>
                <w:color w:val="1F1F1F"/>
                <w:sz w:val="18"/>
                <w:szCs w:val="18"/>
              </w:rPr>
            </w:pPr>
            <w:r w:rsidRPr="00EC730A">
              <w:rPr>
                <w:rFonts w:ascii="Aptos" w:eastAsia="Google Sans" w:hAnsi="Aptos" w:cs="Google Sans"/>
                <w:b/>
                <w:bCs/>
                <w:color w:val="1F1F1F"/>
                <w:sz w:val="18"/>
                <w:szCs w:val="18"/>
              </w:rPr>
              <w:t>Alcance Geográfico y Portafolio Principal</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D6AFEEC" w14:textId="77777777" w:rsidR="00082937" w:rsidRPr="00EC730A" w:rsidRDefault="00000000" w:rsidP="00EC730A">
            <w:pPr>
              <w:pBdr>
                <w:top w:val="nil"/>
                <w:left w:val="nil"/>
                <w:bottom w:val="nil"/>
                <w:right w:val="nil"/>
                <w:between w:val="nil"/>
              </w:pBdr>
              <w:spacing w:before="120" w:after="120" w:line="275" w:lineRule="auto"/>
              <w:jc w:val="center"/>
              <w:rPr>
                <w:rFonts w:ascii="Aptos" w:eastAsia="Google Sans" w:hAnsi="Aptos" w:cs="Google Sans"/>
                <w:b/>
                <w:bCs/>
                <w:color w:val="1F1F1F"/>
                <w:sz w:val="18"/>
                <w:szCs w:val="18"/>
              </w:rPr>
            </w:pPr>
            <w:r w:rsidRPr="00EC730A">
              <w:rPr>
                <w:rFonts w:ascii="Aptos" w:eastAsia="Google Sans" w:hAnsi="Aptos" w:cs="Google Sans"/>
                <w:b/>
                <w:bCs/>
                <w:color w:val="1F1F1F"/>
                <w:sz w:val="18"/>
                <w:szCs w:val="18"/>
              </w:rPr>
              <w:t>Fortalezas Competitivas Principales</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CC27939" w14:textId="77777777" w:rsidR="00082937" w:rsidRPr="00EC730A" w:rsidRDefault="00000000" w:rsidP="00EC730A">
            <w:pPr>
              <w:pBdr>
                <w:top w:val="nil"/>
                <w:left w:val="nil"/>
                <w:bottom w:val="nil"/>
                <w:right w:val="nil"/>
                <w:between w:val="nil"/>
              </w:pBdr>
              <w:spacing w:before="120" w:after="120" w:line="275" w:lineRule="auto"/>
              <w:jc w:val="center"/>
              <w:rPr>
                <w:rFonts w:ascii="Aptos" w:eastAsia="Google Sans" w:hAnsi="Aptos" w:cs="Google Sans"/>
                <w:b/>
                <w:bCs/>
                <w:color w:val="1F1F1F"/>
                <w:sz w:val="18"/>
                <w:szCs w:val="18"/>
              </w:rPr>
            </w:pPr>
            <w:r w:rsidRPr="00EC730A">
              <w:rPr>
                <w:rFonts w:ascii="Aptos" w:eastAsia="Google Sans" w:hAnsi="Aptos" w:cs="Google Sans"/>
                <w:b/>
                <w:bCs/>
                <w:color w:val="1F1F1F"/>
                <w:sz w:val="18"/>
                <w:szCs w:val="18"/>
              </w:rPr>
              <w:t>Debilidades o Brechas Detectadas</w:t>
            </w:r>
          </w:p>
        </w:tc>
      </w:tr>
      <w:tr w:rsidR="00082937" w:rsidRPr="00EC730A" w14:paraId="3C110693" w14:textId="77777777" w:rsidTr="00A66144">
        <w:tc>
          <w:tcPr>
            <w:tcW w:w="21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F7AEA1" w14:textId="77777777" w:rsidR="00082937" w:rsidRPr="00EC730A" w:rsidRDefault="00000000" w:rsidP="00141724">
            <w:pPr>
              <w:pBdr>
                <w:top w:val="nil"/>
                <w:left w:val="nil"/>
                <w:bottom w:val="nil"/>
                <w:right w:val="nil"/>
                <w:between w:val="nil"/>
              </w:pBdr>
              <w:spacing w:before="120" w:after="120" w:line="275" w:lineRule="auto"/>
              <w:jc w:val="center"/>
              <w:rPr>
                <w:rFonts w:ascii="Aptos" w:eastAsia="Google Sans" w:hAnsi="Aptos" w:cs="Google Sans"/>
                <w:b/>
                <w:bCs/>
                <w:color w:val="1F1F1F"/>
                <w:sz w:val="18"/>
                <w:szCs w:val="18"/>
                <w:lang w:val="en-US"/>
              </w:rPr>
            </w:pPr>
            <w:r w:rsidRPr="00EC730A">
              <w:rPr>
                <w:rFonts w:ascii="Aptos" w:eastAsia="Google Sans" w:hAnsi="Aptos" w:cs="Google Sans"/>
                <w:b/>
                <w:bCs/>
                <w:color w:val="1F1F1F"/>
                <w:sz w:val="18"/>
                <w:szCs w:val="18"/>
                <w:lang w:val="en-US"/>
              </w:rPr>
              <w:t>Optimus Health S.A.S.</w:t>
            </w:r>
          </w:p>
        </w:tc>
        <w:tc>
          <w:tcPr>
            <w:tcW w:w="25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F35BB6" w14:textId="77777777" w:rsidR="00082937" w:rsidRPr="00EC730A"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EC730A">
              <w:rPr>
                <w:rFonts w:ascii="Aptos" w:eastAsia="Google Sans" w:hAnsi="Aptos" w:cs="Google Sans"/>
                <w:color w:val="1F1F1F"/>
                <w:sz w:val="18"/>
                <w:szCs w:val="18"/>
              </w:rPr>
              <w:t>Sede en Sincelejo (Av. San Carlos). Camas para crónicos con/sin ventilación, cuidado domiciliario, soporte paliativo, psicología, trabajo social, unidad de duelo y farmacia interna</w:t>
            </w:r>
            <w:r w:rsidRPr="00EC730A">
              <w:rPr>
                <w:rFonts w:ascii="Aptos" w:eastAsia="Google Sans" w:hAnsi="Aptos" w:cs="Google Sans"/>
                <w:color w:val="444746"/>
                <w:sz w:val="18"/>
                <w:szCs w:val="18"/>
                <w:vertAlign w:val="superscript"/>
              </w:rPr>
              <w:t>20</w:t>
            </w:r>
            <w:r w:rsidRPr="00EC730A">
              <w:rPr>
                <w:rFonts w:ascii="Aptos" w:eastAsia="Google Sans" w:hAnsi="Aptos" w:cs="Google Sans"/>
                <w:color w:val="1F1F1F"/>
                <w:sz w:val="18"/>
                <w:szCs w:val="18"/>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122D74" w14:textId="77777777" w:rsidR="00082937" w:rsidRPr="00EC730A"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EC730A">
              <w:rPr>
                <w:rFonts w:ascii="Aptos" w:eastAsia="Google Sans" w:hAnsi="Aptos" w:cs="Google Sans"/>
                <w:color w:val="1F1F1F"/>
                <w:sz w:val="18"/>
                <w:szCs w:val="18"/>
              </w:rPr>
              <w:t>Modelo integrado dual (hospitalario para crónicos + domiciliario extramural); servicio farmacéutico avalado para medicamentos de control especial</w:t>
            </w:r>
            <w:r w:rsidRPr="00EC730A">
              <w:rPr>
                <w:rFonts w:ascii="Aptos" w:eastAsia="Google Sans" w:hAnsi="Aptos" w:cs="Google Sans"/>
                <w:color w:val="444746"/>
                <w:sz w:val="18"/>
                <w:szCs w:val="18"/>
                <w:vertAlign w:val="superscript"/>
              </w:rPr>
              <w:t>20</w:t>
            </w:r>
            <w:r w:rsidRPr="00EC730A">
              <w:rPr>
                <w:rFonts w:ascii="Aptos" w:eastAsia="Google Sans" w:hAnsi="Aptos" w:cs="Google Sans"/>
                <w:color w:val="1F1F1F"/>
                <w:sz w:val="18"/>
                <w:szCs w:val="18"/>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66C142" w14:textId="77777777" w:rsidR="00082937" w:rsidRPr="00EC730A"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EC730A">
              <w:rPr>
                <w:rFonts w:ascii="Aptos" w:eastAsia="Google Sans" w:hAnsi="Aptos" w:cs="Google Sans"/>
                <w:color w:val="1F1F1F"/>
                <w:sz w:val="18"/>
                <w:szCs w:val="18"/>
              </w:rPr>
              <w:t>Enfoque de operaciones concentrado en Sincelejo; compresión de márgenes netos debido a alzas de costos médicos</w:t>
            </w:r>
            <w:r w:rsidRPr="00EC730A">
              <w:rPr>
                <w:rFonts w:ascii="Aptos" w:eastAsia="Google Sans" w:hAnsi="Aptos" w:cs="Google Sans"/>
                <w:color w:val="444746"/>
                <w:sz w:val="18"/>
                <w:szCs w:val="18"/>
                <w:vertAlign w:val="superscript"/>
              </w:rPr>
              <w:t>45</w:t>
            </w:r>
            <w:r w:rsidRPr="00EC730A">
              <w:rPr>
                <w:rFonts w:ascii="Aptos" w:eastAsia="Google Sans" w:hAnsi="Aptos" w:cs="Google Sans"/>
                <w:color w:val="1F1F1F"/>
                <w:sz w:val="18"/>
                <w:szCs w:val="18"/>
              </w:rPr>
              <w:t>.</w:t>
            </w:r>
          </w:p>
        </w:tc>
      </w:tr>
      <w:tr w:rsidR="00082937" w:rsidRPr="00EC730A" w14:paraId="312C5102" w14:textId="77777777" w:rsidTr="00A66144">
        <w:tc>
          <w:tcPr>
            <w:tcW w:w="21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360A25" w14:textId="77777777" w:rsidR="00082937" w:rsidRPr="00EC730A" w:rsidRDefault="00000000" w:rsidP="00141724">
            <w:pPr>
              <w:pBdr>
                <w:top w:val="nil"/>
                <w:left w:val="nil"/>
                <w:bottom w:val="nil"/>
                <w:right w:val="nil"/>
                <w:between w:val="nil"/>
              </w:pBdr>
              <w:spacing w:before="120" w:after="120" w:line="275" w:lineRule="auto"/>
              <w:jc w:val="center"/>
              <w:rPr>
                <w:rFonts w:ascii="Aptos" w:eastAsia="Google Sans" w:hAnsi="Aptos" w:cs="Google Sans"/>
                <w:b/>
                <w:bCs/>
                <w:color w:val="1F1F1F"/>
                <w:sz w:val="18"/>
                <w:szCs w:val="18"/>
              </w:rPr>
            </w:pPr>
            <w:r w:rsidRPr="00EC730A">
              <w:rPr>
                <w:rFonts w:ascii="Aptos" w:eastAsia="Google Sans" w:hAnsi="Aptos" w:cs="Google Sans"/>
                <w:b/>
                <w:bCs/>
                <w:color w:val="1F1F1F"/>
                <w:sz w:val="18"/>
                <w:szCs w:val="18"/>
              </w:rPr>
              <w:t>Cuidado Seguro en Casa IPS</w:t>
            </w:r>
          </w:p>
        </w:tc>
        <w:tc>
          <w:tcPr>
            <w:tcW w:w="25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3017FD" w14:textId="77777777" w:rsidR="00082937" w:rsidRPr="00EC730A"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EC730A">
              <w:rPr>
                <w:rFonts w:ascii="Aptos" w:eastAsia="Google Sans" w:hAnsi="Aptos" w:cs="Google Sans"/>
                <w:color w:val="1F1F1F"/>
                <w:sz w:val="18"/>
                <w:szCs w:val="18"/>
              </w:rPr>
              <w:t>Operador multirregional con presencia en más de 266 municipios y capitales de la Costa Caribe (Sincelejo, Turbaco, Cartagena, Montería)</w:t>
            </w:r>
            <w:r w:rsidRPr="00EC730A">
              <w:rPr>
                <w:rFonts w:ascii="Aptos" w:eastAsia="Google Sans" w:hAnsi="Aptos" w:cs="Google Sans"/>
                <w:color w:val="444746"/>
                <w:sz w:val="18"/>
                <w:szCs w:val="18"/>
                <w:vertAlign w:val="superscript"/>
              </w:rPr>
              <w:t>19</w:t>
            </w:r>
            <w:r w:rsidRPr="00EC730A">
              <w:rPr>
                <w:rFonts w:ascii="Aptos" w:eastAsia="Google Sans" w:hAnsi="Aptos" w:cs="Google Sans"/>
                <w:color w:val="1F1F1F"/>
                <w:sz w:val="18"/>
                <w:szCs w:val="18"/>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152A23" w14:textId="77777777" w:rsidR="00082937" w:rsidRPr="00EC730A"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EC730A">
              <w:rPr>
                <w:rFonts w:ascii="Aptos" w:eastAsia="Google Sans" w:hAnsi="Aptos" w:cs="Google Sans"/>
                <w:color w:val="1F1F1F"/>
                <w:sz w:val="18"/>
                <w:szCs w:val="18"/>
              </w:rPr>
              <w:t>Grandes economías de escala asistencial; experiencia masiva en crónicos ventilados y no ventilados</w:t>
            </w:r>
            <w:r w:rsidRPr="00EC730A">
              <w:rPr>
                <w:rFonts w:ascii="Aptos" w:eastAsia="Google Sans" w:hAnsi="Aptos" w:cs="Google Sans"/>
                <w:color w:val="444746"/>
                <w:sz w:val="18"/>
                <w:szCs w:val="18"/>
                <w:vertAlign w:val="superscript"/>
              </w:rPr>
              <w:t>19</w:t>
            </w:r>
            <w:r w:rsidRPr="00EC730A">
              <w:rPr>
                <w:rFonts w:ascii="Aptos" w:eastAsia="Google Sans" w:hAnsi="Aptos" w:cs="Google Sans"/>
                <w:color w:val="1F1F1F"/>
                <w:sz w:val="18"/>
                <w:szCs w:val="18"/>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FE69C3" w14:textId="77777777" w:rsidR="00082937" w:rsidRPr="00EC730A"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EC730A">
              <w:rPr>
                <w:rFonts w:ascii="Aptos" w:eastAsia="Google Sans" w:hAnsi="Aptos" w:cs="Google Sans"/>
                <w:color w:val="1F1F1F"/>
                <w:sz w:val="18"/>
                <w:szCs w:val="18"/>
              </w:rPr>
              <w:t>Menor capacidad de personalización local; cuidados paliativos representan menos del 1% de su facturación</w:t>
            </w:r>
            <w:r w:rsidRPr="00EC730A">
              <w:rPr>
                <w:rFonts w:ascii="Aptos" w:eastAsia="Google Sans" w:hAnsi="Aptos" w:cs="Google Sans"/>
                <w:color w:val="444746"/>
                <w:sz w:val="18"/>
                <w:szCs w:val="18"/>
                <w:vertAlign w:val="superscript"/>
              </w:rPr>
              <w:t>19</w:t>
            </w:r>
            <w:r w:rsidRPr="00EC730A">
              <w:rPr>
                <w:rFonts w:ascii="Aptos" w:eastAsia="Google Sans" w:hAnsi="Aptos" w:cs="Google Sans"/>
                <w:color w:val="1F1F1F"/>
                <w:sz w:val="18"/>
                <w:szCs w:val="18"/>
              </w:rPr>
              <w:t>.</w:t>
            </w:r>
          </w:p>
        </w:tc>
      </w:tr>
      <w:tr w:rsidR="00082937" w:rsidRPr="00EC730A" w14:paraId="001876D7" w14:textId="77777777" w:rsidTr="00A66144">
        <w:tc>
          <w:tcPr>
            <w:tcW w:w="21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2C7440" w14:textId="77777777" w:rsidR="00082937" w:rsidRPr="00EC730A" w:rsidRDefault="00000000" w:rsidP="00141724">
            <w:pPr>
              <w:pBdr>
                <w:top w:val="nil"/>
                <w:left w:val="nil"/>
                <w:bottom w:val="nil"/>
                <w:right w:val="nil"/>
                <w:between w:val="nil"/>
              </w:pBdr>
              <w:spacing w:before="120" w:after="120" w:line="275" w:lineRule="auto"/>
              <w:jc w:val="center"/>
              <w:rPr>
                <w:rFonts w:ascii="Aptos" w:eastAsia="Google Sans" w:hAnsi="Aptos" w:cs="Google Sans"/>
                <w:b/>
                <w:bCs/>
                <w:color w:val="1F1F1F"/>
                <w:sz w:val="18"/>
                <w:szCs w:val="18"/>
              </w:rPr>
            </w:pPr>
            <w:r w:rsidRPr="00EC730A">
              <w:rPr>
                <w:rFonts w:ascii="Aptos" w:eastAsia="Google Sans" w:hAnsi="Aptos" w:cs="Google Sans"/>
                <w:b/>
                <w:bCs/>
                <w:color w:val="1F1F1F"/>
                <w:sz w:val="18"/>
                <w:szCs w:val="18"/>
              </w:rPr>
              <w:t>Amedi Ltda.</w:t>
            </w:r>
          </w:p>
        </w:tc>
        <w:tc>
          <w:tcPr>
            <w:tcW w:w="25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746968" w14:textId="77777777" w:rsidR="00082937" w:rsidRPr="00EC730A"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EC730A">
              <w:rPr>
                <w:rFonts w:ascii="Aptos" w:eastAsia="Google Sans" w:hAnsi="Aptos" w:cs="Google Sans"/>
                <w:color w:val="1F1F1F"/>
                <w:sz w:val="18"/>
                <w:szCs w:val="18"/>
              </w:rPr>
              <w:t>Sede Sincelejo. Hospitalización domiciliaria especializada en pacientes ventilados y de alta complejidad asistencial</w:t>
            </w:r>
            <w:r w:rsidRPr="00EC730A">
              <w:rPr>
                <w:rFonts w:ascii="Aptos" w:eastAsia="Google Sans" w:hAnsi="Aptos" w:cs="Google Sans"/>
                <w:color w:val="444746"/>
                <w:sz w:val="18"/>
                <w:szCs w:val="18"/>
                <w:vertAlign w:val="superscript"/>
              </w:rPr>
              <w:t>43</w:t>
            </w:r>
            <w:r w:rsidRPr="00EC730A">
              <w:rPr>
                <w:rFonts w:ascii="Aptos" w:eastAsia="Google Sans" w:hAnsi="Aptos" w:cs="Google Sans"/>
                <w:color w:val="1F1F1F"/>
                <w:sz w:val="18"/>
                <w:szCs w:val="18"/>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FC906D" w14:textId="77777777" w:rsidR="00082937" w:rsidRPr="00EC730A"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EC730A">
              <w:rPr>
                <w:rFonts w:ascii="Aptos" w:eastAsia="Google Sans" w:hAnsi="Aptos" w:cs="Google Sans"/>
                <w:color w:val="1F1F1F"/>
                <w:sz w:val="18"/>
                <w:szCs w:val="18"/>
              </w:rPr>
              <w:t>Alta reputación técnica en soporte respiratorio intensivo y mantenimiento biomédico en el hogar</w:t>
            </w:r>
            <w:r w:rsidRPr="00EC730A">
              <w:rPr>
                <w:rFonts w:ascii="Aptos" w:eastAsia="Google Sans" w:hAnsi="Aptos" w:cs="Google Sans"/>
                <w:color w:val="444746"/>
                <w:sz w:val="18"/>
                <w:szCs w:val="18"/>
                <w:vertAlign w:val="superscript"/>
              </w:rPr>
              <w:t>43</w:t>
            </w:r>
            <w:r w:rsidRPr="00EC730A">
              <w:rPr>
                <w:rFonts w:ascii="Aptos" w:eastAsia="Google Sans" w:hAnsi="Aptos" w:cs="Google Sans"/>
                <w:color w:val="1F1F1F"/>
                <w:sz w:val="18"/>
                <w:szCs w:val="18"/>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3D70AC" w14:textId="77777777" w:rsidR="00082937" w:rsidRPr="00EC730A"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EC730A">
              <w:rPr>
                <w:rFonts w:ascii="Aptos" w:eastAsia="Google Sans" w:hAnsi="Aptos" w:cs="Google Sans"/>
                <w:color w:val="1F1F1F"/>
                <w:sz w:val="18"/>
                <w:szCs w:val="18"/>
              </w:rPr>
              <w:t>Escasa diversificación hacia servicios psicosociales, manejo integral del duelo o camas institucionales de transición</w:t>
            </w:r>
            <w:r w:rsidRPr="00EC730A">
              <w:rPr>
                <w:rFonts w:ascii="Aptos" w:eastAsia="Google Sans" w:hAnsi="Aptos" w:cs="Google Sans"/>
                <w:color w:val="444746"/>
                <w:sz w:val="18"/>
                <w:szCs w:val="18"/>
                <w:vertAlign w:val="superscript"/>
              </w:rPr>
              <w:t>20</w:t>
            </w:r>
            <w:r w:rsidRPr="00EC730A">
              <w:rPr>
                <w:rFonts w:ascii="Aptos" w:eastAsia="Google Sans" w:hAnsi="Aptos" w:cs="Google Sans"/>
                <w:color w:val="1F1F1F"/>
                <w:sz w:val="18"/>
                <w:szCs w:val="18"/>
              </w:rPr>
              <w:t>.</w:t>
            </w:r>
          </w:p>
        </w:tc>
      </w:tr>
      <w:tr w:rsidR="00082937" w:rsidRPr="00EC730A" w14:paraId="4447BB3A" w14:textId="77777777" w:rsidTr="00A66144">
        <w:tc>
          <w:tcPr>
            <w:tcW w:w="21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93CF6D" w14:textId="77777777" w:rsidR="00082937" w:rsidRPr="00EC730A" w:rsidRDefault="00000000" w:rsidP="00141724">
            <w:pPr>
              <w:pBdr>
                <w:top w:val="nil"/>
                <w:left w:val="nil"/>
                <w:bottom w:val="nil"/>
                <w:right w:val="nil"/>
                <w:between w:val="nil"/>
              </w:pBdr>
              <w:spacing w:before="120" w:after="120" w:line="275" w:lineRule="auto"/>
              <w:jc w:val="center"/>
              <w:rPr>
                <w:rFonts w:ascii="Aptos" w:eastAsia="Google Sans" w:hAnsi="Aptos" w:cs="Google Sans"/>
                <w:b/>
                <w:bCs/>
                <w:color w:val="1F1F1F"/>
                <w:sz w:val="18"/>
                <w:szCs w:val="18"/>
              </w:rPr>
            </w:pPr>
            <w:proofErr w:type="spellStart"/>
            <w:r w:rsidRPr="00EC730A">
              <w:rPr>
                <w:rFonts w:ascii="Aptos" w:eastAsia="Google Sans" w:hAnsi="Aptos" w:cs="Google Sans"/>
                <w:b/>
                <w:bCs/>
                <w:color w:val="1F1F1F"/>
                <w:sz w:val="18"/>
                <w:szCs w:val="18"/>
              </w:rPr>
              <w:t>Servimed</w:t>
            </w:r>
            <w:proofErr w:type="spellEnd"/>
            <w:r w:rsidRPr="00EC730A">
              <w:rPr>
                <w:rFonts w:ascii="Aptos" w:eastAsia="Google Sans" w:hAnsi="Aptos" w:cs="Google Sans"/>
                <w:b/>
                <w:bCs/>
                <w:color w:val="1F1F1F"/>
                <w:sz w:val="18"/>
                <w:szCs w:val="18"/>
              </w:rPr>
              <w:t xml:space="preserve"> IPS</w:t>
            </w:r>
          </w:p>
        </w:tc>
        <w:tc>
          <w:tcPr>
            <w:tcW w:w="25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8960B7" w14:textId="77777777" w:rsidR="00082937" w:rsidRPr="00EC730A"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EC730A">
              <w:rPr>
                <w:rFonts w:ascii="Aptos" w:eastAsia="Google Sans" w:hAnsi="Aptos" w:cs="Google Sans"/>
                <w:color w:val="1F1F1F"/>
                <w:sz w:val="18"/>
                <w:szCs w:val="18"/>
              </w:rPr>
              <w:t>Sede Sincelejo (C.C. Alcázares Plaza). Clínica de heridas, consulta externa médica general/especializada, hospitalización en casa y urgencias domiciliarias</w:t>
            </w:r>
            <w:r w:rsidRPr="00EC730A">
              <w:rPr>
                <w:rFonts w:ascii="Aptos" w:eastAsia="Google Sans" w:hAnsi="Aptos" w:cs="Google Sans"/>
                <w:color w:val="444746"/>
                <w:sz w:val="18"/>
                <w:szCs w:val="18"/>
                <w:vertAlign w:val="superscript"/>
              </w:rPr>
              <w:t>44</w:t>
            </w:r>
            <w:r w:rsidRPr="00EC730A">
              <w:rPr>
                <w:rFonts w:ascii="Aptos" w:eastAsia="Google Sans" w:hAnsi="Aptos" w:cs="Google Sans"/>
                <w:color w:val="1F1F1F"/>
                <w:sz w:val="18"/>
                <w:szCs w:val="18"/>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5024F8" w14:textId="77777777" w:rsidR="00082937" w:rsidRPr="00EC730A"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EC730A">
              <w:rPr>
                <w:rFonts w:ascii="Aptos" w:eastAsia="Google Sans" w:hAnsi="Aptos" w:cs="Google Sans"/>
                <w:color w:val="1F1F1F"/>
                <w:sz w:val="18"/>
                <w:szCs w:val="18"/>
              </w:rPr>
              <w:t>Trayectoria superior a 20 años en la región; fuerte recordación de marca en manejo avanzado de heridas ambulatorias</w:t>
            </w:r>
            <w:r w:rsidRPr="00EC730A">
              <w:rPr>
                <w:rFonts w:ascii="Aptos" w:eastAsia="Google Sans" w:hAnsi="Aptos" w:cs="Google Sans"/>
                <w:color w:val="444746"/>
                <w:sz w:val="18"/>
                <w:szCs w:val="18"/>
                <w:vertAlign w:val="superscript"/>
              </w:rPr>
              <w:t>44</w:t>
            </w:r>
            <w:r w:rsidRPr="00EC730A">
              <w:rPr>
                <w:rFonts w:ascii="Aptos" w:eastAsia="Google Sans" w:hAnsi="Aptos" w:cs="Google Sans"/>
                <w:color w:val="1F1F1F"/>
                <w:sz w:val="18"/>
                <w:szCs w:val="18"/>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A72BCA" w14:textId="77777777" w:rsidR="00082937" w:rsidRPr="00EC730A" w:rsidRDefault="00000000" w:rsidP="00121F70">
            <w:pPr>
              <w:pBdr>
                <w:top w:val="nil"/>
                <w:left w:val="nil"/>
                <w:bottom w:val="nil"/>
                <w:right w:val="nil"/>
                <w:between w:val="nil"/>
              </w:pBdr>
              <w:spacing w:before="120" w:after="120" w:line="275" w:lineRule="auto"/>
              <w:jc w:val="both"/>
              <w:rPr>
                <w:rFonts w:ascii="Aptos" w:eastAsia="Google Sans" w:hAnsi="Aptos" w:cs="Google Sans"/>
                <w:color w:val="1F1F1F"/>
                <w:sz w:val="18"/>
                <w:szCs w:val="18"/>
              </w:rPr>
            </w:pPr>
            <w:r w:rsidRPr="00EC730A">
              <w:rPr>
                <w:rFonts w:ascii="Aptos" w:eastAsia="Google Sans" w:hAnsi="Aptos" w:cs="Google Sans"/>
                <w:color w:val="1F1F1F"/>
                <w:sz w:val="18"/>
                <w:szCs w:val="18"/>
              </w:rPr>
              <w:t>Orientación preponderante hacia primer nivel ambulatorio; menor densidad asistencial en internación domiciliaria ventilada.</w:t>
            </w:r>
          </w:p>
        </w:tc>
      </w:tr>
      <w:tr w:rsidR="00082937" w:rsidRPr="00EC730A" w14:paraId="373C7784" w14:textId="77777777" w:rsidTr="00A66144">
        <w:tc>
          <w:tcPr>
            <w:tcW w:w="21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E6678E" w14:textId="77777777" w:rsidR="00082937" w:rsidRPr="00EC730A" w:rsidRDefault="00000000" w:rsidP="00141724">
            <w:pPr>
              <w:pBdr>
                <w:top w:val="nil"/>
                <w:left w:val="nil"/>
                <w:bottom w:val="nil"/>
                <w:right w:val="nil"/>
                <w:between w:val="nil"/>
              </w:pBdr>
              <w:spacing w:before="120" w:after="120" w:line="275" w:lineRule="auto"/>
              <w:jc w:val="center"/>
              <w:rPr>
                <w:rFonts w:ascii="Aptos" w:eastAsia="Google Sans" w:hAnsi="Aptos" w:cs="Google Sans"/>
                <w:b/>
                <w:bCs/>
                <w:color w:val="1F1F1F"/>
                <w:sz w:val="18"/>
                <w:szCs w:val="18"/>
              </w:rPr>
            </w:pPr>
            <w:r w:rsidRPr="00EC730A">
              <w:rPr>
                <w:rFonts w:ascii="Aptos" w:eastAsia="Google Sans" w:hAnsi="Aptos" w:cs="Google Sans"/>
                <w:b/>
                <w:bCs/>
                <w:color w:val="1F1F1F"/>
                <w:sz w:val="18"/>
                <w:szCs w:val="18"/>
              </w:rPr>
              <w:lastRenderedPageBreak/>
              <w:t xml:space="preserve">911 </w:t>
            </w:r>
            <w:proofErr w:type="gramStart"/>
            <w:r w:rsidRPr="00EC730A">
              <w:rPr>
                <w:rFonts w:ascii="Aptos" w:eastAsia="Google Sans" w:hAnsi="Aptos" w:cs="Google Sans"/>
                <w:b/>
                <w:bCs/>
                <w:color w:val="1F1F1F"/>
                <w:sz w:val="18"/>
                <w:szCs w:val="18"/>
              </w:rPr>
              <w:t>Asistencia</w:t>
            </w:r>
            <w:proofErr w:type="gramEnd"/>
            <w:r w:rsidRPr="00EC730A">
              <w:rPr>
                <w:rFonts w:ascii="Aptos" w:eastAsia="Google Sans" w:hAnsi="Aptos" w:cs="Google Sans"/>
                <w:b/>
                <w:bCs/>
                <w:color w:val="1F1F1F"/>
                <w:sz w:val="18"/>
                <w:szCs w:val="18"/>
              </w:rPr>
              <w:t xml:space="preserve"> Médica Domiciliaria IPS</w:t>
            </w:r>
          </w:p>
        </w:tc>
        <w:tc>
          <w:tcPr>
            <w:tcW w:w="25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1F7101" w14:textId="77777777" w:rsidR="00082937" w:rsidRPr="00EC730A"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EC730A">
              <w:rPr>
                <w:rFonts w:ascii="Aptos" w:eastAsia="Google Sans" w:hAnsi="Aptos" w:cs="Google Sans"/>
                <w:color w:val="1F1F1F"/>
                <w:sz w:val="18"/>
                <w:szCs w:val="18"/>
              </w:rPr>
              <w:t>Sede en Sincelejo (Avenida Okala). Atención domiciliaria básica, consultas prioritarias y traslados asistenciales</w:t>
            </w:r>
            <w:r w:rsidRPr="00EC730A">
              <w:rPr>
                <w:rFonts w:ascii="Aptos" w:eastAsia="Google Sans" w:hAnsi="Aptos" w:cs="Google Sans"/>
                <w:color w:val="444746"/>
                <w:sz w:val="18"/>
                <w:szCs w:val="18"/>
                <w:vertAlign w:val="superscript"/>
              </w:rPr>
              <w:t>47</w:t>
            </w:r>
            <w:r w:rsidRPr="00EC730A">
              <w:rPr>
                <w:rFonts w:ascii="Aptos" w:eastAsia="Google Sans" w:hAnsi="Aptos" w:cs="Google Sans"/>
                <w:color w:val="1F1F1F"/>
                <w:sz w:val="18"/>
                <w:szCs w:val="18"/>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3EF29B" w14:textId="77777777" w:rsidR="00082937" w:rsidRPr="00EC730A"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EC730A">
              <w:rPr>
                <w:rFonts w:ascii="Aptos" w:eastAsia="Google Sans" w:hAnsi="Aptos" w:cs="Google Sans"/>
                <w:color w:val="1F1F1F"/>
                <w:sz w:val="18"/>
                <w:szCs w:val="18"/>
              </w:rPr>
              <w:t>Agilidad en visitas domiciliarias y atención médica no programada de baja complejidad</w:t>
            </w:r>
            <w:r w:rsidRPr="00EC730A">
              <w:rPr>
                <w:rFonts w:ascii="Aptos" w:eastAsia="Google Sans" w:hAnsi="Aptos" w:cs="Google Sans"/>
                <w:color w:val="444746"/>
                <w:sz w:val="18"/>
                <w:szCs w:val="18"/>
                <w:vertAlign w:val="superscript"/>
              </w:rPr>
              <w:t>47</w:t>
            </w:r>
            <w:r w:rsidRPr="00EC730A">
              <w:rPr>
                <w:rFonts w:ascii="Aptos" w:eastAsia="Google Sans" w:hAnsi="Aptos" w:cs="Google Sans"/>
                <w:color w:val="1F1F1F"/>
                <w:sz w:val="18"/>
                <w:szCs w:val="18"/>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EDE378" w14:textId="77777777" w:rsidR="00082937" w:rsidRPr="00EC730A" w:rsidRDefault="00000000" w:rsidP="00121F70">
            <w:pPr>
              <w:pBdr>
                <w:top w:val="nil"/>
                <w:left w:val="nil"/>
                <w:bottom w:val="nil"/>
                <w:right w:val="nil"/>
                <w:between w:val="nil"/>
              </w:pBdr>
              <w:spacing w:before="120" w:after="120" w:line="275" w:lineRule="auto"/>
              <w:jc w:val="both"/>
              <w:rPr>
                <w:rFonts w:ascii="Aptos" w:eastAsia="Google Sans" w:hAnsi="Aptos" w:cs="Google Sans"/>
                <w:color w:val="1F1F1F"/>
                <w:sz w:val="18"/>
                <w:szCs w:val="18"/>
              </w:rPr>
            </w:pPr>
            <w:r w:rsidRPr="00EC730A">
              <w:rPr>
                <w:rFonts w:ascii="Aptos" w:eastAsia="Google Sans" w:hAnsi="Aptos" w:cs="Google Sans"/>
                <w:color w:val="1F1F1F"/>
                <w:sz w:val="18"/>
                <w:szCs w:val="18"/>
              </w:rPr>
              <w:t>Capacidad instalada acotada; limitada participación en contratos PGP de largo aliento para cohortes crónicas complejas.</w:t>
            </w:r>
          </w:p>
        </w:tc>
      </w:tr>
      <w:tr w:rsidR="00082937" w:rsidRPr="00EC730A" w14:paraId="15B431B6" w14:textId="77777777" w:rsidTr="00A66144">
        <w:tc>
          <w:tcPr>
            <w:tcW w:w="21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C1E5C9" w14:textId="77777777" w:rsidR="00082937" w:rsidRPr="00EC730A" w:rsidRDefault="00000000" w:rsidP="00141724">
            <w:pPr>
              <w:pBdr>
                <w:top w:val="nil"/>
                <w:left w:val="nil"/>
                <w:bottom w:val="nil"/>
                <w:right w:val="nil"/>
                <w:between w:val="nil"/>
              </w:pBdr>
              <w:spacing w:before="120" w:after="120" w:line="275" w:lineRule="auto"/>
              <w:jc w:val="center"/>
              <w:rPr>
                <w:rFonts w:ascii="Aptos" w:eastAsia="Google Sans" w:hAnsi="Aptos" w:cs="Google Sans"/>
                <w:b/>
                <w:bCs/>
                <w:color w:val="1F1F1F"/>
                <w:sz w:val="18"/>
                <w:szCs w:val="18"/>
              </w:rPr>
            </w:pPr>
            <w:r w:rsidRPr="00EC730A">
              <w:rPr>
                <w:rFonts w:ascii="Aptos" w:eastAsia="Google Sans" w:hAnsi="Aptos" w:cs="Google Sans"/>
                <w:b/>
                <w:bCs/>
                <w:color w:val="1F1F1F"/>
                <w:sz w:val="18"/>
                <w:szCs w:val="18"/>
              </w:rPr>
              <w:t>Servicios Médicos Integrales IPS</w:t>
            </w:r>
          </w:p>
        </w:tc>
        <w:tc>
          <w:tcPr>
            <w:tcW w:w="25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9919E7" w14:textId="77777777" w:rsidR="00082937" w:rsidRPr="00EC730A"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EC730A">
              <w:rPr>
                <w:rFonts w:ascii="Aptos" w:eastAsia="Google Sans" w:hAnsi="Aptos" w:cs="Google Sans"/>
                <w:color w:val="1F1F1F"/>
                <w:sz w:val="18"/>
                <w:szCs w:val="18"/>
              </w:rPr>
              <w:t xml:space="preserve">Sede Sincelejo (Avenida </w:t>
            </w:r>
            <w:proofErr w:type="spellStart"/>
            <w:r w:rsidRPr="00EC730A">
              <w:rPr>
                <w:rFonts w:ascii="Aptos" w:eastAsia="Google Sans" w:hAnsi="Aptos" w:cs="Google Sans"/>
                <w:color w:val="1F1F1F"/>
                <w:sz w:val="18"/>
                <w:szCs w:val="18"/>
              </w:rPr>
              <w:t>Chacurí</w:t>
            </w:r>
            <w:proofErr w:type="spellEnd"/>
            <w:r w:rsidRPr="00EC730A">
              <w:rPr>
                <w:rFonts w:ascii="Aptos" w:eastAsia="Google Sans" w:hAnsi="Aptos" w:cs="Google Sans"/>
                <w:color w:val="1F1F1F"/>
                <w:sz w:val="18"/>
                <w:szCs w:val="18"/>
              </w:rPr>
              <w:t>). Programas de gestión clínica de enfermedades de alto costo (Artritis, EPOC)</w:t>
            </w:r>
            <w:r w:rsidRPr="00EC730A">
              <w:rPr>
                <w:rFonts w:ascii="Aptos" w:eastAsia="Google Sans" w:hAnsi="Aptos" w:cs="Google Sans"/>
                <w:color w:val="444746"/>
                <w:sz w:val="18"/>
                <w:szCs w:val="18"/>
                <w:vertAlign w:val="superscript"/>
              </w:rPr>
              <w:t>21</w:t>
            </w:r>
            <w:r w:rsidRPr="00EC730A">
              <w:rPr>
                <w:rFonts w:ascii="Aptos" w:eastAsia="Google Sans" w:hAnsi="Aptos" w:cs="Google Sans"/>
                <w:color w:val="1F1F1F"/>
                <w:sz w:val="18"/>
                <w:szCs w:val="18"/>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836A23" w14:textId="77777777" w:rsidR="00082937" w:rsidRPr="00EC730A"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EC730A">
              <w:rPr>
                <w:rFonts w:ascii="Aptos" w:eastAsia="Google Sans" w:hAnsi="Aptos" w:cs="Google Sans"/>
                <w:color w:val="1F1F1F"/>
                <w:sz w:val="18"/>
                <w:szCs w:val="18"/>
              </w:rPr>
              <w:t>Protocolos estructurados de seguimiento farmacológico para cohortes crónicas específicas</w:t>
            </w:r>
            <w:r w:rsidRPr="00EC730A">
              <w:rPr>
                <w:rFonts w:ascii="Aptos" w:eastAsia="Google Sans" w:hAnsi="Aptos" w:cs="Google Sans"/>
                <w:color w:val="444746"/>
                <w:sz w:val="18"/>
                <w:szCs w:val="18"/>
                <w:vertAlign w:val="superscript"/>
              </w:rPr>
              <w:t>21</w:t>
            </w:r>
            <w:r w:rsidRPr="00EC730A">
              <w:rPr>
                <w:rFonts w:ascii="Aptos" w:eastAsia="Google Sans" w:hAnsi="Aptos" w:cs="Google Sans"/>
                <w:color w:val="1F1F1F"/>
                <w:sz w:val="18"/>
                <w:szCs w:val="18"/>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8BBBE6" w14:textId="77777777" w:rsidR="00082937" w:rsidRPr="00EC730A" w:rsidRDefault="00000000" w:rsidP="00121F70">
            <w:pPr>
              <w:pBdr>
                <w:top w:val="nil"/>
                <w:left w:val="nil"/>
                <w:bottom w:val="nil"/>
                <w:right w:val="nil"/>
                <w:between w:val="nil"/>
              </w:pBdr>
              <w:spacing w:before="120" w:after="120" w:line="275" w:lineRule="auto"/>
              <w:jc w:val="both"/>
              <w:rPr>
                <w:rFonts w:ascii="Aptos" w:eastAsia="Google Sans" w:hAnsi="Aptos" w:cs="Google Sans"/>
                <w:color w:val="1F1F1F"/>
                <w:sz w:val="18"/>
                <w:szCs w:val="18"/>
              </w:rPr>
            </w:pPr>
            <w:r w:rsidRPr="00EC730A">
              <w:rPr>
                <w:rFonts w:ascii="Aptos" w:eastAsia="Google Sans" w:hAnsi="Aptos" w:cs="Google Sans"/>
                <w:color w:val="1F1F1F"/>
                <w:sz w:val="18"/>
                <w:szCs w:val="18"/>
              </w:rPr>
              <w:t>Modelo predominantemente ambulatorio de dispensación y consulta; baja capacidad de internación domiciliaria 24/7.</w:t>
            </w:r>
          </w:p>
        </w:tc>
      </w:tr>
    </w:tbl>
    <w:p w14:paraId="1E98D02F" w14:textId="77777777" w:rsidR="00EC730A" w:rsidRDefault="00EC730A" w:rsidP="00121F70">
      <w:pPr>
        <w:pBdr>
          <w:top w:val="nil"/>
          <w:left w:val="nil"/>
          <w:bottom w:val="nil"/>
          <w:right w:val="nil"/>
          <w:between w:val="nil"/>
        </w:pBdr>
        <w:spacing w:line="275" w:lineRule="auto"/>
        <w:jc w:val="both"/>
        <w:rPr>
          <w:rFonts w:ascii="Aptos" w:eastAsia="Google Sans" w:hAnsi="Aptos" w:cs="Google Sans"/>
          <w:color w:val="1F1F1F"/>
        </w:rPr>
      </w:pPr>
    </w:p>
    <w:p w14:paraId="3CE3CDB6" w14:textId="3D2DBC2D"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 xml:space="preserve">El factor diferenciador más potente de Optimus Health frente a la totalidad de competidores analizados radica en su </w:t>
      </w:r>
      <w:r w:rsidRPr="00121F70">
        <w:rPr>
          <w:rFonts w:ascii="Aptos" w:eastAsia="Google Sans" w:hAnsi="Aptos" w:cs="Google Sans"/>
          <w:b/>
          <w:bCs/>
          <w:color w:val="1F1F1F"/>
        </w:rPr>
        <w:t>capacidad dual de internación institucional y extramural</w:t>
      </w:r>
      <w:r w:rsidRPr="00121F70">
        <w:rPr>
          <w:rFonts w:ascii="Aptos" w:eastAsia="Google Sans" w:hAnsi="Aptos" w:cs="Google Sans"/>
          <w:color w:val="444746"/>
          <w:sz w:val="24"/>
          <w:szCs w:val="24"/>
          <w:vertAlign w:val="superscript"/>
        </w:rPr>
        <w:t>20</w:t>
      </w:r>
      <w:r w:rsidRPr="00121F70">
        <w:rPr>
          <w:rFonts w:ascii="Aptos" w:eastAsia="Google Sans" w:hAnsi="Aptos" w:cs="Google Sans"/>
          <w:color w:val="1F1F1F"/>
        </w:rPr>
        <w:t>. Mientras los competidores puramente domiciliarios deben devolver a los pacientes descompensados a los saturados servicios de urgencias de los hospitales de la red pública o privada, Optimus Health posee camas institucionales habilitadas para pacientes crónicos con y sin ventilación asistida</w:t>
      </w:r>
      <w:r w:rsidRPr="00121F70">
        <w:rPr>
          <w:rFonts w:ascii="Aptos" w:eastAsia="Google Sans" w:hAnsi="Aptos" w:cs="Google Sans"/>
          <w:color w:val="444746"/>
          <w:sz w:val="24"/>
          <w:szCs w:val="24"/>
          <w:vertAlign w:val="superscript"/>
        </w:rPr>
        <w:t>20</w:t>
      </w:r>
      <w:r w:rsidRPr="00121F70">
        <w:rPr>
          <w:rFonts w:ascii="Aptos" w:eastAsia="Google Sans" w:hAnsi="Aptos" w:cs="Google Sans"/>
          <w:color w:val="1F1F1F"/>
        </w:rPr>
        <w:t>.</w:t>
      </w:r>
    </w:p>
    <w:p w14:paraId="0A579A9C"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 xml:space="preserve">Esta infraestructura física permite articular esquemas de "cuidado transicional": el paciente es recibido desde clínicas de agudos en la sede institucional de Optimus Health para estabilizarlo y adiestrar a la familia, para luego </w:t>
      </w:r>
      <w:proofErr w:type="spellStart"/>
      <w:r w:rsidRPr="00121F70">
        <w:rPr>
          <w:rFonts w:ascii="Aptos" w:eastAsia="Google Sans" w:hAnsi="Aptos" w:cs="Google Sans"/>
          <w:color w:val="1F1F1F"/>
        </w:rPr>
        <w:t>desescalarlo</w:t>
      </w:r>
      <w:proofErr w:type="spellEnd"/>
      <w:r w:rsidRPr="00121F70">
        <w:rPr>
          <w:rFonts w:ascii="Aptos" w:eastAsia="Google Sans" w:hAnsi="Aptos" w:cs="Google Sans"/>
          <w:color w:val="1F1F1F"/>
        </w:rPr>
        <w:t xml:space="preserve"> de forma planificada hacia la hospitalización domiciliaria bajo la supervisión del mismo equipo interdisciplinario</w:t>
      </w:r>
      <w:r w:rsidRPr="00121F70">
        <w:rPr>
          <w:rFonts w:ascii="Aptos" w:eastAsia="Google Sans" w:hAnsi="Aptos" w:cs="Google Sans"/>
          <w:color w:val="444746"/>
          <w:sz w:val="24"/>
          <w:szCs w:val="24"/>
          <w:vertAlign w:val="superscript"/>
        </w:rPr>
        <w:t>14</w:t>
      </w:r>
      <w:r w:rsidRPr="00121F70">
        <w:rPr>
          <w:rFonts w:ascii="Aptos" w:eastAsia="Google Sans" w:hAnsi="Aptos" w:cs="Google Sans"/>
          <w:color w:val="1F1F1F"/>
        </w:rPr>
        <w:t>. Este flujo integrado reduce los costos de fricción y transacción para las EPS, asegurando continuidad asistencial ininterrumpida</w:t>
      </w:r>
      <w:r w:rsidRPr="00121F70">
        <w:rPr>
          <w:rFonts w:ascii="Aptos" w:eastAsia="Google Sans" w:hAnsi="Aptos" w:cs="Google Sans"/>
          <w:color w:val="444746"/>
          <w:sz w:val="24"/>
          <w:szCs w:val="24"/>
          <w:vertAlign w:val="superscript"/>
        </w:rPr>
        <w:t>14</w:t>
      </w:r>
      <w:r w:rsidRPr="00121F70">
        <w:rPr>
          <w:rFonts w:ascii="Aptos" w:eastAsia="Google Sans" w:hAnsi="Aptos" w:cs="Google Sans"/>
          <w:color w:val="1F1F1F"/>
        </w:rPr>
        <w:t>.</w:t>
      </w:r>
    </w:p>
    <w:p w14:paraId="1A848867" w14:textId="77777777" w:rsidR="00D66A28" w:rsidRDefault="00D66A28" w:rsidP="00121F70">
      <w:pPr>
        <w:pStyle w:val="Ttulo2"/>
        <w:spacing w:before="0" w:after="0" w:line="275" w:lineRule="auto"/>
        <w:jc w:val="both"/>
        <w:rPr>
          <w:rFonts w:ascii="Aptos" w:eastAsia="Google Sans" w:hAnsi="Aptos" w:cs="Google Sans"/>
          <w:color w:val="1F1F1F"/>
        </w:rPr>
      </w:pPr>
    </w:p>
    <w:p w14:paraId="5DD2FDD4" w14:textId="3C581759" w:rsidR="00082937" w:rsidRPr="00121F70" w:rsidRDefault="00000000" w:rsidP="00121F70">
      <w:pPr>
        <w:pStyle w:val="Ttulo2"/>
        <w:spacing w:before="0" w:after="0" w:line="275" w:lineRule="auto"/>
        <w:jc w:val="both"/>
        <w:rPr>
          <w:rFonts w:ascii="Aptos" w:eastAsia="Google Sans" w:hAnsi="Aptos" w:cs="Google Sans"/>
          <w:color w:val="1F1F1F"/>
        </w:rPr>
      </w:pPr>
      <w:r w:rsidRPr="00121F70">
        <w:rPr>
          <w:rFonts w:ascii="Aptos" w:eastAsia="Google Sans" w:hAnsi="Aptos" w:cs="Google Sans"/>
          <w:color w:val="1F1F1F"/>
        </w:rPr>
        <w:t>Entorno Macroeconómico e Institucional: Marco PESTEL Integrado</w:t>
      </w:r>
    </w:p>
    <w:p w14:paraId="02609FD6" w14:textId="77777777" w:rsidR="00082937" w:rsidRPr="00121F70" w:rsidRDefault="00000000" w:rsidP="00121F70">
      <w:pPr>
        <w:pStyle w:val="Ttulo3"/>
        <w:spacing w:before="0" w:after="0" w:line="275" w:lineRule="auto"/>
        <w:jc w:val="both"/>
        <w:rPr>
          <w:rFonts w:ascii="Aptos" w:eastAsia="Google Sans" w:hAnsi="Aptos" w:cs="Google Sans"/>
          <w:color w:val="1F1F1F"/>
        </w:rPr>
      </w:pPr>
      <w:r w:rsidRPr="00121F70">
        <w:rPr>
          <w:rFonts w:ascii="Aptos" w:eastAsia="Google Sans" w:hAnsi="Aptos" w:cs="Google Sans"/>
          <w:color w:val="1F1F1F"/>
        </w:rPr>
        <w:t>Dimensión Política</w:t>
      </w:r>
    </w:p>
    <w:p w14:paraId="4FE084D8"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El debate nacional alrededor de la reforma al sistema de salud (Proyecto de Ley 410 de 2025 Senado / 312 de 2024 Cámara) plantea una profunda reestructuración institucional centrada en las Redes Integrales e Integradas Territoriales de Salud (RIITS) y la operación resolutiva de los Centros de Atención Primaria en Salud (CAPS)</w:t>
      </w:r>
      <w:r w:rsidRPr="00121F70">
        <w:rPr>
          <w:rFonts w:ascii="Aptos" w:eastAsia="Google Sans" w:hAnsi="Aptos" w:cs="Google Sans"/>
          <w:color w:val="444746"/>
          <w:sz w:val="24"/>
          <w:szCs w:val="24"/>
          <w:vertAlign w:val="superscript"/>
        </w:rPr>
        <w:t>37</w:t>
      </w:r>
      <w:r w:rsidRPr="00121F70">
        <w:rPr>
          <w:rFonts w:ascii="Aptos" w:eastAsia="Google Sans" w:hAnsi="Aptos" w:cs="Google Sans"/>
          <w:color w:val="1F1F1F"/>
        </w:rPr>
        <w:t>. Esta transformación busca desmontar la concentración de servicios en instituciones hospitalarias de alta complejidad para trasladar el centro de gravedad hacia la atención primaria, los equipos extramurales y el cuidado domiciliario</w:t>
      </w:r>
      <w:r w:rsidRPr="00121F70">
        <w:rPr>
          <w:rFonts w:ascii="Aptos" w:eastAsia="Google Sans" w:hAnsi="Aptos" w:cs="Google Sans"/>
          <w:color w:val="444746"/>
          <w:sz w:val="24"/>
          <w:szCs w:val="24"/>
          <w:vertAlign w:val="superscript"/>
        </w:rPr>
        <w:t>37</w:t>
      </w:r>
      <w:r w:rsidRPr="00121F70">
        <w:rPr>
          <w:rFonts w:ascii="Aptos" w:eastAsia="Google Sans" w:hAnsi="Aptos" w:cs="Google Sans"/>
          <w:color w:val="1F1F1F"/>
        </w:rPr>
        <w:t>.</w:t>
      </w:r>
    </w:p>
    <w:p w14:paraId="735543D6"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lastRenderedPageBreak/>
        <w:t>Para Optimus Health, esta orientación de política pública representa una coyuntura favorable, ya que su modelo descentralizado encaja de manera natural en las funciones asignadas a los equipos resolutivos territoriales</w:t>
      </w:r>
      <w:r w:rsidRPr="00121F70">
        <w:rPr>
          <w:rFonts w:ascii="Aptos" w:eastAsia="Google Sans" w:hAnsi="Aptos" w:cs="Google Sans"/>
          <w:color w:val="444746"/>
          <w:sz w:val="24"/>
          <w:szCs w:val="24"/>
          <w:vertAlign w:val="superscript"/>
        </w:rPr>
        <w:t>20</w:t>
      </w:r>
      <w:r w:rsidRPr="00121F70">
        <w:rPr>
          <w:rFonts w:ascii="Aptos" w:eastAsia="Google Sans" w:hAnsi="Aptos" w:cs="Google Sans"/>
          <w:color w:val="1F1F1F"/>
        </w:rPr>
        <w:t>. No obstante, el entorno político local se halla condicionado por la intervención forzosa de aseguradoras de gran envergadura como Nueva EPS por parte del Gobierno Nacional</w:t>
      </w:r>
      <w:r w:rsidRPr="00121F70">
        <w:rPr>
          <w:rFonts w:ascii="Aptos" w:eastAsia="Google Sans" w:hAnsi="Aptos" w:cs="Google Sans"/>
          <w:color w:val="444746"/>
          <w:sz w:val="24"/>
          <w:szCs w:val="24"/>
          <w:vertAlign w:val="superscript"/>
        </w:rPr>
        <w:t>31</w:t>
      </w:r>
      <w:r w:rsidRPr="00121F70">
        <w:rPr>
          <w:rFonts w:ascii="Aptos" w:eastAsia="Google Sans" w:hAnsi="Aptos" w:cs="Google Sans"/>
          <w:color w:val="1F1F1F"/>
        </w:rPr>
        <w:t>. Estas medidas introducen incertidumbres transitorias en la ratificación de contratos, requiriendo que la IPS mantenga una interlocución técnica permanente con interventores y comités de red territoriales</w:t>
      </w:r>
      <w:r w:rsidRPr="00121F70">
        <w:rPr>
          <w:rFonts w:ascii="Aptos" w:eastAsia="Google Sans" w:hAnsi="Aptos" w:cs="Google Sans"/>
          <w:color w:val="444746"/>
          <w:sz w:val="24"/>
          <w:szCs w:val="24"/>
          <w:vertAlign w:val="superscript"/>
        </w:rPr>
        <w:t>31</w:t>
      </w:r>
      <w:r w:rsidRPr="00121F70">
        <w:rPr>
          <w:rFonts w:ascii="Aptos" w:eastAsia="Google Sans" w:hAnsi="Aptos" w:cs="Google Sans"/>
          <w:color w:val="1F1F1F"/>
        </w:rPr>
        <w:t>.</w:t>
      </w:r>
    </w:p>
    <w:p w14:paraId="03ABE0EF" w14:textId="77777777" w:rsidR="00996729" w:rsidRDefault="00996729" w:rsidP="00121F70">
      <w:pPr>
        <w:pStyle w:val="Ttulo3"/>
        <w:spacing w:before="0" w:after="0" w:line="275" w:lineRule="auto"/>
        <w:jc w:val="both"/>
        <w:rPr>
          <w:rFonts w:ascii="Aptos" w:eastAsia="Google Sans" w:hAnsi="Aptos" w:cs="Google Sans"/>
          <w:color w:val="1F1F1F"/>
        </w:rPr>
      </w:pPr>
    </w:p>
    <w:p w14:paraId="291852C4" w14:textId="79426865" w:rsidR="00082937" w:rsidRPr="00121F70" w:rsidRDefault="00000000" w:rsidP="00121F70">
      <w:pPr>
        <w:pStyle w:val="Ttulo3"/>
        <w:spacing w:before="0" w:after="0" w:line="275" w:lineRule="auto"/>
        <w:jc w:val="both"/>
        <w:rPr>
          <w:rFonts w:ascii="Aptos" w:eastAsia="Google Sans" w:hAnsi="Aptos" w:cs="Google Sans"/>
          <w:color w:val="1F1F1F"/>
        </w:rPr>
      </w:pPr>
      <w:r w:rsidRPr="00121F70">
        <w:rPr>
          <w:rFonts w:ascii="Aptos" w:eastAsia="Google Sans" w:hAnsi="Aptos" w:cs="Google Sans"/>
          <w:color w:val="1F1F1F"/>
        </w:rPr>
        <w:t>Dimensión Económica</w:t>
      </w:r>
    </w:p>
    <w:p w14:paraId="252C03F1"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El sector salud experimenta tensiones financieras asociadas a las discusiones sobre la suficiencia de la Unidad de Pago por Capitación (UPC) frente al incremento en los costos de tecnologías médicas, medicamentos e insumos importados</w:t>
      </w:r>
      <w:r w:rsidRPr="00121F70">
        <w:rPr>
          <w:rFonts w:ascii="Aptos" w:eastAsia="Google Sans" w:hAnsi="Aptos" w:cs="Google Sans"/>
          <w:color w:val="444746"/>
          <w:sz w:val="24"/>
          <w:szCs w:val="24"/>
          <w:vertAlign w:val="superscript"/>
        </w:rPr>
        <w:t>31</w:t>
      </w:r>
      <w:r w:rsidRPr="00121F70">
        <w:rPr>
          <w:rFonts w:ascii="Aptos" w:eastAsia="Google Sans" w:hAnsi="Aptos" w:cs="Google Sans"/>
          <w:color w:val="1F1F1F"/>
        </w:rPr>
        <w:t>. En este escenario de estrechez fiscal, las aseguradoras priorizan modalidades asistenciales que contengan el gasto hospitalario. La hospitalización domiciliaria ofrece un ahorro operativo estimado entre el 40% y el 60% por día de atención frente a una cama clínica tradicional, posicionando a Optimus Health como un aliado indispensable para la sostenibilidad financiera de las EPS</w:t>
      </w:r>
      <w:r w:rsidRPr="00121F70">
        <w:rPr>
          <w:rFonts w:ascii="Aptos" w:eastAsia="Google Sans" w:hAnsi="Aptos" w:cs="Google Sans"/>
          <w:color w:val="444746"/>
          <w:sz w:val="24"/>
          <w:szCs w:val="24"/>
          <w:vertAlign w:val="superscript"/>
        </w:rPr>
        <w:t>19</w:t>
      </w:r>
      <w:r w:rsidRPr="00121F70">
        <w:rPr>
          <w:rFonts w:ascii="Aptos" w:eastAsia="Google Sans" w:hAnsi="Aptos" w:cs="Google Sans"/>
          <w:color w:val="1F1F1F"/>
        </w:rPr>
        <w:t>.</w:t>
      </w:r>
    </w:p>
    <w:p w14:paraId="24A00D1E"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La masificación del giro directo desde la ADRES —amparada en el Decreto 489 de 2024— ha brindado una vía de alivio crucial para la cartera corriente de las IPS, blindando el capital de trabajo de los prestadores formales frente al deterioro patrimonial de las EPS</w:t>
      </w:r>
      <w:r w:rsidRPr="00121F70">
        <w:rPr>
          <w:rFonts w:ascii="Aptos" w:eastAsia="Google Sans" w:hAnsi="Aptos" w:cs="Google Sans"/>
          <w:color w:val="444746"/>
          <w:sz w:val="24"/>
          <w:szCs w:val="24"/>
          <w:vertAlign w:val="superscript"/>
        </w:rPr>
        <w:t>30</w:t>
      </w:r>
      <w:r w:rsidRPr="00121F70">
        <w:rPr>
          <w:rFonts w:ascii="Aptos" w:eastAsia="Google Sans" w:hAnsi="Aptos" w:cs="Google Sans"/>
          <w:color w:val="1F1F1F"/>
        </w:rPr>
        <w:t>. No obstante, la cartera histórica auditada pendiente con entidades en proceso de liquidación continúa siendo una amenaza latente que exige provisiones contables prudentes</w:t>
      </w:r>
      <w:r w:rsidRPr="00121F70">
        <w:rPr>
          <w:rFonts w:ascii="Aptos" w:eastAsia="Google Sans" w:hAnsi="Aptos" w:cs="Google Sans"/>
          <w:color w:val="444746"/>
          <w:sz w:val="24"/>
          <w:szCs w:val="24"/>
          <w:vertAlign w:val="superscript"/>
        </w:rPr>
        <w:t>40</w:t>
      </w:r>
      <w:r w:rsidRPr="00121F70">
        <w:rPr>
          <w:rFonts w:ascii="Aptos" w:eastAsia="Google Sans" w:hAnsi="Aptos" w:cs="Google Sans"/>
          <w:color w:val="1F1F1F"/>
        </w:rPr>
        <w:t>. En el ámbito del mercado local, el bajo poder adquisitivo promedio de Sincelejo descarta cualquier estrategia basada en tarifas particulares puras, circunscribiendo la viabilidad económica a la facturación ante el sistema institucional</w:t>
      </w:r>
      <w:r w:rsidRPr="00121F70">
        <w:rPr>
          <w:rFonts w:ascii="Aptos" w:eastAsia="Google Sans" w:hAnsi="Aptos" w:cs="Google Sans"/>
          <w:color w:val="444746"/>
          <w:sz w:val="24"/>
          <w:szCs w:val="24"/>
          <w:vertAlign w:val="superscript"/>
        </w:rPr>
        <w:t>2</w:t>
      </w:r>
      <w:r w:rsidRPr="00121F70">
        <w:rPr>
          <w:rFonts w:ascii="Aptos" w:eastAsia="Google Sans" w:hAnsi="Aptos" w:cs="Google Sans"/>
          <w:color w:val="1F1F1F"/>
        </w:rPr>
        <w:t>.</w:t>
      </w:r>
    </w:p>
    <w:p w14:paraId="1386C7F6" w14:textId="77777777" w:rsidR="00996729" w:rsidRDefault="00996729" w:rsidP="00121F70">
      <w:pPr>
        <w:pStyle w:val="Ttulo3"/>
        <w:spacing w:before="0" w:after="0" w:line="275" w:lineRule="auto"/>
        <w:jc w:val="both"/>
        <w:rPr>
          <w:rFonts w:ascii="Aptos" w:eastAsia="Google Sans" w:hAnsi="Aptos" w:cs="Google Sans"/>
          <w:color w:val="1F1F1F"/>
        </w:rPr>
      </w:pPr>
    </w:p>
    <w:p w14:paraId="2B240633" w14:textId="73E0D636" w:rsidR="00082937" w:rsidRPr="00121F70" w:rsidRDefault="00000000" w:rsidP="00121F70">
      <w:pPr>
        <w:pStyle w:val="Ttulo3"/>
        <w:spacing w:before="0" w:after="0" w:line="275" w:lineRule="auto"/>
        <w:jc w:val="both"/>
        <w:rPr>
          <w:rFonts w:ascii="Aptos" w:eastAsia="Google Sans" w:hAnsi="Aptos" w:cs="Google Sans"/>
          <w:color w:val="1F1F1F"/>
        </w:rPr>
      </w:pPr>
      <w:r w:rsidRPr="00121F70">
        <w:rPr>
          <w:rFonts w:ascii="Aptos" w:eastAsia="Google Sans" w:hAnsi="Aptos" w:cs="Google Sans"/>
          <w:color w:val="1F1F1F"/>
        </w:rPr>
        <w:t>Dimensión Social</w:t>
      </w:r>
    </w:p>
    <w:p w14:paraId="200EA540"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La acelerada transición demográfica de Sincelejo, caracterizada por un incremento en la longevidad y una disminución de las tasas de natalidad, ensancha la base de personas mayores con pérdida progresiva de autonomía física y cognitiva</w:t>
      </w:r>
      <w:r w:rsidRPr="00121F70">
        <w:rPr>
          <w:rFonts w:ascii="Aptos" w:eastAsia="Google Sans" w:hAnsi="Aptos" w:cs="Google Sans"/>
          <w:color w:val="444746"/>
          <w:sz w:val="24"/>
          <w:szCs w:val="24"/>
          <w:vertAlign w:val="superscript"/>
        </w:rPr>
        <w:t>1</w:t>
      </w:r>
      <w:r w:rsidRPr="00121F70">
        <w:rPr>
          <w:rFonts w:ascii="Aptos" w:eastAsia="Google Sans" w:hAnsi="Aptos" w:cs="Google Sans"/>
          <w:color w:val="1F1F1F"/>
        </w:rPr>
        <w:t>. Esta dinámica choca frontalmente con la estructura sociofamiliar de la región. La persistencia de la pobreza monetaria y los altos índices de empleo informal impiden que los hogares contraten personal de enfermería privado, recayendo la carga asistencial sobre cuidadores informales no remunerados, típicamente mujeres del núcleo familiar</w:t>
      </w:r>
      <w:r w:rsidRPr="00121F70">
        <w:rPr>
          <w:rFonts w:ascii="Aptos" w:eastAsia="Google Sans" w:hAnsi="Aptos" w:cs="Google Sans"/>
          <w:color w:val="444746"/>
          <w:sz w:val="24"/>
          <w:szCs w:val="24"/>
          <w:vertAlign w:val="superscript"/>
        </w:rPr>
        <w:t>6</w:t>
      </w:r>
      <w:r w:rsidRPr="00121F70">
        <w:rPr>
          <w:rFonts w:ascii="Aptos" w:eastAsia="Google Sans" w:hAnsi="Aptos" w:cs="Google Sans"/>
          <w:color w:val="1F1F1F"/>
        </w:rPr>
        <w:t>.</w:t>
      </w:r>
    </w:p>
    <w:p w14:paraId="6CE6501B"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Este fenómeno genera el colapso funcional del cuidador por sobrecarga física y emocional</w:t>
      </w:r>
      <w:r w:rsidRPr="00121F70">
        <w:rPr>
          <w:rFonts w:ascii="Aptos" w:eastAsia="Google Sans" w:hAnsi="Aptos" w:cs="Google Sans"/>
          <w:color w:val="444746"/>
          <w:sz w:val="24"/>
          <w:szCs w:val="24"/>
          <w:vertAlign w:val="superscript"/>
        </w:rPr>
        <w:t>20</w:t>
      </w:r>
      <w:r w:rsidRPr="00121F70">
        <w:rPr>
          <w:rFonts w:ascii="Aptos" w:eastAsia="Google Sans" w:hAnsi="Aptos" w:cs="Google Sans"/>
          <w:color w:val="1F1F1F"/>
        </w:rPr>
        <w:t>. En concordancia con el marco de la Ley 2297 de 2023, que reconoce y busca proteger a los cuidadores de personas con discapacidad, Optimus Health cuenta con una oportunidad social prioritaria: sus servicios interdisciplinarios de trabajo social, psicología y acompañamiento del duelo proveen un soporte integral que va más allá de la mera administración de medicamentos, protegiendo al cuidador y preservando la viabilidad del hogar como escenario terapéutico</w:t>
      </w:r>
      <w:r w:rsidRPr="00121F70">
        <w:rPr>
          <w:rFonts w:ascii="Aptos" w:eastAsia="Google Sans" w:hAnsi="Aptos" w:cs="Google Sans"/>
          <w:color w:val="444746"/>
          <w:sz w:val="24"/>
          <w:szCs w:val="24"/>
          <w:vertAlign w:val="superscript"/>
        </w:rPr>
        <w:t>20</w:t>
      </w:r>
      <w:r w:rsidRPr="00121F70">
        <w:rPr>
          <w:rFonts w:ascii="Aptos" w:eastAsia="Google Sans" w:hAnsi="Aptos" w:cs="Google Sans"/>
          <w:color w:val="1F1F1F"/>
        </w:rPr>
        <w:t>.</w:t>
      </w:r>
    </w:p>
    <w:p w14:paraId="275FB2BA" w14:textId="77777777" w:rsidR="00996729" w:rsidRDefault="00996729" w:rsidP="00121F70">
      <w:pPr>
        <w:pStyle w:val="Ttulo3"/>
        <w:spacing w:before="0" w:after="0" w:line="275" w:lineRule="auto"/>
        <w:jc w:val="both"/>
        <w:rPr>
          <w:rFonts w:ascii="Aptos" w:eastAsia="Google Sans" w:hAnsi="Aptos" w:cs="Google Sans"/>
          <w:color w:val="1F1F1F"/>
        </w:rPr>
      </w:pPr>
    </w:p>
    <w:p w14:paraId="5A9BFD10" w14:textId="34B1E309" w:rsidR="00082937" w:rsidRPr="00121F70" w:rsidRDefault="00000000" w:rsidP="00121F70">
      <w:pPr>
        <w:pStyle w:val="Ttulo3"/>
        <w:spacing w:before="0" w:after="0" w:line="275" w:lineRule="auto"/>
        <w:jc w:val="both"/>
        <w:rPr>
          <w:rFonts w:ascii="Aptos" w:eastAsia="Google Sans" w:hAnsi="Aptos" w:cs="Google Sans"/>
          <w:color w:val="1F1F1F"/>
        </w:rPr>
      </w:pPr>
      <w:r w:rsidRPr="00121F70">
        <w:rPr>
          <w:rFonts w:ascii="Aptos" w:eastAsia="Google Sans" w:hAnsi="Aptos" w:cs="Google Sans"/>
          <w:color w:val="1F1F1F"/>
        </w:rPr>
        <w:lastRenderedPageBreak/>
        <w:t>Dimensión Tecnológica</w:t>
      </w:r>
    </w:p>
    <w:p w14:paraId="2D484653"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La regulación del Ministerio de Salud y Protección Social exige la interoperabilidad plena entre los sistemas de información clínica y las plataformas de recaudo estatal, consolidando el mecanismo obligatorio de validación de los Registros Individuales de Prestación de Servicios de Salud (RIPS) asociados a la Factura Electrónica de Venta (FEV)</w:t>
      </w:r>
      <w:r w:rsidRPr="00121F70">
        <w:rPr>
          <w:rFonts w:ascii="Aptos" w:eastAsia="Google Sans" w:hAnsi="Aptos" w:cs="Google Sans"/>
          <w:color w:val="444746"/>
          <w:sz w:val="24"/>
          <w:szCs w:val="24"/>
          <w:vertAlign w:val="superscript"/>
        </w:rPr>
        <w:t>36</w:t>
      </w:r>
      <w:r w:rsidRPr="00121F70">
        <w:rPr>
          <w:rFonts w:ascii="Aptos" w:eastAsia="Google Sans" w:hAnsi="Aptos" w:cs="Google Sans"/>
          <w:color w:val="1F1F1F"/>
        </w:rPr>
        <w:t>. Las IPS que no cuenten con sistemas tecnológicos capaces de procesar datos clínicos estructurados sufren rechazos automáticos de radicación y congelamiento de sus pagos</w:t>
      </w:r>
      <w:r w:rsidRPr="00121F70">
        <w:rPr>
          <w:rFonts w:ascii="Aptos" w:eastAsia="Google Sans" w:hAnsi="Aptos" w:cs="Google Sans"/>
          <w:color w:val="444746"/>
          <w:sz w:val="24"/>
          <w:szCs w:val="24"/>
          <w:vertAlign w:val="superscript"/>
        </w:rPr>
        <w:t>30</w:t>
      </w:r>
      <w:r w:rsidRPr="00121F70">
        <w:rPr>
          <w:rFonts w:ascii="Aptos" w:eastAsia="Google Sans" w:hAnsi="Aptos" w:cs="Google Sans"/>
          <w:color w:val="1F1F1F"/>
        </w:rPr>
        <w:t>.</w:t>
      </w:r>
    </w:p>
    <w:p w14:paraId="48BEAD20"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 xml:space="preserve">De forma simultánea, el despliegue de herramientas de telesalud, plataformas de </w:t>
      </w:r>
      <w:proofErr w:type="spellStart"/>
      <w:r w:rsidRPr="00121F70">
        <w:rPr>
          <w:rFonts w:ascii="Aptos" w:eastAsia="Google Sans" w:hAnsi="Aptos" w:cs="Google Sans"/>
          <w:color w:val="1F1F1F"/>
        </w:rPr>
        <w:t>tele-experticia</w:t>
      </w:r>
      <w:proofErr w:type="spellEnd"/>
      <w:r w:rsidRPr="00121F70">
        <w:rPr>
          <w:rFonts w:ascii="Aptos" w:eastAsia="Google Sans" w:hAnsi="Aptos" w:cs="Google Sans"/>
          <w:color w:val="1F1F1F"/>
        </w:rPr>
        <w:t xml:space="preserve"> y dispositivos de monitorización remota de signos vitales (tensiómetros digitales, glucómetros conectados y pulsioxímetros con conectividad) transforma la gestión domiciliaria</w:t>
      </w:r>
      <w:r w:rsidRPr="00121F70">
        <w:rPr>
          <w:rFonts w:ascii="Aptos" w:eastAsia="Google Sans" w:hAnsi="Aptos" w:cs="Google Sans"/>
          <w:color w:val="444746"/>
          <w:sz w:val="24"/>
          <w:szCs w:val="24"/>
          <w:vertAlign w:val="superscript"/>
        </w:rPr>
        <w:t>37</w:t>
      </w:r>
      <w:r w:rsidRPr="00121F70">
        <w:rPr>
          <w:rFonts w:ascii="Aptos" w:eastAsia="Google Sans" w:hAnsi="Aptos" w:cs="Google Sans"/>
          <w:color w:val="1F1F1F"/>
        </w:rPr>
        <w:t xml:space="preserve">. Para una IPS en Sincelejo, el </w:t>
      </w:r>
      <w:proofErr w:type="spellStart"/>
      <w:r w:rsidRPr="00121F70">
        <w:rPr>
          <w:rFonts w:ascii="Aptos" w:eastAsia="Google Sans" w:hAnsi="Aptos" w:cs="Google Sans"/>
          <w:color w:val="1F1F1F"/>
        </w:rPr>
        <w:t>telemonitoreo</w:t>
      </w:r>
      <w:proofErr w:type="spellEnd"/>
      <w:r w:rsidRPr="00121F70">
        <w:rPr>
          <w:rFonts w:ascii="Aptos" w:eastAsia="Google Sans" w:hAnsi="Aptos" w:cs="Google Sans"/>
          <w:color w:val="1F1F1F"/>
        </w:rPr>
        <w:t xml:space="preserve"> asincrónico permite detectar oportunamente signos de descompensación en pacientes con insuficiencia cardíaca o diabetes sin necesidad de movilizar personal médico en cada evento, optimizando la productividad del talento humano asistencial</w:t>
      </w:r>
      <w:r w:rsidRPr="00121F70">
        <w:rPr>
          <w:rFonts w:ascii="Aptos" w:eastAsia="Google Sans" w:hAnsi="Aptos" w:cs="Google Sans"/>
          <w:color w:val="444746"/>
          <w:sz w:val="24"/>
          <w:szCs w:val="24"/>
          <w:vertAlign w:val="superscript"/>
        </w:rPr>
        <w:t>18</w:t>
      </w:r>
      <w:r w:rsidRPr="00121F70">
        <w:rPr>
          <w:rFonts w:ascii="Aptos" w:eastAsia="Google Sans" w:hAnsi="Aptos" w:cs="Google Sans"/>
          <w:color w:val="1F1F1F"/>
        </w:rPr>
        <w:t>.</w:t>
      </w:r>
    </w:p>
    <w:p w14:paraId="0C362001" w14:textId="77777777" w:rsidR="00996729" w:rsidRDefault="00996729" w:rsidP="00121F70">
      <w:pPr>
        <w:pStyle w:val="Ttulo3"/>
        <w:spacing w:before="0" w:after="0" w:line="275" w:lineRule="auto"/>
        <w:jc w:val="both"/>
        <w:rPr>
          <w:rFonts w:ascii="Aptos" w:eastAsia="Google Sans" w:hAnsi="Aptos" w:cs="Google Sans"/>
          <w:color w:val="1F1F1F"/>
        </w:rPr>
      </w:pPr>
    </w:p>
    <w:p w14:paraId="56048FB2" w14:textId="65E7E481" w:rsidR="00082937" w:rsidRPr="00121F70" w:rsidRDefault="00000000" w:rsidP="00121F70">
      <w:pPr>
        <w:pStyle w:val="Ttulo3"/>
        <w:spacing w:before="0" w:after="0" w:line="275" w:lineRule="auto"/>
        <w:jc w:val="both"/>
        <w:rPr>
          <w:rFonts w:ascii="Aptos" w:eastAsia="Google Sans" w:hAnsi="Aptos" w:cs="Google Sans"/>
          <w:color w:val="1F1F1F"/>
        </w:rPr>
      </w:pPr>
      <w:r w:rsidRPr="00121F70">
        <w:rPr>
          <w:rFonts w:ascii="Aptos" w:eastAsia="Google Sans" w:hAnsi="Aptos" w:cs="Google Sans"/>
          <w:color w:val="1F1F1F"/>
        </w:rPr>
        <w:t>Dimensión Ambiental</w:t>
      </w:r>
    </w:p>
    <w:p w14:paraId="08098F29"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El contexto geográfico de Sincelejo se define por un clima cálido tropical con temperaturas sostenidas y altos niveles de humedad relativa, alternado con temporadas de intensas precipitaciones torrenciales que con frecuencia inundan sectores periurbanos y deterioran las vías terciarias</w:t>
      </w:r>
      <w:r w:rsidRPr="00121F70">
        <w:rPr>
          <w:rFonts w:ascii="Aptos" w:eastAsia="Google Sans" w:hAnsi="Aptos" w:cs="Google Sans"/>
          <w:color w:val="444746"/>
          <w:sz w:val="24"/>
          <w:szCs w:val="24"/>
          <w:vertAlign w:val="superscript"/>
        </w:rPr>
        <w:t>2</w:t>
      </w:r>
      <w:r w:rsidRPr="00121F70">
        <w:rPr>
          <w:rFonts w:ascii="Aptos" w:eastAsia="Google Sans" w:hAnsi="Aptos" w:cs="Google Sans"/>
          <w:color w:val="1F1F1F"/>
        </w:rPr>
        <w:t>. Esta realidad ambiental impacta directamente la operación de la atención extramural. La logística de distribución domiciliaria de biológicos, insulinas y medicamentos termolábiles exige rigurosos protocolos de cadena de frío en el transporte para asegurar la estabilidad farmacológica</w:t>
      </w:r>
      <w:r w:rsidRPr="00121F70">
        <w:rPr>
          <w:rFonts w:ascii="Aptos" w:eastAsia="Google Sans" w:hAnsi="Aptos" w:cs="Google Sans"/>
          <w:color w:val="444746"/>
          <w:sz w:val="24"/>
          <w:szCs w:val="24"/>
          <w:vertAlign w:val="superscript"/>
        </w:rPr>
        <w:t>20</w:t>
      </w:r>
      <w:r w:rsidRPr="00121F70">
        <w:rPr>
          <w:rFonts w:ascii="Aptos" w:eastAsia="Google Sans" w:hAnsi="Aptos" w:cs="Google Sans"/>
          <w:color w:val="1F1F1F"/>
        </w:rPr>
        <w:t>.</w:t>
      </w:r>
    </w:p>
    <w:p w14:paraId="71C5D628"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Adicionalmente, el traslado del acto médico al domicilio traslada consigo la generación de residuos peligrosos con riesgo biológico o infeccioso (gasas con exudado, apósitos, agujas, catéteres intravenosos y sistemas de succión)</w:t>
      </w:r>
      <w:r w:rsidRPr="00121F70">
        <w:rPr>
          <w:rFonts w:ascii="Aptos" w:eastAsia="Google Sans" w:hAnsi="Aptos" w:cs="Google Sans"/>
          <w:color w:val="444746"/>
          <w:sz w:val="24"/>
          <w:szCs w:val="24"/>
          <w:vertAlign w:val="superscript"/>
        </w:rPr>
        <w:t>19</w:t>
      </w:r>
      <w:r w:rsidRPr="00121F70">
        <w:rPr>
          <w:rFonts w:ascii="Aptos" w:eastAsia="Google Sans" w:hAnsi="Aptos" w:cs="Google Sans"/>
          <w:color w:val="1F1F1F"/>
        </w:rPr>
        <w:t>. Optimus Health debe implementar programas de bioseguridad en el hogar y contratar rutas especiales de recolección de residuos biosanitarios para evitar la contaminación cruzada intradomiciliaria y sanciones impuestas por las corporaciones autónomas ambientales y las secretarías de salud</w:t>
      </w:r>
      <w:r w:rsidRPr="00121F70">
        <w:rPr>
          <w:rFonts w:ascii="Aptos" w:eastAsia="Google Sans" w:hAnsi="Aptos" w:cs="Google Sans"/>
          <w:color w:val="444746"/>
          <w:sz w:val="24"/>
          <w:szCs w:val="24"/>
          <w:vertAlign w:val="superscript"/>
        </w:rPr>
        <w:t>20</w:t>
      </w:r>
      <w:r w:rsidRPr="00121F70">
        <w:rPr>
          <w:rFonts w:ascii="Aptos" w:eastAsia="Google Sans" w:hAnsi="Aptos" w:cs="Google Sans"/>
          <w:color w:val="1F1F1F"/>
        </w:rPr>
        <w:t>.</w:t>
      </w:r>
    </w:p>
    <w:p w14:paraId="42134B74" w14:textId="77777777" w:rsidR="00996729" w:rsidRDefault="00996729" w:rsidP="00121F70">
      <w:pPr>
        <w:pStyle w:val="Ttulo3"/>
        <w:spacing w:before="0" w:after="0" w:line="275" w:lineRule="auto"/>
        <w:jc w:val="both"/>
        <w:rPr>
          <w:rFonts w:ascii="Aptos" w:eastAsia="Google Sans" w:hAnsi="Aptos" w:cs="Google Sans"/>
          <w:color w:val="1F1F1F"/>
        </w:rPr>
      </w:pPr>
    </w:p>
    <w:p w14:paraId="4DB5BA8F" w14:textId="13767280" w:rsidR="00082937" w:rsidRPr="00121F70" w:rsidRDefault="00000000" w:rsidP="00121F70">
      <w:pPr>
        <w:pStyle w:val="Ttulo3"/>
        <w:spacing w:before="0" w:after="0" w:line="275" w:lineRule="auto"/>
        <w:jc w:val="both"/>
        <w:rPr>
          <w:rFonts w:ascii="Aptos" w:eastAsia="Google Sans" w:hAnsi="Aptos" w:cs="Google Sans"/>
          <w:color w:val="1F1F1F"/>
        </w:rPr>
      </w:pPr>
      <w:r w:rsidRPr="00121F70">
        <w:rPr>
          <w:rFonts w:ascii="Aptos" w:eastAsia="Google Sans" w:hAnsi="Aptos" w:cs="Google Sans"/>
          <w:color w:val="1F1F1F"/>
        </w:rPr>
        <w:t>Dimensión Legal</w:t>
      </w:r>
    </w:p>
    <w:p w14:paraId="4FC2EDDE"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El régimen de habilitación establecido mediante la Resolución 3100 de 2019 impone rigurosos estándares para la modalidad extramural domiciliaria y la internación institucional de pacientes crónicos</w:t>
      </w:r>
      <w:r w:rsidRPr="00121F70">
        <w:rPr>
          <w:rFonts w:ascii="Aptos" w:eastAsia="Google Sans" w:hAnsi="Aptos" w:cs="Google Sans"/>
          <w:color w:val="444746"/>
          <w:sz w:val="24"/>
          <w:szCs w:val="24"/>
          <w:vertAlign w:val="superscript"/>
        </w:rPr>
        <w:t>20</w:t>
      </w:r>
      <w:r w:rsidRPr="00121F70">
        <w:rPr>
          <w:rFonts w:ascii="Aptos" w:eastAsia="Google Sans" w:hAnsi="Aptos" w:cs="Google Sans"/>
          <w:color w:val="1F1F1F"/>
        </w:rPr>
        <w:t>. Los requisitos para la atención domiciliaria de pacientes con ventilación mecánica asistida son especialmente estrictos en lo referente a cronogramas de mantenimiento biomédico preventivo, calibración de ventiladores y planes de contingencia ante fallas del suministro de energía eléctrica en los hogares</w:t>
      </w:r>
      <w:r w:rsidRPr="00121F70">
        <w:rPr>
          <w:rFonts w:ascii="Aptos" w:eastAsia="Google Sans" w:hAnsi="Aptos" w:cs="Google Sans"/>
          <w:color w:val="444746"/>
          <w:sz w:val="24"/>
          <w:szCs w:val="24"/>
          <w:vertAlign w:val="superscript"/>
        </w:rPr>
        <w:t>19</w:t>
      </w:r>
      <w:r w:rsidRPr="00121F70">
        <w:rPr>
          <w:rFonts w:ascii="Aptos" w:eastAsia="Google Sans" w:hAnsi="Aptos" w:cs="Google Sans"/>
          <w:color w:val="1F1F1F"/>
        </w:rPr>
        <w:t>.</w:t>
      </w:r>
    </w:p>
    <w:p w14:paraId="042C4966"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En el ámbito contractual, el Decreto 441 de 2022 regula los contenidos obligatorios, notas técnicas y mecanismos de liquidación de los acuerdos de voluntades</w:t>
      </w:r>
      <w:r w:rsidRPr="00121F70">
        <w:rPr>
          <w:rFonts w:ascii="Aptos" w:eastAsia="Google Sans" w:hAnsi="Aptos" w:cs="Google Sans"/>
          <w:color w:val="444746"/>
          <w:sz w:val="24"/>
          <w:szCs w:val="24"/>
          <w:vertAlign w:val="superscript"/>
        </w:rPr>
        <w:t>30</w:t>
      </w:r>
      <w:r w:rsidRPr="00121F70">
        <w:rPr>
          <w:rFonts w:ascii="Aptos" w:eastAsia="Google Sans" w:hAnsi="Aptos" w:cs="Google Sans"/>
          <w:color w:val="1F1F1F"/>
        </w:rPr>
        <w:t xml:space="preserve">. Finalmente, la Ley 1733 de 2014 (Ley Consuelo Devis Saavedra) consagra el derecho fundamental de los pacientes con enfermedades terminales, crónicas, degenerativas e irreversibles a acceder a cuidados paliativos integrales y al </w:t>
      </w:r>
      <w:r w:rsidRPr="00121F70">
        <w:rPr>
          <w:rFonts w:ascii="Aptos" w:eastAsia="Google Sans" w:hAnsi="Aptos" w:cs="Google Sans"/>
          <w:color w:val="1F1F1F"/>
        </w:rPr>
        <w:lastRenderedPageBreak/>
        <w:t>manejo integral del dolor</w:t>
      </w:r>
      <w:r w:rsidRPr="00121F70">
        <w:rPr>
          <w:rFonts w:ascii="Aptos" w:eastAsia="Google Sans" w:hAnsi="Aptos" w:cs="Google Sans"/>
          <w:color w:val="444746"/>
          <w:sz w:val="24"/>
          <w:szCs w:val="24"/>
          <w:vertAlign w:val="superscript"/>
        </w:rPr>
        <w:t>20</w:t>
      </w:r>
      <w:r w:rsidRPr="00121F70">
        <w:rPr>
          <w:rFonts w:ascii="Aptos" w:eastAsia="Google Sans" w:hAnsi="Aptos" w:cs="Google Sans"/>
          <w:color w:val="1F1F1F"/>
        </w:rPr>
        <w:t>. Este mandato legal confiere blindaje normativo a los servicios de cuidados paliativos y unidad de duelo que Optimus Health tiene habilitados dentro de su sede y en los domicilios</w:t>
      </w:r>
      <w:r w:rsidRPr="00121F70">
        <w:rPr>
          <w:rFonts w:ascii="Aptos" w:eastAsia="Google Sans" w:hAnsi="Aptos" w:cs="Google Sans"/>
          <w:color w:val="444746"/>
          <w:sz w:val="24"/>
          <w:szCs w:val="24"/>
          <w:vertAlign w:val="superscript"/>
        </w:rPr>
        <w:t>20</w:t>
      </w:r>
      <w:r w:rsidRPr="00121F70">
        <w:rPr>
          <w:rFonts w:ascii="Aptos" w:eastAsia="Google Sans" w:hAnsi="Aptos" w:cs="Google Sans"/>
          <w:color w:val="1F1F1F"/>
        </w:rPr>
        <w:t>.</w:t>
      </w:r>
    </w:p>
    <w:p w14:paraId="4AC7D8C2" w14:textId="77777777" w:rsidR="00892C66" w:rsidRDefault="00892C66" w:rsidP="00121F70">
      <w:pPr>
        <w:pStyle w:val="Ttulo2"/>
        <w:spacing w:before="0" w:after="0" w:line="275" w:lineRule="auto"/>
        <w:jc w:val="both"/>
        <w:rPr>
          <w:rFonts w:ascii="Aptos" w:eastAsia="Google Sans" w:hAnsi="Aptos" w:cs="Google Sans"/>
          <w:color w:val="1F1F1F"/>
        </w:rPr>
      </w:pPr>
    </w:p>
    <w:p w14:paraId="3208892D" w14:textId="76F25C32" w:rsidR="00082937" w:rsidRPr="00121F70" w:rsidRDefault="00000000" w:rsidP="00121F70">
      <w:pPr>
        <w:pStyle w:val="Ttulo2"/>
        <w:spacing w:before="0" w:after="0" w:line="275" w:lineRule="auto"/>
        <w:jc w:val="both"/>
        <w:rPr>
          <w:rFonts w:ascii="Aptos" w:eastAsia="Google Sans" w:hAnsi="Aptos" w:cs="Google Sans"/>
          <w:color w:val="1F1F1F"/>
        </w:rPr>
      </w:pPr>
      <w:r w:rsidRPr="00121F70">
        <w:rPr>
          <w:rFonts w:ascii="Aptos" w:eastAsia="Google Sans" w:hAnsi="Aptos" w:cs="Google Sans"/>
          <w:color w:val="1F1F1F"/>
        </w:rPr>
        <w:t>Matriz Estratégica de Amenazas y Oportunidades</w:t>
      </w:r>
    </w:p>
    <w:p w14:paraId="0C8342E4" w14:textId="77777777" w:rsidR="00082937" w:rsidRPr="00121F70" w:rsidRDefault="00082937" w:rsidP="00121F70">
      <w:pPr>
        <w:pBdr>
          <w:top w:val="nil"/>
          <w:left w:val="nil"/>
          <w:bottom w:val="nil"/>
          <w:right w:val="nil"/>
          <w:between w:val="nil"/>
        </w:pBdr>
        <w:spacing w:line="275" w:lineRule="auto"/>
        <w:jc w:val="both"/>
        <w:rPr>
          <w:rFonts w:ascii="Aptos" w:eastAsia="Google Sans" w:hAnsi="Aptos" w:cs="Google Sans"/>
          <w:color w:val="1F1F1F"/>
        </w:rPr>
      </w:pPr>
    </w:p>
    <w:tbl>
      <w:tblPr>
        <w:tblStyle w:val="a2"/>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402"/>
        <w:gridCol w:w="3479"/>
        <w:gridCol w:w="3479"/>
      </w:tblGrid>
      <w:tr w:rsidR="00082937" w:rsidRPr="000C356D" w14:paraId="598A685E" w14:textId="77777777" w:rsidTr="000C356D">
        <w:tc>
          <w:tcPr>
            <w:tcW w:w="240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2A9D981" w14:textId="77777777" w:rsidR="00082937" w:rsidRPr="000C356D" w:rsidRDefault="00000000" w:rsidP="000C356D">
            <w:pPr>
              <w:pBdr>
                <w:top w:val="nil"/>
                <w:left w:val="nil"/>
                <w:bottom w:val="nil"/>
                <w:right w:val="nil"/>
                <w:between w:val="nil"/>
              </w:pBdr>
              <w:spacing w:before="120" w:after="120" w:line="275" w:lineRule="auto"/>
              <w:jc w:val="center"/>
              <w:rPr>
                <w:rFonts w:ascii="Aptos" w:eastAsia="Google Sans" w:hAnsi="Aptos" w:cs="Google Sans"/>
                <w:b/>
                <w:bCs/>
                <w:color w:val="1F1F1F"/>
                <w:sz w:val="18"/>
                <w:szCs w:val="18"/>
              </w:rPr>
            </w:pPr>
            <w:r w:rsidRPr="000C356D">
              <w:rPr>
                <w:rFonts w:ascii="Aptos" w:eastAsia="Google Sans" w:hAnsi="Aptos" w:cs="Google Sans"/>
                <w:b/>
                <w:bCs/>
                <w:color w:val="1F1F1F"/>
                <w:sz w:val="18"/>
                <w:szCs w:val="18"/>
              </w:rPr>
              <w:t>Perspectiva Estratégica</w:t>
            </w:r>
          </w:p>
        </w:tc>
        <w:tc>
          <w:tcPr>
            <w:tcW w:w="3479"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6909F7F0" w14:textId="77777777" w:rsidR="00082937" w:rsidRPr="000C356D" w:rsidRDefault="00000000" w:rsidP="000C356D">
            <w:pPr>
              <w:pBdr>
                <w:top w:val="nil"/>
                <w:left w:val="nil"/>
                <w:bottom w:val="nil"/>
                <w:right w:val="nil"/>
                <w:between w:val="nil"/>
              </w:pBdr>
              <w:spacing w:before="120" w:after="120" w:line="275" w:lineRule="auto"/>
              <w:jc w:val="center"/>
              <w:rPr>
                <w:rFonts w:ascii="Aptos" w:eastAsia="Google Sans" w:hAnsi="Aptos" w:cs="Google Sans"/>
                <w:b/>
                <w:bCs/>
                <w:color w:val="1F1F1F"/>
                <w:sz w:val="18"/>
                <w:szCs w:val="18"/>
              </w:rPr>
            </w:pPr>
            <w:r w:rsidRPr="000C356D">
              <w:rPr>
                <w:rFonts w:ascii="Aptos" w:eastAsia="Google Sans" w:hAnsi="Aptos" w:cs="Google Sans"/>
                <w:b/>
                <w:bCs/>
                <w:color w:val="1F1F1F"/>
                <w:sz w:val="18"/>
                <w:szCs w:val="18"/>
              </w:rPr>
              <w:t>Amenazas Externas Críticas</w:t>
            </w:r>
          </w:p>
        </w:tc>
        <w:tc>
          <w:tcPr>
            <w:tcW w:w="3479"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E79965E" w14:textId="77777777" w:rsidR="00082937" w:rsidRPr="000C356D" w:rsidRDefault="00000000" w:rsidP="000C356D">
            <w:pPr>
              <w:pBdr>
                <w:top w:val="nil"/>
                <w:left w:val="nil"/>
                <w:bottom w:val="nil"/>
                <w:right w:val="nil"/>
                <w:between w:val="nil"/>
              </w:pBdr>
              <w:spacing w:before="120" w:after="120" w:line="275" w:lineRule="auto"/>
              <w:jc w:val="center"/>
              <w:rPr>
                <w:rFonts w:ascii="Aptos" w:eastAsia="Google Sans" w:hAnsi="Aptos" w:cs="Google Sans"/>
                <w:b/>
                <w:bCs/>
                <w:color w:val="1F1F1F"/>
                <w:sz w:val="18"/>
                <w:szCs w:val="18"/>
              </w:rPr>
            </w:pPr>
            <w:r w:rsidRPr="000C356D">
              <w:rPr>
                <w:rFonts w:ascii="Aptos" w:eastAsia="Google Sans" w:hAnsi="Aptos" w:cs="Google Sans"/>
                <w:b/>
                <w:bCs/>
                <w:color w:val="1F1F1F"/>
                <w:sz w:val="18"/>
                <w:szCs w:val="18"/>
              </w:rPr>
              <w:t>Oportunidades de Crecimiento</w:t>
            </w:r>
          </w:p>
        </w:tc>
      </w:tr>
      <w:tr w:rsidR="00082937" w:rsidRPr="000C356D" w14:paraId="35EB7F98" w14:textId="77777777" w:rsidTr="000C356D">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D2BE48" w14:textId="77777777" w:rsidR="00082937" w:rsidRPr="000C356D" w:rsidRDefault="00000000" w:rsidP="000C356D">
            <w:pPr>
              <w:pBdr>
                <w:top w:val="nil"/>
                <w:left w:val="nil"/>
                <w:bottom w:val="nil"/>
                <w:right w:val="nil"/>
                <w:between w:val="nil"/>
              </w:pBdr>
              <w:spacing w:before="120" w:after="120" w:line="275" w:lineRule="auto"/>
              <w:jc w:val="center"/>
              <w:rPr>
                <w:rFonts w:ascii="Aptos" w:eastAsia="Google Sans" w:hAnsi="Aptos" w:cs="Google Sans"/>
                <w:b/>
                <w:bCs/>
                <w:color w:val="1F1F1F"/>
                <w:sz w:val="18"/>
                <w:szCs w:val="18"/>
              </w:rPr>
            </w:pPr>
            <w:r w:rsidRPr="000C356D">
              <w:rPr>
                <w:rFonts w:ascii="Aptos" w:eastAsia="Google Sans" w:hAnsi="Aptos" w:cs="Google Sans"/>
                <w:b/>
                <w:bCs/>
                <w:color w:val="1F1F1F"/>
                <w:sz w:val="18"/>
                <w:szCs w:val="18"/>
              </w:rPr>
              <w:t>Financiera y de Liquidez</w:t>
            </w:r>
          </w:p>
        </w:tc>
        <w:tc>
          <w:tcPr>
            <w:tcW w:w="34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DAABB9" w14:textId="77777777" w:rsidR="00082937" w:rsidRPr="000C356D"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0C356D">
              <w:rPr>
                <w:rFonts w:ascii="Aptos" w:eastAsia="Google Sans" w:hAnsi="Aptos" w:cs="Google Sans"/>
                <w:color w:val="1F1F1F"/>
                <w:sz w:val="18"/>
                <w:szCs w:val="18"/>
              </w:rPr>
              <w:t>• Retención de pasivos históricos por aseguradoras en proceso de intervención o liquidación forzosa</w:t>
            </w:r>
            <w:r w:rsidRPr="000C356D">
              <w:rPr>
                <w:rFonts w:ascii="Aptos" w:eastAsia="Google Sans" w:hAnsi="Aptos" w:cs="Google Sans"/>
                <w:color w:val="444746"/>
                <w:sz w:val="18"/>
                <w:szCs w:val="18"/>
                <w:vertAlign w:val="superscript"/>
              </w:rPr>
              <w:t>31</w:t>
            </w:r>
            <w:r w:rsidRPr="000C356D">
              <w:rPr>
                <w:rFonts w:ascii="Aptos" w:eastAsia="Google Sans" w:hAnsi="Aptos" w:cs="Google Sans"/>
                <w:color w:val="1F1F1F"/>
                <w:sz w:val="18"/>
                <w:szCs w:val="18"/>
              </w:rPr>
              <w:t>.</w:t>
            </w:r>
          </w:p>
          <w:p w14:paraId="47FA8A55" w14:textId="77777777" w:rsidR="00082937" w:rsidRPr="000C356D" w:rsidRDefault="00082937" w:rsidP="00121F70">
            <w:pPr>
              <w:pBdr>
                <w:top w:val="nil"/>
                <w:left w:val="nil"/>
                <w:bottom w:val="nil"/>
                <w:right w:val="nil"/>
                <w:between w:val="nil"/>
              </w:pBdr>
              <w:spacing w:line="275" w:lineRule="auto"/>
              <w:jc w:val="both"/>
              <w:rPr>
                <w:rFonts w:ascii="Aptos" w:eastAsia="Google Sans" w:hAnsi="Aptos" w:cs="Google Sans"/>
                <w:color w:val="1F1F1F"/>
                <w:sz w:val="18"/>
                <w:szCs w:val="18"/>
              </w:rPr>
            </w:pPr>
          </w:p>
          <w:p w14:paraId="7199CC92" w14:textId="77777777" w:rsidR="00082937" w:rsidRPr="000C356D"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0C356D">
              <w:rPr>
                <w:rFonts w:ascii="Aptos" w:eastAsia="Google Sans" w:hAnsi="Aptos" w:cs="Google Sans"/>
                <w:color w:val="1F1F1F"/>
                <w:sz w:val="18"/>
                <w:szCs w:val="18"/>
              </w:rPr>
              <w:t>• Glosas asistenciales por inconsistencias en la validación de RIPS con factura electrónica</w:t>
            </w:r>
            <w:r w:rsidRPr="000C356D">
              <w:rPr>
                <w:rFonts w:ascii="Aptos" w:eastAsia="Google Sans" w:hAnsi="Aptos" w:cs="Google Sans"/>
                <w:color w:val="444746"/>
                <w:sz w:val="18"/>
                <w:szCs w:val="18"/>
                <w:vertAlign w:val="superscript"/>
              </w:rPr>
              <w:t>30</w:t>
            </w:r>
            <w:r w:rsidRPr="000C356D">
              <w:rPr>
                <w:rFonts w:ascii="Aptos" w:eastAsia="Google Sans" w:hAnsi="Aptos" w:cs="Google Sans"/>
                <w:color w:val="1F1F1F"/>
                <w:sz w:val="18"/>
                <w:szCs w:val="18"/>
              </w:rPr>
              <w:t>.</w:t>
            </w:r>
          </w:p>
        </w:tc>
        <w:tc>
          <w:tcPr>
            <w:tcW w:w="34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49FA3F" w14:textId="77777777" w:rsidR="00082937" w:rsidRPr="000C356D"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0C356D">
              <w:rPr>
                <w:rFonts w:ascii="Aptos" w:eastAsia="Google Sans" w:hAnsi="Aptos" w:cs="Google Sans"/>
                <w:color w:val="1F1F1F"/>
                <w:sz w:val="18"/>
                <w:szCs w:val="18"/>
              </w:rPr>
              <w:t>• Ingreso directo y oportuno de flujo de caja mediante el giro directo de la ADRES (Decreto 489 de 2024)</w:t>
            </w:r>
            <w:r w:rsidRPr="000C356D">
              <w:rPr>
                <w:rFonts w:ascii="Aptos" w:eastAsia="Google Sans" w:hAnsi="Aptos" w:cs="Google Sans"/>
                <w:color w:val="444746"/>
                <w:sz w:val="18"/>
                <w:szCs w:val="18"/>
                <w:vertAlign w:val="superscript"/>
              </w:rPr>
              <w:t>30</w:t>
            </w:r>
            <w:r w:rsidRPr="000C356D">
              <w:rPr>
                <w:rFonts w:ascii="Aptos" w:eastAsia="Google Sans" w:hAnsi="Aptos" w:cs="Google Sans"/>
                <w:color w:val="1F1F1F"/>
                <w:sz w:val="18"/>
                <w:szCs w:val="18"/>
              </w:rPr>
              <w:t>.</w:t>
            </w:r>
          </w:p>
          <w:p w14:paraId="15120A72" w14:textId="77777777" w:rsidR="00082937" w:rsidRPr="000C356D" w:rsidRDefault="00082937" w:rsidP="00121F70">
            <w:pPr>
              <w:pBdr>
                <w:top w:val="nil"/>
                <w:left w:val="nil"/>
                <w:bottom w:val="nil"/>
                <w:right w:val="nil"/>
                <w:between w:val="nil"/>
              </w:pBdr>
              <w:spacing w:line="275" w:lineRule="auto"/>
              <w:jc w:val="both"/>
              <w:rPr>
                <w:rFonts w:ascii="Aptos" w:eastAsia="Google Sans" w:hAnsi="Aptos" w:cs="Google Sans"/>
                <w:color w:val="1F1F1F"/>
                <w:sz w:val="18"/>
                <w:szCs w:val="18"/>
              </w:rPr>
            </w:pPr>
          </w:p>
          <w:p w14:paraId="70277CCC" w14:textId="77777777" w:rsidR="00082937" w:rsidRPr="000C356D"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0C356D">
              <w:rPr>
                <w:rFonts w:ascii="Aptos" w:eastAsia="Google Sans" w:hAnsi="Aptos" w:cs="Google Sans"/>
                <w:color w:val="1F1F1F"/>
                <w:sz w:val="18"/>
                <w:szCs w:val="18"/>
              </w:rPr>
              <w:t>• Acceso a incentivos por desempeño y contención de siniestralidad dentro de acuerdos prospectivos</w:t>
            </w:r>
            <w:r w:rsidRPr="000C356D">
              <w:rPr>
                <w:rFonts w:ascii="Aptos" w:eastAsia="Google Sans" w:hAnsi="Aptos" w:cs="Google Sans"/>
                <w:color w:val="444746"/>
                <w:sz w:val="18"/>
                <w:szCs w:val="18"/>
                <w:vertAlign w:val="superscript"/>
              </w:rPr>
              <w:t>37</w:t>
            </w:r>
            <w:r w:rsidRPr="000C356D">
              <w:rPr>
                <w:rFonts w:ascii="Aptos" w:eastAsia="Google Sans" w:hAnsi="Aptos" w:cs="Google Sans"/>
                <w:color w:val="1F1F1F"/>
                <w:sz w:val="18"/>
                <w:szCs w:val="18"/>
              </w:rPr>
              <w:t>.</w:t>
            </w:r>
          </w:p>
        </w:tc>
      </w:tr>
      <w:tr w:rsidR="00082937" w:rsidRPr="000C356D" w14:paraId="24E4788D" w14:textId="77777777" w:rsidTr="000C356D">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8AA9D6" w14:textId="77777777" w:rsidR="00082937" w:rsidRPr="000C356D" w:rsidRDefault="00000000" w:rsidP="000C356D">
            <w:pPr>
              <w:pBdr>
                <w:top w:val="nil"/>
                <w:left w:val="nil"/>
                <w:bottom w:val="nil"/>
                <w:right w:val="nil"/>
                <w:between w:val="nil"/>
              </w:pBdr>
              <w:spacing w:before="120" w:after="120" w:line="275" w:lineRule="auto"/>
              <w:jc w:val="center"/>
              <w:rPr>
                <w:rFonts w:ascii="Aptos" w:eastAsia="Google Sans" w:hAnsi="Aptos" w:cs="Google Sans"/>
                <w:b/>
                <w:bCs/>
                <w:color w:val="1F1F1F"/>
                <w:sz w:val="18"/>
                <w:szCs w:val="18"/>
              </w:rPr>
            </w:pPr>
            <w:r w:rsidRPr="000C356D">
              <w:rPr>
                <w:rFonts w:ascii="Aptos" w:eastAsia="Google Sans" w:hAnsi="Aptos" w:cs="Google Sans"/>
                <w:b/>
                <w:bCs/>
                <w:color w:val="1F1F1F"/>
                <w:sz w:val="18"/>
                <w:szCs w:val="18"/>
              </w:rPr>
              <w:t>Comercial y Competencia</w:t>
            </w:r>
          </w:p>
        </w:tc>
        <w:tc>
          <w:tcPr>
            <w:tcW w:w="34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A23263" w14:textId="77777777" w:rsidR="00082937" w:rsidRPr="000C356D"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0C356D">
              <w:rPr>
                <w:rFonts w:ascii="Aptos" w:eastAsia="Google Sans" w:hAnsi="Aptos" w:cs="Google Sans"/>
                <w:color w:val="1F1F1F"/>
                <w:sz w:val="18"/>
                <w:szCs w:val="18"/>
              </w:rPr>
              <w:t>• Presión a la baja sobre tarifas ejercida por operadores multirregionales con grandes economías de escala</w:t>
            </w:r>
            <w:r w:rsidRPr="000C356D">
              <w:rPr>
                <w:rFonts w:ascii="Aptos" w:eastAsia="Google Sans" w:hAnsi="Aptos" w:cs="Google Sans"/>
                <w:color w:val="444746"/>
                <w:sz w:val="18"/>
                <w:szCs w:val="18"/>
                <w:vertAlign w:val="superscript"/>
              </w:rPr>
              <w:t>19</w:t>
            </w:r>
            <w:r w:rsidRPr="000C356D">
              <w:rPr>
                <w:rFonts w:ascii="Aptos" w:eastAsia="Google Sans" w:hAnsi="Aptos" w:cs="Google Sans"/>
                <w:color w:val="1F1F1F"/>
                <w:sz w:val="18"/>
                <w:szCs w:val="18"/>
              </w:rPr>
              <w:t>.</w:t>
            </w:r>
          </w:p>
          <w:p w14:paraId="5973C9EB" w14:textId="77777777" w:rsidR="00082937" w:rsidRPr="000C356D" w:rsidRDefault="00082937" w:rsidP="00121F70">
            <w:pPr>
              <w:pBdr>
                <w:top w:val="nil"/>
                <w:left w:val="nil"/>
                <w:bottom w:val="nil"/>
                <w:right w:val="nil"/>
                <w:between w:val="nil"/>
              </w:pBdr>
              <w:spacing w:line="275" w:lineRule="auto"/>
              <w:jc w:val="both"/>
              <w:rPr>
                <w:rFonts w:ascii="Aptos" w:eastAsia="Google Sans" w:hAnsi="Aptos" w:cs="Google Sans"/>
                <w:color w:val="1F1F1F"/>
                <w:sz w:val="18"/>
                <w:szCs w:val="18"/>
              </w:rPr>
            </w:pPr>
          </w:p>
          <w:p w14:paraId="4A1620ED" w14:textId="77777777" w:rsidR="00082937" w:rsidRPr="000C356D"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0C356D">
              <w:rPr>
                <w:rFonts w:ascii="Aptos" w:eastAsia="Google Sans" w:hAnsi="Aptos" w:cs="Google Sans"/>
                <w:color w:val="1F1F1F"/>
                <w:sz w:val="18"/>
                <w:szCs w:val="18"/>
              </w:rPr>
              <w:t>• Concentración del poder de compra en un duopolio de aseguradoras en Sucre (Mutual Ser y Nueva EPS)</w:t>
            </w:r>
            <w:r w:rsidRPr="000C356D">
              <w:rPr>
                <w:rFonts w:ascii="Aptos" w:eastAsia="Google Sans" w:hAnsi="Aptos" w:cs="Google Sans"/>
                <w:color w:val="444746"/>
                <w:sz w:val="18"/>
                <w:szCs w:val="18"/>
                <w:vertAlign w:val="superscript"/>
              </w:rPr>
              <w:t>5</w:t>
            </w:r>
            <w:r w:rsidRPr="000C356D">
              <w:rPr>
                <w:rFonts w:ascii="Aptos" w:eastAsia="Google Sans" w:hAnsi="Aptos" w:cs="Google Sans"/>
                <w:color w:val="1F1F1F"/>
                <w:sz w:val="18"/>
                <w:szCs w:val="18"/>
              </w:rPr>
              <w:t>.</w:t>
            </w:r>
          </w:p>
        </w:tc>
        <w:tc>
          <w:tcPr>
            <w:tcW w:w="34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F9F4CB" w14:textId="77777777" w:rsidR="00082937" w:rsidRPr="000C356D"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0C356D">
              <w:rPr>
                <w:rFonts w:ascii="Aptos" w:eastAsia="Google Sans" w:hAnsi="Aptos" w:cs="Google Sans"/>
                <w:color w:val="1F1F1F"/>
                <w:sz w:val="18"/>
                <w:szCs w:val="18"/>
              </w:rPr>
              <w:t>• Reorganización de redes del FOMAG y regímenes especiales que buscan prestadores con arraigo local comprobado</w:t>
            </w:r>
            <w:r w:rsidRPr="000C356D">
              <w:rPr>
                <w:rFonts w:ascii="Aptos" w:eastAsia="Google Sans" w:hAnsi="Aptos" w:cs="Google Sans"/>
                <w:color w:val="444746"/>
                <w:sz w:val="18"/>
                <w:szCs w:val="18"/>
                <w:vertAlign w:val="superscript"/>
              </w:rPr>
              <w:t>33</w:t>
            </w:r>
            <w:r w:rsidRPr="000C356D">
              <w:rPr>
                <w:rFonts w:ascii="Aptos" w:eastAsia="Google Sans" w:hAnsi="Aptos" w:cs="Google Sans"/>
                <w:color w:val="1F1F1F"/>
                <w:sz w:val="18"/>
                <w:szCs w:val="18"/>
              </w:rPr>
              <w:t>.</w:t>
            </w:r>
          </w:p>
          <w:p w14:paraId="093101A4" w14:textId="77777777" w:rsidR="00082937" w:rsidRPr="000C356D" w:rsidRDefault="00082937" w:rsidP="00121F70">
            <w:pPr>
              <w:pBdr>
                <w:top w:val="nil"/>
                <w:left w:val="nil"/>
                <w:bottom w:val="nil"/>
                <w:right w:val="nil"/>
                <w:between w:val="nil"/>
              </w:pBdr>
              <w:spacing w:line="275" w:lineRule="auto"/>
              <w:jc w:val="both"/>
              <w:rPr>
                <w:rFonts w:ascii="Aptos" w:eastAsia="Google Sans" w:hAnsi="Aptos" w:cs="Google Sans"/>
                <w:color w:val="1F1F1F"/>
                <w:sz w:val="18"/>
                <w:szCs w:val="18"/>
              </w:rPr>
            </w:pPr>
          </w:p>
          <w:p w14:paraId="3818A7A7" w14:textId="77777777" w:rsidR="00082937" w:rsidRPr="000C356D"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0C356D">
              <w:rPr>
                <w:rFonts w:ascii="Aptos" w:eastAsia="Google Sans" w:hAnsi="Aptos" w:cs="Google Sans"/>
                <w:color w:val="1F1F1F"/>
                <w:sz w:val="18"/>
                <w:szCs w:val="18"/>
              </w:rPr>
              <w:t>• Demanda estructural de las EPS por descongestionar camas de agudos de alto costo en clínicas de Sincelejo</w:t>
            </w:r>
            <w:r w:rsidRPr="000C356D">
              <w:rPr>
                <w:rFonts w:ascii="Aptos" w:eastAsia="Google Sans" w:hAnsi="Aptos" w:cs="Google Sans"/>
                <w:color w:val="444746"/>
                <w:sz w:val="18"/>
                <w:szCs w:val="18"/>
                <w:vertAlign w:val="superscript"/>
              </w:rPr>
              <w:t>19</w:t>
            </w:r>
            <w:r w:rsidRPr="000C356D">
              <w:rPr>
                <w:rFonts w:ascii="Aptos" w:eastAsia="Google Sans" w:hAnsi="Aptos" w:cs="Google Sans"/>
                <w:color w:val="1F1F1F"/>
                <w:sz w:val="18"/>
                <w:szCs w:val="18"/>
              </w:rPr>
              <w:t>.</w:t>
            </w:r>
          </w:p>
        </w:tc>
      </w:tr>
      <w:tr w:rsidR="00082937" w:rsidRPr="000C356D" w14:paraId="2877B6BD" w14:textId="77777777" w:rsidTr="000C356D">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F18C9E" w14:textId="77777777" w:rsidR="00082937" w:rsidRPr="000C356D" w:rsidRDefault="00000000" w:rsidP="000C356D">
            <w:pPr>
              <w:pBdr>
                <w:top w:val="nil"/>
                <w:left w:val="nil"/>
                <w:bottom w:val="nil"/>
                <w:right w:val="nil"/>
                <w:between w:val="nil"/>
              </w:pBdr>
              <w:spacing w:before="120" w:after="120" w:line="275" w:lineRule="auto"/>
              <w:jc w:val="center"/>
              <w:rPr>
                <w:rFonts w:ascii="Aptos" w:eastAsia="Google Sans" w:hAnsi="Aptos" w:cs="Google Sans"/>
                <w:b/>
                <w:bCs/>
                <w:color w:val="1F1F1F"/>
                <w:sz w:val="18"/>
                <w:szCs w:val="18"/>
              </w:rPr>
            </w:pPr>
            <w:r w:rsidRPr="000C356D">
              <w:rPr>
                <w:rFonts w:ascii="Aptos" w:eastAsia="Google Sans" w:hAnsi="Aptos" w:cs="Google Sans"/>
                <w:b/>
                <w:bCs/>
                <w:color w:val="1F1F1F"/>
                <w:sz w:val="18"/>
                <w:szCs w:val="18"/>
              </w:rPr>
              <w:t>Técnico-Operativa</w:t>
            </w:r>
          </w:p>
        </w:tc>
        <w:tc>
          <w:tcPr>
            <w:tcW w:w="34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AC699C" w14:textId="77777777" w:rsidR="00082937" w:rsidRPr="000C356D"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0C356D">
              <w:rPr>
                <w:rFonts w:ascii="Aptos" w:eastAsia="Google Sans" w:hAnsi="Aptos" w:cs="Google Sans"/>
                <w:color w:val="1F1F1F"/>
                <w:sz w:val="18"/>
                <w:szCs w:val="18"/>
              </w:rPr>
              <w:t>• Deterioro de vías de acceso periurbanas en temporadas invernales y cortes de energía en viviendas</w:t>
            </w:r>
            <w:r w:rsidRPr="000C356D">
              <w:rPr>
                <w:rFonts w:ascii="Aptos" w:eastAsia="Google Sans" w:hAnsi="Aptos" w:cs="Google Sans"/>
                <w:color w:val="444746"/>
                <w:sz w:val="18"/>
                <w:szCs w:val="18"/>
                <w:vertAlign w:val="superscript"/>
              </w:rPr>
              <w:t>2</w:t>
            </w:r>
            <w:r w:rsidRPr="000C356D">
              <w:rPr>
                <w:rFonts w:ascii="Aptos" w:eastAsia="Google Sans" w:hAnsi="Aptos" w:cs="Google Sans"/>
                <w:color w:val="1F1F1F"/>
                <w:sz w:val="18"/>
                <w:szCs w:val="18"/>
              </w:rPr>
              <w:t>.</w:t>
            </w:r>
          </w:p>
          <w:p w14:paraId="6D5C41D6" w14:textId="77777777" w:rsidR="00082937" w:rsidRPr="000C356D" w:rsidRDefault="00082937" w:rsidP="00121F70">
            <w:pPr>
              <w:pBdr>
                <w:top w:val="nil"/>
                <w:left w:val="nil"/>
                <w:bottom w:val="nil"/>
                <w:right w:val="nil"/>
                <w:between w:val="nil"/>
              </w:pBdr>
              <w:spacing w:line="275" w:lineRule="auto"/>
              <w:jc w:val="both"/>
              <w:rPr>
                <w:rFonts w:ascii="Aptos" w:eastAsia="Google Sans" w:hAnsi="Aptos" w:cs="Google Sans"/>
                <w:color w:val="1F1F1F"/>
                <w:sz w:val="18"/>
                <w:szCs w:val="18"/>
              </w:rPr>
            </w:pPr>
          </w:p>
          <w:p w14:paraId="0756A97B" w14:textId="77777777" w:rsidR="00082937" w:rsidRPr="000C356D"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0C356D">
              <w:rPr>
                <w:rFonts w:ascii="Aptos" w:eastAsia="Google Sans" w:hAnsi="Aptos" w:cs="Google Sans"/>
                <w:color w:val="1F1F1F"/>
                <w:sz w:val="18"/>
                <w:szCs w:val="18"/>
              </w:rPr>
              <w:t>• Dificultad para reclutar y retener especialistas en medicina paliativa y terapia respiratoria en Sincelejo</w:t>
            </w:r>
            <w:r w:rsidRPr="000C356D">
              <w:rPr>
                <w:rFonts w:ascii="Aptos" w:eastAsia="Google Sans" w:hAnsi="Aptos" w:cs="Google Sans"/>
                <w:color w:val="444746"/>
                <w:sz w:val="18"/>
                <w:szCs w:val="18"/>
                <w:vertAlign w:val="superscript"/>
              </w:rPr>
              <w:t>20</w:t>
            </w:r>
            <w:r w:rsidRPr="000C356D">
              <w:rPr>
                <w:rFonts w:ascii="Aptos" w:eastAsia="Google Sans" w:hAnsi="Aptos" w:cs="Google Sans"/>
                <w:color w:val="1F1F1F"/>
                <w:sz w:val="18"/>
                <w:szCs w:val="18"/>
              </w:rPr>
              <w:t>.</w:t>
            </w:r>
          </w:p>
        </w:tc>
        <w:tc>
          <w:tcPr>
            <w:tcW w:w="34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B0752E" w14:textId="77777777" w:rsidR="00082937" w:rsidRPr="000C356D"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0C356D">
              <w:rPr>
                <w:rFonts w:ascii="Aptos" w:eastAsia="Google Sans" w:hAnsi="Aptos" w:cs="Google Sans"/>
                <w:color w:val="1F1F1F"/>
                <w:sz w:val="18"/>
                <w:szCs w:val="18"/>
              </w:rPr>
              <w:t>• Integración del modelo de cuidado transicional mediante camas institucionales de crónicos y red domiciliaria</w:t>
            </w:r>
            <w:r w:rsidRPr="000C356D">
              <w:rPr>
                <w:rFonts w:ascii="Aptos" w:eastAsia="Google Sans" w:hAnsi="Aptos" w:cs="Google Sans"/>
                <w:color w:val="444746"/>
                <w:sz w:val="18"/>
                <w:szCs w:val="18"/>
                <w:vertAlign w:val="superscript"/>
              </w:rPr>
              <w:t>20</w:t>
            </w:r>
            <w:r w:rsidRPr="000C356D">
              <w:rPr>
                <w:rFonts w:ascii="Aptos" w:eastAsia="Google Sans" w:hAnsi="Aptos" w:cs="Google Sans"/>
                <w:color w:val="1F1F1F"/>
                <w:sz w:val="18"/>
                <w:szCs w:val="18"/>
              </w:rPr>
              <w:t>.</w:t>
            </w:r>
          </w:p>
          <w:p w14:paraId="668C209A" w14:textId="77777777" w:rsidR="00082937" w:rsidRPr="000C356D" w:rsidRDefault="00082937" w:rsidP="00121F70">
            <w:pPr>
              <w:pBdr>
                <w:top w:val="nil"/>
                <w:left w:val="nil"/>
                <w:bottom w:val="nil"/>
                <w:right w:val="nil"/>
                <w:between w:val="nil"/>
              </w:pBdr>
              <w:spacing w:line="275" w:lineRule="auto"/>
              <w:jc w:val="both"/>
              <w:rPr>
                <w:rFonts w:ascii="Aptos" w:eastAsia="Google Sans" w:hAnsi="Aptos" w:cs="Google Sans"/>
                <w:color w:val="1F1F1F"/>
                <w:sz w:val="18"/>
                <w:szCs w:val="18"/>
              </w:rPr>
            </w:pPr>
          </w:p>
          <w:p w14:paraId="28CBAB4F" w14:textId="77777777" w:rsidR="00082937" w:rsidRPr="000C356D"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0C356D">
              <w:rPr>
                <w:rFonts w:ascii="Aptos" w:eastAsia="Google Sans" w:hAnsi="Aptos" w:cs="Google Sans"/>
                <w:color w:val="1F1F1F"/>
                <w:sz w:val="18"/>
                <w:szCs w:val="18"/>
              </w:rPr>
              <w:t xml:space="preserve">• Aprovechamiento de tecnologías de </w:t>
            </w:r>
            <w:proofErr w:type="spellStart"/>
            <w:r w:rsidRPr="000C356D">
              <w:rPr>
                <w:rFonts w:ascii="Aptos" w:eastAsia="Google Sans" w:hAnsi="Aptos" w:cs="Google Sans"/>
                <w:color w:val="1F1F1F"/>
                <w:sz w:val="18"/>
                <w:szCs w:val="18"/>
              </w:rPr>
              <w:t>tele-experticia</w:t>
            </w:r>
            <w:proofErr w:type="spellEnd"/>
            <w:r w:rsidRPr="000C356D">
              <w:rPr>
                <w:rFonts w:ascii="Aptos" w:eastAsia="Google Sans" w:hAnsi="Aptos" w:cs="Google Sans"/>
                <w:color w:val="1F1F1F"/>
                <w:sz w:val="18"/>
                <w:szCs w:val="18"/>
              </w:rPr>
              <w:t xml:space="preserve"> y </w:t>
            </w:r>
            <w:proofErr w:type="spellStart"/>
            <w:r w:rsidRPr="000C356D">
              <w:rPr>
                <w:rFonts w:ascii="Aptos" w:eastAsia="Google Sans" w:hAnsi="Aptos" w:cs="Google Sans"/>
                <w:color w:val="1F1F1F"/>
                <w:sz w:val="18"/>
                <w:szCs w:val="18"/>
              </w:rPr>
              <w:t>telemonitoreo</w:t>
            </w:r>
            <w:proofErr w:type="spellEnd"/>
            <w:r w:rsidRPr="000C356D">
              <w:rPr>
                <w:rFonts w:ascii="Aptos" w:eastAsia="Google Sans" w:hAnsi="Aptos" w:cs="Google Sans"/>
                <w:color w:val="1F1F1F"/>
                <w:sz w:val="18"/>
                <w:szCs w:val="18"/>
              </w:rPr>
              <w:t xml:space="preserve"> para ampliar la capacidad resolutiva</w:t>
            </w:r>
            <w:r w:rsidRPr="000C356D">
              <w:rPr>
                <w:rFonts w:ascii="Aptos" w:eastAsia="Google Sans" w:hAnsi="Aptos" w:cs="Google Sans"/>
                <w:color w:val="444746"/>
                <w:sz w:val="18"/>
                <w:szCs w:val="18"/>
                <w:vertAlign w:val="superscript"/>
              </w:rPr>
              <w:t>37</w:t>
            </w:r>
            <w:r w:rsidRPr="000C356D">
              <w:rPr>
                <w:rFonts w:ascii="Aptos" w:eastAsia="Google Sans" w:hAnsi="Aptos" w:cs="Google Sans"/>
                <w:color w:val="1F1F1F"/>
                <w:sz w:val="18"/>
                <w:szCs w:val="18"/>
              </w:rPr>
              <w:t>.</w:t>
            </w:r>
          </w:p>
        </w:tc>
      </w:tr>
      <w:tr w:rsidR="00082937" w:rsidRPr="000C356D" w14:paraId="43A40506" w14:textId="77777777" w:rsidTr="000C356D">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AA3D9D" w14:textId="77777777" w:rsidR="00082937" w:rsidRPr="000C356D" w:rsidRDefault="00000000" w:rsidP="000C356D">
            <w:pPr>
              <w:pBdr>
                <w:top w:val="nil"/>
                <w:left w:val="nil"/>
                <w:bottom w:val="nil"/>
                <w:right w:val="nil"/>
                <w:between w:val="nil"/>
              </w:pBdr>
              <w:spacing w:before="120" w:after="120" w:line="275" w:lineRule="auto"/>
              <w:jc w:val="center"/>
              <w:rPr>
                <w:rFonts w:ascii="Aptos" w:eastAsia="Google Sans" w:hAnsi="Aptos" w:cs="Google Sans"/>
                <w:b/>
                <w:bCs/>
                <w:color w:val="1F1F1F"/>
                <w:sz w:val="18"/>
                <w:szCs w:val="18"/>
              </w:rPr>
            </w:pPr>
            <w:r w:rsidRPr="000C356D">
              <w:rPr>
                <w:rFonts w:ascii="Aptos" w:eastAsia="Google Sans" w:hAnsi="Aptos" w:cs="Google Sans"/>
                <w:b/>
                <w:bCs/>
                <w:color w:val="1F1F1F"/>
                <w:sz w:val="18"/>
                <w:szCs w:val="18"/>
              </w:rPr>
              <w:t>Sociocultural y Clínica</w:t>
            </w:r>
          </w:p>
        </w:tc>
        <w:tc>
          <w:tcPr>
            <w:tcW w:w="34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0A786B" w14:textId="77777777" w:rsidR="00082937" w:rsidRPr="000C356D"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0C356D">
              <w:rPr>
                <w:rFonts w:ascii="Aptos" w:eastAsia="Google Sans" w:hAnsi="Aptos" w:cs="Google Sans"/>
                <w:color w:val="1F1F1F"/>
                <w:sz w:val="18"/>
                <w:szCs w:val="18"/>
              </w:rPr>
              <w:t>• Sobrecarga y colapso funcional del cuidador informal en hogares en condición de pobreza monetaria</w:t>
            </w:r>
            <w:r w:rsidRPr="000C356D">
              <w:rPr>
                <w:rFonts w:ascii="Aptos" w:eastAsia="Google Sans" w:hAnsi="Aptos" w:cs="Google Sans"/>
                <w:color w:val="444746"/>
                <w:sz w:val="18"/>
                <w:szCs w:val="18"/>
                <w:vertAlign w:val="superscript"/>
              </w:rPr>
              <w:t>6</w:t>
            </w:r>
            <w:r w:rsidRPr="000C356D">
              <w:rPr>
                <w:rFonts w:ascii="Aptos" w:eastAsia="Google Sans" w:hAnsi="Aptos" w:cs="Google Sans"/>
                <w:color w:val="1F1F1F"/>
                <w:sz w:val="18"/>
                <w:szCs w:val="18"/>
              </w:rPr>
              <w:t>.</w:t>
            </w:r>
          </w:p>
          <w:p w14:paraId="7DBA662D" w14:textId="77777777" w:rsidR="00082937" w:rsidRPr="000C356D" w:rsidRDefault="00082937" w:rsidP="00121F70">
            <w:pPr>
              <w:pBdr>
                <w:top w:val="nil"/>
                <w:left w:val="nil"/>
                <w:bottom w:val="nil"/>
                <w:right w:val="nil"/>
                <w:between w:val="nil"/>
              </w:pBdr>
              <w:spacing w:line="275" w:lineRule="auto"/>
              <w:jc w:val="both"/>
              <w:rPr>
                <w:rFonts w:ascii="Aptos" w:eastAsia="Google Sans" w:hAnsi="Aptos" w:cs="Google Sans"/>
                <w:color w:val="1F1F1F"/>
                <w:sz w:val="18"/>
                <w:szCs w:val="18"/>
              </w:rPr>
            </w:pPr>
          </w:p>
          <w:p w14:paraId="72EECD39" w14:textId="77777777" w:rsidR="00082937" w:rsidRPr="000C356D"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0C356D">
              <w:rPr>
                <w:rFonts w:ascii="Aptos" w:eastAsia="Google Sans" w:hAnsi="Aptos" w:cs="Google Sans"/>
                <w:color w:val="1F1F1F"/>
                <w:sz w:val="18"/>
                <w:szCs w:val="18"/>
              </w:rPr>
              <w:t>• Resistencia cultural de familiares a aceptar cuidados paliativos y limitación del esfuerzo terapéutico</w:t>
            </w:r>
            <w:r w:rsidRPr="000C356D">
              <w:rPr>
                <w:rFonts w:ascii="Aptos" w:eastAsia="Google Sans" w:hAnsi="Aptos" w:cs="Google Sans"/>
                <w:color w:val="444746"/>
                <w:sz w:val="18"/>
                <w:szCs w:val="18"/>
                <w:vertAlign w:val="superscript"/>
              </w:rPr>
              <w:t>20</w:t>
            </w:r>
            <w:r w:rsidRPr="000C356D">
              <w:rPr>
                <w:rFonts w:ascii="Aptos" w:eastAsia="Google Sans" w:hAnsi="Aptos" w:cs="Google Sans"/>
                <w:color w:val="1F1F1F"/>
                <w:sz w:val="18"/>
                <w:szCs w:val="18"/>
              </w:rPr>
              <w:t>.</w:t>
            </w:r>
          </w:p>
        </w:tc>
        <w:tc>
          <w:tcPr>
            <w:tcW w:w="34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43EDBB" w14:textId="77777777" w:rsidR="00082937" w:rsidRPr="000C356D"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0C356D">
              <w:rPr>
                <w:rFonts w:ascii="Aptos" w:eastAsia="Google Sans" w:hAnsi="Aptos" w:cs="Google Sans"/>
                <w:color w:val="1F1F1F"/>
                <w:sz w:val="18"/>
                <w:szCs w:val="18"/>
              </w:rPr>
              <w:t>• Despliegue de la "Escuela de Cuidadores" institucional ligada a los servicios de trabajo social y psicología</w:t>
            </w:r>
            <w:r w:rsidRPr="000C356D">
              <w:rPr>
                <w:rFonts w:ascii="Aptos" w:eastAsia="Google Sans" w:hAnsi="Aptos" w:cs="Google Sans"/>
                <w:color w:val="444746"/>
                <w:sz w:val="18"/>
                <w:szCs w:val="18"/>
                <w:vertAlign w:val="superscript"/>
              </w:rPr>
              <w:t>20</w:t>
            </w:r>
            <w:r w:rsidRPr="000C356D">
              <w:rPr>
                <w:rFonts w:ascii="Aptos" w:eastAsia="Google Sans" w:hAnsi="Aptos" w:cs="Google Sans"/>
                <w:color w:val="1F1F1F"/>
                <w:sz w:val="18"/>
                <w:szCs w:val="18"/>
              </w:rPr>
              <w:t>.</w:t>
            </w:r>
          </w:p>
          <w:p w14:paraId="1F03F9AD" w14:textId="77777777" w:rsidR="00082937" w:rsidRPr="000C356D" w:rsidRDefault="00082937" w:rsidP="00121F70">
            <w:pPr>
              <w:pBdr>
                <w:top w:val="nil"/>
                <w:left w:val="nil"/>
                <w:bottom w:val="nil"/>
                <w:right w:val="nil"/>
                <w:between w:val="nil"/>
              </w:pBdr>
              <w:spacing w:line="275" w:lineRule="auto"/>
              <w:jc w:val="both"/>
              <w:rPr>
                <w:rFonts w:ascii="Aptos" w:eastAsia="Google Sans" w:hAnsi="Aptos" w:cs="Google Sans"/>
                <w:color w:val="1F1F1F"/>
                <w:sz w:val="18"/>
                <w:szCs w:val="18"/>
              </w:rPr>
            </w:pPr>
          </w:p>
          <w:p w14:paraId="768E140C" w14:textId="77777777" w:rsidR="00082937" w:rsidRPr="000C356D" w:rsidRDefault="00000000" w:rsidP="00121F70">
            <w:pPr>
              <w:pBdr>
                <w:top w:val="nil"/>
                <w:left w:val="nil"/>
                <w:bottom w:val="nil"/>
                <w:right w:val="nil"/>
                <w:between w:val="nil"/>
              </w:pBdr>
              <w:spacing w:line="275" w:lineRule="auto"/>
              <w:jc w:val="both"/>
              <w:rPr>
                <w:rFonts w:ascii="Aptos" w:eastAsia="Google Sans" w:hAnsi="Aptos" w:cs="Google Sans"/>
                <w:color w:val="1F1F1F"/>
                <w:sz w:val="18"/>
                <w:szCs w:val="18"/>
              </w:rPr>
            </w:pPr>
            <w:r w:rsidRPr="000C356D">
              <w:rPr>
                <w:rFonts w:ascii="Aptos" w:eastAsia="Google Sans" w:hAnsi="Aptos" w:cs="Google Sans"/>
                <w:color w:val="1F1F1F"/>
                <w:sz w:val="18"/>
                <w:szCs w:val="18"/>
              </w:rPr>
              <w:t>• Consolidación del liderazgo en medicina paliativa y duelo, área desatendida por competidores puramente masivos</w:t>
            </w:r>
            <w:r w:rsidRPr="000C356D">
              <w:rPr>
                <w:rFonts w:ascii="Aptos" w:eastAsia="Google Sans" w:hAnsi="Aptos" w:cs="Google Sans"/>
                <w:color w:val="444746"/>
                <w:sz w:val="18"/>
                <w:szCs w:val="18"/>
                <w:vertAlign w:val="superscript"/>
              </w:rPr>
              <w:t>19</w:t>
            </w:r>
            <w:r w:rsidRPr="000C356D">
              <w:rPr>
                <w:rFonts w:ascii="Aptos" w:eastAsia="Google Sans" w:hAnsi="Aptos" w:cs="Google Sans"/>
                <w:color w:val="1F1F1F"/>
                <w:sz w:val="18"/>
                <w:szCs w:val="18"/>
              </w:rPr>
              <w:t>.</w:t>
            </w:r>
          </w:p>
        </w:tc>
      </w:tr>
    </w:tbl>
    <w:p w14:paraId="4BEE671A" w14:textId="77777777" w:rsidR="000C356D" w:rsidRDefault="000C356D" w:rsidP="00121F70">
      <w:pPr>
        <w:pBdr>
          <w:top w:val="nil"/>
          <w:left w:val="nil"/>
          <w:bottom w:val="nil"/>
          <w:right w:val="nil"/>
          <w:between w:val="nil"/>
        </w:pBdr>
        <w:spacing w:line="275" w:lineRule="auto"/>
        <w:jc w:val="both"/>
        <w:rPr>
          <w:rFonts w:ascii="Aptos" w:eastAsia="Google Sans" w:hAnsi="Aptos" w:cs="Google Sans"/>
          <w:color w:val="1F1F1F"/>
        </w:rPr>
      </w:pPr>
    </w:p>
    <w:p w14:paraId="066189FB" w14:textId="6AD01625"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 xml:space="preserve">El cruce analítico de estas variables evidencia que el mayor peligro para la sostenibilidad de Optimus Health no proviene de la falta de demanda médica, la cual es creciente y sostenida debido </w:t>
      </w:r>
      <w:r w:rsidRPr="00121F70">
        <w:rPr>
          <w:rFonts w:ascii="Aptos" w:eastAsia="Google Sans" w:hAnsi="Aptos" w:cs="Google Sans"/>
          <w:color w:val="1F1F1F"/>
        </w:rPr>
        <w:lastRenderedPageBreak/>
        <w:t>al envejecimiento y las ECNT, sino de la asfixia por cartera morosa originada en contratos mal negociados o en la dependencia de EPS financieramente insolventes</w:t>
      </w:r>
      <w:r w:rsidRPr="00121F70">
        <w:rPr>
          <w:rFonts w:ascii="Aptos" w:eastAsia="Google Sans" w:hAnsi="Aptos" w:cs="Google Sans"/>
          <w:color w:val="444746"/>
          <w:sz w:val="24"/>
          <w:szCs w:val="24"/>
          <w:vertAlign w:val="superscript"/>
        </w:rPr>
        <w:t>1</w:t>
      </w:r>
      <w:r w:rsidRPr="00121F70">
        <w:rPr>
          <w:rFonts w:ascii="Aptos" w:eastAsia="Google Sans" w:hAnsi="Aptos" w:cs="Google Sans"/>
          <w:color w:val="1F1F1F"/>
        </w:rPr>
        <w:t>.</w:t>
      </w:r>
    </w:p>
    <w:p w14:paraId="66F70AA5"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A su vez, la mayor oportunidad radica en estructurar un portafolio de alta diferenciación técnica que resuelva los cuellos de botella de los pagadores —particularmente la retención de pacientes crónicos de alto costo en camas hospitalarias de agudos—, apalancándose en la garantía de liquidez que otorga el giro directo de la ADRES</w:t>
      </w:r>
      <w:r w:rsidRPr="00121F70">
        <w:rPr>
          <w:rFonts w:ascii="Aptos" w:eastAsia="Google Sans" w:hAnsi="Aptos" w:cs="Google Sans"/>
          <w:color w:val="444746"/>
          <w:sz w:val="24"/>
          <w:szCs w:val="24"/>
          <w:vertAlign w:val="superscript"/>
        </w:rPr>
        <w:t>20</w:t>
      </w:r>
      <w:r w:rsidRPr="00121F70">
        <w:rPr>
          <w:rFonts w:ascii="Aptos" w:eastAsia="Google Sans" w:hAnsi="Aptos" w:cs="Google Sans"/>
          <w:color w:val="1F1F1F"/>
        </w:rPr>
        <w:t>.</w:t>
      </w:r>
    </w:p>
    <w:p w14:paraId="1888CF90" w14:textId="77777777" w:rsidR="00443CF1" w:rsidRDefault="00443CF1" w:rsidP="00121F70">
      <w:pPr>
        <w:pStyle w:val="Ttulo2"/>
        <w:spacing w:before="0" w:after="0" w:line="275" w:lineRule="auto"/>
        <w:jc w:val="both"/>
        <w:rPr>
          <w:rFonts w:ascii="Aptos" w:eastAsia="Google Sans" w:hAnsi="Aptos" w:cs="Google Sans"/>
          <w:color w:val="1F1F1F"/>
        </w:rPr>
      </w:pPr>
    </w:p>
    <w:p w14:paraId="2E603914" w14:textId="257F1D03" w:rsidR="00082937" w:rsidRPr="00121F70" w:rsidRDefault="00000000" w:rsidP="00121F70">
      <w:pPr>
        <w:pStyle w:val="Ttulo2"/>
        <w:spacing w:before="0" w:after="0" w:line="275" w:lineRule="auto"/>
        <w:jc w:val="both"/>
        <w:rPr>
          <w:rFonts w:ascii="Aptos" w:eastAsia="Google Sans" w:hAnsi="Aptos" w:cs="Google Sans"/>
          <w:color w:val="1F1F1F"/>
        </w:rPr>
      </w:pPr>
      <w:r w:rsidRPr="00121F70">
        <w:rPr>
          <w:rFonts w:ascii="Aptos" w:eastAsia="Google Sans" w:hAnsi="Aptos" w:cs="Google Sans"/>
          <w:color w:val="1F1F1F"/>
        </w:rPr>
        <w:t>Formulación de la Estrategia Competitiva para Optimus Health</w:t>
      </w:r>
    </w:p>
    <w:p w14:paraId="3C7A85A3" w14:textId="77777777" w:rsidR="00082937"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Para garantizar un posicionamiento dominante y sostenible frente a sus competidores en Sincelejo, Optimus Health debe implementar una estrategia estructurada en tres directrices operativas y comerciales de ejecución complementaria.</w:t>
      </w:r>
    </w:p>
    <w:p w14:paraId="44661209" w14:textId="77777777" w:rsidR="00443CF1" w:rsidRPr="00121F70" w:rsidRDefault="00443CF1" w:rsidP="00121F70">
      <w:pPr>
        <w:pBdr>
          <w:top w:val="nil"/>
          <w:left w:val="nil"/>
          <w:bottom w:val="nil"/>
          <w:right w:val="nil"/>
          <w:between w:val="nil"/>
        </w:pBdr>
        <w:spacing w:line="275" w:lineRule="auto"/>
        <w:jc w:val="both"/>
        <w:rPr>
          <w:rFonts w:ascii="Aptos" w:eastAsia="Google Sans" w:hAnsi="Aptos" w:cs="Google Sans"/>
          <w:color w:val="1F1F1F"/>
        </w:rPr>
      </w:pPr>
    </w:p>
    <w:p w14:paraId="4365A218" w14:textId="77777777" w:rsidR="00082937" w:rsidRPr="00121F70" w:rsidRDefault="00000000" w:rsidP="00121F70">
      <w:pPr>
        <w:pStyle w:val="Ttulo3"/>
        <w:spacing w:before="0" w:after="0" w:line="275" w:lineRule="auto"/>
        <w:jc w:val="both"/>
        <w:rPr>
          <w:rFonts w:ascii="Aptos" w:eastAsia="Google Sans" w:hAnsi="Aptos" w:cs="Google Sans"/>
          <w:color w:val="1F1F1F"/>
        </w:rPr>
      </w:pPr>
      <w:r w:rsidRPr="00121F70">
        <w:rPr>
          <w:rFonts w:ascii="Aptos" w:eastAsia="Google Sans" w:hAnsi="Aptos" w:cs="Google Sans"/>
          <w:color w:val="1F1F1F"/>
        </w:rPr>
        <w:t>1. Consolidación del Modelo de Cuidado Transicional Integral</w:t>
      </w:r>
    </w:p>
    <w:p w14:paraId="2D08516E"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Optimus Health dispone de una ventaja competitiva estructural que no poseen los operadores netamente domiciliarios de Sincelejo: la posesión simultánea de infraestructura de hospitalización institucional para pacientes crónicos y equipos extramurales de atención domiciliaria</w:t>
      </w:r>
      <w:r w:rsidRPr="00121F70">
        <w:rPr>
          <w:rFonts w:ascii="Aptos" w:eastAsia="Google Sans" w:hAnsi="Aptos" w:cs="Google Sans"/>
          <w:color w:val="444746"/>
          <w:sz w:val="24"/>
          <w:szCs w:val="24"/>
          <w:vertAlign w:val="superscript"/>
        </w:rPr>
        <w:t>20</w:t>
      </w:r>
      <w:r w:rsidRPr="00121F70">
        <w:rPr>
          <w:rFonts w:ascii="Aptos" w:eastAsia="Google Sans" w:hAnsi="Aptos" w:cs="Google Sans"/>
          <w:color w:val="1F1F1F"/>
        </w:rPr>
        <w:t>. La institución debe institucionalizar un modelo de egreso temprano coordinado en alianza con las clínicas de tercer nivel e instituciones de agudos de la ciudad</w:t>
      </w:r>
      <w:r w:rsidRPr="00121F70">
        <w:rPr>
          <w:rFonts w:ascii="Aptos" w:eastAsia="Google Sans" w:hAnsi="Aptos" w:cs="Google Sans"/>
          <w:color w:val="444746"/>
          <w:sz w:val="24"/>
          <w:szCs w:val="24"/>
          <w:vertAlign w:val="superscript"/>
        </w:rPr>
        <w:t>14</w:t>
      </w:r>
      <w:r w:rsidRPr="00121F70">
        <w:rPr>
          <w:rFonts w:ascii="Aptos" w:eastAsia="Google Sans" w:hAnsi="Aptos" w:cs="Google Sans"/>
          <w:color w:val="1F1F1F"/>
        </w:rPr>
        <w:t>.</w:t>
      </w:r>
    </w:p>
    <w:p w14:paraId="3328B337"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Bajo este esquema, los pacientes con secuelas graves de accidente cerebrovascular, falla cardíaca avanzada o requerimiento de soporte ventilatorio que ya superaron su fase aguda son transferidos inicialmente a la Unidad de Pacientes Crónicos de Optimus Health</w:t>
      </w:r>
      <w:r w:rsidRPr="00121F70">
        <w:rPr>
          <w:rFonts w:ascii="Aptos" w:eastAsia="Google Sans" w:hAnsi="Aptos" w:cs="Google Sans"/>
          <w:color w:val="444746"/>
          <w:sz w:val="24"/>
          <w:szCs w:val="24"/>
          <w:vertAlign w:val="superscript"/>
        </w:rPr>
        <w:t>19</w:t>
      </w:r>
      <w:r w:rsidRPr="00121F70">
        <w:rPr>
          <w:rFonts w:ascii="Aptos" w:eastAsia="Google Sans" w:hAnsi="Aptos" w:cs="Google Sans"/>
          <w:color w:val="1F1F1F"/>
        </w:rPr>
        <w:t>. En este entorno controlado se estabilizan los parámetros clínicos, se optimiza el esquema farmacológico mediante su servicio farmacéutico avalado y se entrena de forma intensiva al familiar en el rol de cuidador</w:t>
      </w:r>
      <w:r w:rsidRPr="00121F70">
        <w:rPr>
          <w:rFonts w:ascii="Aptos" w:eastAsia="Google Sans" w:hAnsi="Aptos" w:cs="Google Sans"/>
          <w:color w:val="444746"/>
          <w:sz w:val="24"/>
          <w:szCs w:val="24"/>
          <w:vertAlign w:val="superscript"/>
        </w:rPr>
        <w:t>20</w:t>
      </w:r>
      <w:r w:rsidRPr="00121F70">
        <w:rPr>
          <w:rFonts w:ascii="Aptos" w:eastAsia="Google Sans" w:hAnsi="Aptos" w:cs="Google Sans"/>
          <w:color w:val="1F1F1F"/>
        </w:rPr>
        <w:t>.</w:t>
      </w:r>
    </w:p>
    <w:p w14:paraId="3B701F0B"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 xml:space="preserve">Una vez asegurada la estabilidad del paciente y las competencias del entorno del hogar, se ejecuta un </w:t>
      </w:r>
      <w:proofErr w:type="spellStart"/>
      <w:r w:rsidRPr="00121F70">
        <w:rPr>
          <w:rFonts w:ascii="Aptos" w:eastAsia="Google Sans" w:hAnsi="Aptos" w:cs="Google Sans"/>
          <w:color w:val="1F1F1F"/>
        </w:rPr>
        <w:t>desescalonamiento</w:t>
      </w:r>
      <w:proofErr w:type="spellEnd"/>
      <w:r w:rsidRPr="00121F70">
        <w:rPr>
          <w:rFonts w:ascii="Aptos" w:eastAsia="Google Sans" w:hAnsi="Aptos" w:cs="Google Sans"/>
          <w:color w:val="1F1F1F"/>
        </w:rPr>
        <w:t xml:space="preserve"> seguro hacia la modalidad domiciliaria, preservando la continuidad del mismo equipo tratante, el mismo expediente clínico y los mismos canales de soporte terapéutico</w:t>
      </w:r>
      <w:r w:rsidRPr="00121F70">
        <w:rPr>
          <w:rFonts w:ascii="Aptos" w:eastAsia="Google Sans" w:hAnsi="Aptos" w:cs="Google Sans"/>
          <w:color w:val="444746"/>
          <w:sz w:val="24"/>
          <w:szCs w:val="24"/>
          <w:vertAlign w:val="superscript"/>
        </w:rPr>
        <w:t>20</w:t>
      </w:r>
      <w:r w:rsidRPr="00121F70">
        <w:rPr>
          <w:rFonts w:ascii="Aptos" w:eastAsia="Google Sans" w:hAnsi="Aptos" w:cs="Google Sans"/>
          <w:color w:val="1F1F1F"/>
        </w:rPr>
        <w:t>.</w:t>
      </w:r>
    </w:p>
    <w:p w14:paraId="5763CF92" w14:textId="77777777" w:rsidR="00082937"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Este flujo asistencial bidireccional reduce en más del 50% las tasas de reingreso no programado a salas de urgencias antes de los 30 días y abate el costo global del ciclo de enfermedad para la aseguradora, transformando a Optimus Health en el socio estratégico predilecto de las EPS para la gestión de estancias prolongadas</w:t>
      </w:r>
      <w:r w:rsidRPr="00121F70">
        <w:rPr>
          <w:rFonts w:ascii="Aptos" w:eastAsia="Google Sans" w:hAnsi="Aptos" w:cs="Google Sans"/>
          <w:color w:val="444746"/>
          <w:sz w:val="24"/>
          <w:szCs w:val="24"/>
          <w:vertAlign w:val="superscript"/>
        </w:rPr>
        <w:t>19</w:t>
      </w:r>
      <w:r w:rsidRPr="00121F70">
        <w:rPr>
          <w:rFonts w:ascii="Aptos" w:eastAsia="Google Sans" w:hAnsi="Aptos" w:cs="Google Sans"/>
          <w:color w:val="1F1F1F"/>
        </w:rPr>
        <w:t>.</w:t>
      </w:r>
    </w:p>
    <w:p w14:paraId="6AB7059B" w14:textId="77777777" w:rsidR="00B2188D" w:rsidRPr="00121F70" w:rsidRDefault="00B2188D" w:rsidP="00121F70">
      <w:pPr>
        <w:pBdr>
          <w:top w:val="nil"/>
          <w:left w:val="nil"/>
          <w:bottom w:val="nil"/>
          <w:right w:val="nil"/>
          <w:between w:val="nil"/>
        </w:pBdr>
        <w:spacing w:line="275" w:lineRule="auto"/>
        <w:jc w:val="both"/>
        <w:rPr>
          <w:rFonts w:ascii="Aptos" w:eastAsia="Google Sans" w:hAnsi="Aptos" w:cs="Google Sans"/>
          <w:color w:val="1F1F1F"/>
        </w:rPr>
      </w:pPr>
    </w:p>
    <w:p w14:paraId="2B1F076E" w14:textId="77777777" w:rsidR="00082937" w:rsidRPr="00121F70" w:rsidRDefault="00000000" w:rsidP="00121F70">
      <w:pPr>
        <w:pStyle w:val="Ttulo3"/>
        <w:spacing w:before="0" w:after="0" w:line="275" w:lineRule="auto"/>
        <w:jc w:val="both"/>
        <w:rPr>
          <w:rFonts w:ascii="Aptos" w:eastAsia="Google Sans" w:hAnsi="Aptos" w:cs="Google Sans"/>
          <w:color w:val="1F1F1F"/>
        </w:rPr>
      </w:pPr>
      <w:r w:rsidRPr="00121F70">
        <w:rPr>
          <w:rFonts w:ascii="Aptos" w:eastAsia="Google Sans" w:hAnsi="Aptos" w:cs="Google Sans"/>
          <w:color w:val="1F1F1F"/>
        </w:rPr>
        <w:t>2. Contratación Basada en Valor y Protección del Flujo Financiero</w:t>
      </w:r>
    </w:p>
    <w:p w14:paraId="606CD64F" w14:textId="77777777" w:rsidR="00082937"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La institución debe abandonar de forma definitiva los acuerdos por eventos aislados y orientar sus negociaciones hacia la modalidad de Pago Global Prospectivo (PGP) y paquetes integrales por condición de salud, ajustados a los lineamientos del Decreto 441 de 2022</w:t>
      </w:r>
      <w:r w:rsidRPr="00121F70">
        <w:rPr>
          <w:rFonts w:ascii="Aptos" w:eastAsia="Google Sans" w:hAnsi="Aptos" w:cs="Google Sans"/>
          <w:color w:val="444746"/>
          <w:sz w:val="24"/>
          <w:szCs w:val="24"/>
          <w:vertAlign w:val="superscript"/>
        </w:rPr>
        <w:t>30</w:t>
      </w:r>
      <w:r w:rsidRPr="00121F70">
        <w:rPr>
          <w:rFonts w:ascii="Aptos" w:eastAsia="Google Sans" w:hAnsi="Aptos" w:cs="Google Sans"/>
          <w:color w:val="1F1F1F"/>
        </w:rPr>
        <w:t>. Optimus Health debe estructurar canastas de servicios integrales para tres cohortes de alta prevalencia en Sincelejo:</w:t>
      </w:r>
    </w:p>
    <w:p w14:paraId="7E0E2E61" w14:textId="77777777" w:rsidR="007743E2" w:rsidRPr="00121F70" w:rsidRDefault="007743E2" w:rsidP="00121F70">
      <w:pPr>
        <w:pBdr>
          <w:top w:val="nil"/>
          <w:left w:val="nil"/>
          <w:bottom w:val="nil"/>
          <w:right w:val="nil"/>
          <w:between w:val="nil"/>
        </w:pBdr>
        <w:spacing w:line="275" w:lineRule="auto"/>
        <w:jc w:val="both"/>
        <w:rPr>
          <w:rFonts w:ascii="Aptos" w:eastAsia="Google Sans" w:hAnsi="Aptos" w:cs="Google Sans"/>
          <w:color w:val="1F1F1F"/>
        </w:rPr>
      </w:pPr>
    </w:p>
    <w:p w14:paraId="4A667C40" w14:textId="77777777" w:rsidR="00082937" w:rsidRPr="00121F70" w:rsidRDefault="00000000" w:rsidP="00121F70">
      <w:pPr>
        <w:numPr>
          <w:ilvl w:val="0"/>
          <w:numId w:val="1"/>
        </w:numPr>
        <w:pBdr>
          <w:top w:val="nil"/>
          <w:left w:val="nil"/>
          <w:bottom w:val="nil"/>
          <w:right w:val="nil"/>
          <w:between w:val="nil"/>
        </w:pBdr>
        <w:spacing w:line="275" w:lineRule="auto"/>
        <w:jc w:val="both"/>
        <w:rPr>
          <w:rFonts w:ascii="Aptos" w:hAnsi="Aptos"/>
        </w:rPr>
      </w:pPr>
      <w:r w:rsidRPr="00121F70">
        <w:rPr>
          <w:rFonts w:ascii="Aptos" w:eastAsia="Google Sans" w:hAnsi="Aptos" w:cs="Google Sans"/>
          <w:color w:val="1F1F1F"/>
        </w:rPr>
        <w:lastRenderedPageBreak/>
        <w:t>La cohorte cardiometabólica avanzada (falla cardíaca, hipertensión refractaria y pie diabético complicado)</w:t>
      </w:r>
      <w:r w:rsidRPr="00121F70">
        <w:rPr>
          <w:rFonts w:ascii="Aptos" w:eastAsia="Google Sans" w:hAnsi="Aptos" w:cs="Google Sans"/>
          <w:color w:val="444746"/>
          <w:sz w:val="24"/>
          <w:szCs w:val="24"/>
          <w:vertAlign w:val="superscript"/>
        </w:rPr>
        <w:t>18</w:t>
      </w:r>
      <w:r w:rsidRPr="00121F70">
        <w:rPr>
          <w:rFonts w:ascii="Aptos" w:eastAsia="Google Sans" w:hAnsi="Aptos" w:cs="Google Sans"/>
          <w:color w:val="1F1F1F"/>
        </w:rPr>
        <w:t>.</w:t>
      </w:r>
    </w:p>
    <w:p w14:paraId="58B97E23" w14:textId="77777777" w:rsidR="00082937" w:rsidRPr="00121F70" w:rsidRDefault="00000000" w:rsidP="00121F70">
      <w:pPr>
        <w:numPr>
          <w:ilvl w:val="0"/>
          <w:numId w:val="1"/>
        </w:numPr>
        <w:pBdr>
          <w:top w:val="nil"/>
          <w:left w:val="nil"/>
          <w:bottom w:val="nil"/>
          <w:right w:val="nil"/>
          <w:between w:val="nil"/>
        </w:pBdr>
        <w:spacing w:line="275" w:lineRule="auto"/>
        <w:jc w:val="both"/>
        <w:rPr>
          <w:rFonts w:ascii="Aptos" w:hAnsi="Aptos"/>
        </w:rPr>
      </w:pPr>
      <w:r w:rsidRPr="00121F70">
        <w:rPr>
          <w:rFonts w:ascii="Aptos" w:eastAsia="Google Sans" w:hAnsi="Aptos" w:cs="Google Sans"/>
          <w:color w:val="1F1F1F"/>
        </w:rPr>
        <w:t>La cohorte neumológica dependiente (pacientes con EPOC y fibrosis con requerimiento de oxigenoterapia o soporte ventilatorio mecánico)</w:t>
      </w:r>
      <w:r w:rsidRPr="00121F70">
        <w:rPr>
          <w:rFonts w:ascii="Aptos" w:eastAsia="Google Sans" w:hAnsi="Aptos" w:cs="Google Sans"/>
          <w:color w:val="444746"/>
          <w:sz w:val="24"/>
          <w:szCs w:val="24"/>
          <w:vertAlign w:val="superscript"/>
        </w:rPr>
        <w:t>19</w:t>
      </w:r>
      <w:r w:rsidRPr="00121F70">
        <w:rPr>
          <w:rFonts w:ascii="Aptos" w:eastAsia="Google Sans" w:hAnsi="Aptos" w:cs="Google Sans"/>
          <w:color w:val="1F1F1F"/>
        </w:rPr>
        <w:t>.</w:t>
      </w:r>
    </w:p>
    <w:p w14:paraId="5F28EB37" w14:textId="77777777" w:rsidR="00082937" w:rsidRPr="00121F70" w:rsidRDefault="00000000" w:rsidP="00121F70">
      <w:pPr>
        <w:numPr>
          <w:ilvl w:val="0"/>
          <w:numId w:val="1"/>
        </w:numPr>
        <w:pBdr>
          <w:top w:val="nil"/>
          <w:left w:val="nil"/>
          <w:bottom w:val="nil"/>
          <w:right w:val="nil"/>
          <w:between w:val="nil"/>
        </w:pBdr>
        <w:spacing w:line="275" w:lineRule="auto"/>
        <w:jc w:val="both"/>
        <w:rPr>
          <w:rFonts w:ascii="Aptos" w:hAnsi="Aptos"/>
        </w:rPr>
      </w:pPr>
      <w:r w:rsidRPr="00121F70">
        <w:rPr>
          <w:rFonts w:ascii="Aptos" w:eastAsia="Google Sans" w:hAnsi="Aptos" w:cs="Google Sans"/>
          <w:color w:val="1F1F1F"/>
        </w:rPr>
        <w:t>La cohorte oncopaliativa integral</w:t>
      </w:r>
      <w:r w:rsidRPr="00121F70">
        <w:rPr>
          <w:rFonts w:ascii="Aptos" w:eastAsia="Google Sans" w:hAnsi="Aptos" w:cs="Google Sans"/>
          <w:color w:val="444746"/>
          <w:sz w:val="24"/>
          <w:szCs w:val="24"/>
          <w:vertAlign w:val="superscript"/>
        </w:rPr>
        <w:t>20</w:t>
      </w:r>
      <w:r w:rsidRPr="00121F70">
        <w:rPr>
          <w:rFonts w:ascii="Aptos" w:eastAsia="Google Sans" w:hAnsi="Aptos" w:cs="Google Sans"/>
          <w:color w:val="1F1F1F"/>
        </w:rPr>
        <w:t>.</w:t>
      </w:r>
    </w:p>
    <w:p w14:paraId="4BA6D9BA" w14:textId="77777777" w:rsidR="007743E2" w:rsidRDefault="007743E2" w:rsidP="00121F70">
      <w:pPr>
        <w:pBdr>
          <w:top w:val="nil"/>
          <w:left w:val="nil"/>
          <w:bottom w:val="nil"/>
          <w:right w:val="nil"/>
          <w:between w:val="nil"/>
        </w:pBdr>
        <w:spacing w:line="275" w:lineRule="auto"/>
        <w:jc w:val="both"/>
        <w:rPr>
          <w:rFonts w:ascii="Aptos" w:eastAsia="Google Sans" w:hAnsi="Aptos" w:cs="Google Sans"/>
          <w:color w:val="1F1F1F"/>
        </w:rPr>
      </w:pPr>
    </w:p>
    <w:p w14:paraId="3FD48967" w14:textId="011632C8"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Cada paquete de servicios debe contar con notas técnicas auditadas que demuestren el ahorro generado frente a la hospitalización general, incorporando indicadores de resultado como la tasa de descompensaciones evitadas, la reducción de visitas a urgencias y la adherencia al tratamiento farmacológico</w:t>
      </w:r>
      <w:r w:rsidRPr="00121F70">
        <w:rPr>
          <w:rFonts w:ascii="Aptos" w:eastAsia="Google Sans" w:hAnsi="Aptos" w:cs="Google Sans"/>
          <w:color w:val="444746"/>
          <w:sz w:val="24"/>
          <w:szCs w:val="24"/>
          <w:vertAlign w:val="superscript"/>
        </w:rPr>
        <w:t>37</w:t>
      </w:r>
      <w:r w:rsidRPr="00121F70">
        <w:rPr>
          <w:rFonts w:ascii="Aptos" w:eastAsia="Google Sans" w:hAnsi="Aptos" w:cs="Google Sans"/>
          <w:color w:val="1F1F1F"/>
        </w:rPr>
        <w:t>.</w:t>
      </w:r>
    </w:p>
    <w:p w14:paraId="57A807E3"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Para proteger la caja operativa de la IPS, los acuerdos contractuales celebrados con Mutual Ser, Nueva EPS, Coosalud y los nuevos operadores del magisterio (FOMAG) deben incorporar formalmente la estipulación del giro directo a través de la ADRES en cumplimiento del Decreto 489 de 2024</w:t>
      </w:r>
      <w:r w:rsidRPr="00121F70">
        <w:rPr>
          <w:rFonts w:ascii="Aptos" w:eastAsia="Google Sans" w:hAnsi="Aptos" w:cs="Google Sans"/>
          <w:color w:val="444746"/>
          <w:sz w:val="24"/>
          <w:szCs w:val="24"/>
          <w:vertAlign w:val="superscript"/>
        </w:rPr>
        <w:t>30</w:t>
      </w:r>
      <w:r w:rsidRPr="00121F70">
        <w:rPr>
          <w:rFonts w:ascii="Aptos" w:eastAsia="Google Sans" w:hAnsi="Aptos" w:cs="Google Sans"/>
          <w:color w:val="1F1F1F"/>
        </w:rPr>
        <w:t>.</w:t>
      </w:r>
    </w:p>
    <w:p w14:paraId="644376A4" w14:textId="47AAD49D" w:rsidR="00082937"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 xml:space="preserve">La disciplina administrativa en la radicación de facturas electrónicas validadas previamente con RIPS debe operar con </w:t>
      </w:r>
      <w:r w:rsidR="00C0519B" w:rsidRPr="00121F70">
        <w:rPr>
          <w:rFonts w:ascii="Aptos" w:eastAsia="Google Sans" w:hAnsi="Aptos" w:cs="Google Sans"/>
          <w:color w:val="1F1F1F"/>
        </w:rPr>
        <w:t>cero márgenes</w:t>
      </w:r>
      <w:r w:rsidRPr="00121F70">
        <w:rPr>
          <w:rFonts w:ascii="Aptos" w:eastAsia="Google Sans" w:hAnsi="Aptos" w:cs="Google Sans"/>
          <w:color w:val="1F1F1F"/>
        </w:rPr>
        <w:t xml:space="preserve"> de error, garantizando desembolsos mensuales recurrentes que respalden el pago puntual de nómina asistencial y el aprovisionamiento de insumos y fármacos</w:t>
      </w:r>
      <w:r w:rsidRPr="00121F70">
        <w:rPr>
          <w:rFonts w:ascii="Aptos" w:eastAsia="Google Sans" w:hAnsi="Aptos" w:cs="Google Sans"/>
          <w:color w:val="444746"/>
          <w:sz w:val="24"/>
          <w:szCs w:val="24"/>
          <w:vertAlign w:val="superscript"/>
        </w:rPr>
        <w:t>30</w:t>
      </w:r>
      <w:r w:rsidRPr="00121F70">
        <w:rPr>
          <w:rFonts w:ascii="Aptos" w:eastAsia="Google Sans" w:hAnsi="Aptos" w:cs="Google Sans"/>
          <w:color w:val="1F1F1F"/>
        </w:rPr>
        <w:t>.</w:t>
      </w:r>
    </w:p>
    <w:p w14:paraId="5C498C16" w14:textId="77777777" w:rsidR="002E5CA9" w:rsidRPr="00121F70" w:rsidRDefault="002E5CA9" w:rsidP="00121F70">
      <w:pPr>
        <w:pBdr>
          <w:top w:val="nil"/>
          <w:left w:val="nil"/>
          <w:bottom w:val="nil"/>
          <w:right w:val="nil"/>
          <w:between w:val="nil"/>
        </w:pBdr>
        <w:spacing w:line="275" w:lineRule="auto"/>
        <w:jc w:val="both"/>
        <w:rPr>
          <w:rFonts w:ascii="Aptos" w:eastAsia="Google Sans" w:hAnsi="Aptos" w:cs="Google Sans"/>
          <w:color w:val="1F1F1F"/>
        </w:rPr>
      </w:pPr>
    </w:p>
    <w:p w14:paraId="0B2B4FFE" w14:textId="77777777" w:rsidR="00082937" w:rsidRPr="00121F70" w:rsidRDefault="00000000" w:rsidP="00121F70">
      <w:pPr>
        <w:pStyle w:val="Ttulo3"/>
        <w:spacing w:before="0" w:after="0" w:line="275" w:lineRule="auto"/>
        <w:jc w:val="both"/>
        <w:rPr>
          <w:rFonts w:ascii="Aptos" w:eastAsia="Google Sans" w:hAnsi="Aptos" w:cs="Google Sans"/>
          <w:color w:val="1F1F1F"/>
        </w:rPr>
      </w:pPr>
      <w:r w:rsidRPr="00121F70">
        <w:rPr>
          <w:rFonts w:ascii="Aptos" w:eastAsia="Google Sans" w:hAnsi="Aptos" w:cs="Google Sans"/>
          <w:color w:val="1F1F1F"/>
        </w:rPr>
        <w:t>3. Diferenciación por Especialización Paliativa, Soporte Psicosocial y Eficiencia Digital</w:t>
      </w:r>
    </w:p>
    <w:p w14:paraId="17A871A8"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Frente a competidores multirregionales que priorizan el volumen asistencial y la rotación estandarizada de enfermería básica, Optimus Health debe cimentar su posicionamiento de marca en la atención humanizada integral y la medicina paliativa</w:t>
      </w:r>
      <w:r w:rsidRPr="00121F70">
        <w:rPr>
          <w:rFonts w:ascii="Aptos" w:eastAsia="Google Sans" w:hAnsi="Aptos" w:cs="Google Sans"/>
          <w:color w:val="444746"/>
          <w:sz w:val="24"/>
          <w:szCs w:val="24"/>
          <w:vertAlign w:val="superscript"/>
        </w:rPr>
        <w:t>14</w:t>
      </w:r>
      <w:r w:rsidRPr="00121F70">
        <w:rPr>
          <w:rFonts w:ascii="Aptos" w:eastAsia="Google Sans" w:hAnsi="Aptos" w:cs="Google Sans"/>
          <w:color w:val="1F1F1F"/>
        </w:rPr>
        <w:t>. Competidores clave como Cuidado Seguro en Casa reportan que los cuidados paliativos representan una porción inferior al 1% de su facturación, configurando un segmento desatendido en Sincelejo que Optimus Health está plenamente habilitado para liderar</w:t>
      </w:r>
      <w:r w:rsidRPr="00121F70">
        <w:rPr>
          <w:rFonts w:ascii="Aptos" w:eastAsia="Google Sans" w:hAnsi="Aptos" w:cs="Google Sans"/>
          <w:color w:val="444746"/>
          <w:sz w:val="24"/>
          <w:szCs w:val="24"/>
          <w:vertAlign w:val="superscript"/>
        </w:rPr>
        <w:t>19</w:t>
      </w:r>
      <w:r w:rsidRPr="00121F70">
        <w:rPr>
          <w:rFonts w:ascii="Aptos" w:eastAsia="Google Sans" w:hAnsi="Aptos" w:cs="Google Sans"/>
          <w:color w:val="1F1F1F"/>
        </w:rPr>
        <w:t>.</w:t>
      </w:r>
    </w:p>
    <w:p w14:paraId="341CFE38"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La institución debe posicionar su Programa de Alivio del Dolor, Cuidados Paliativos y Unidad de Duelo como una solución ética y clínica indispensable para pacientes con enfermedades oncológicas y degenerativas en fase terminal, asegurando la administración domiciliaria de medicamentos de control especial bajo supervisión médica experta</w:t>
      </w:r>
      <w:r w:rsidRPr="00121F70">
        <w:rPr>
          <w:rFonts w:ascii="Aptos" w:eastAsia="Google Sans" w:hAnsi="Aptos" w:cs="Google Sans"/>
          <w:color w:val="444746"/>
          <w:sz w:val="24"/>
          <w:szCs w:val="24"/>
          <w:vertAlign w:val="superscript"/>
        </w:rPr>
        <w:t>20</w:t>
      </w:r>
      <w:r w:rsidRPr="00121F70">
        <w:rPr>
          <w:rFonts w:ascii="Aptos" w:eastAsia="Google Sans" w:hAnsi="Aptos" w:cs="Google Sans"/>
          <w:color w:val="1F1F1F"/>
        </w:rPr>
        <w:t>.</w:t>
      </w:r>
    </w:p>
    <w:p w14:paraId="5751690F"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De forma complementaria, este programa debe integrarse con una "Escuela Institucional para Cuidadores", liderada por las áreas de psicología y trabajo social</w:t>
      </w:r>
      <w:r w:rsidRPr="00121F70">
        <w:rPr>
          <w:rFonts w:ascii="Aptos" w:eastAsia="Google Sans" w:hAnsi="Aptos" w:cs="Google Sans"/>
          <w:color w:val="444746"/>
          <w:sz w:val="24"/>
          <w:szCs w:val="24"/>
          <w:vertAlign w:val="superscript"/>
        </w:rPr>
        <w:t>20</w:t>
      </w:r>
      <w:r w:rsidRPr="00121F70">
        <w:rPr>
          <w:rFonts w:ascii="Aptos" w:eastAsia="Google Sans" w:hAnsi="Aptos" w:cs="Google Sans"/>
          <w:color w:val="1F1F1F"/>
        </w:rPr>
        <w:t>. Mediante este espacio se instruye a las familias de estratos 1 y 2 en técnicas de movilización de pacientes, prevención de úlceras por decúbito, manejo higiénico de sondas y contención del desgaste emocional, mitigando las barreras socioeconómicas intrínsecas del entorno domiciliario en Sincelejo</w:t>
      </w:r>
      <w:r w:rsidRPr="00121F70">
        <w:rPr>
          <w:rFonts w:ascii="Aptos" w:eastAsia="Google Sans" w:hAnsi="Aptos" w:cs="Google Sans"/>
          <w:color w:val="444746"/>
          <w:sz w:val="24"/>
          <w:szCs w:val="24"/>
          <w:vertAlign w:val="superscript"/>
        </w:rPr>
        <w:t>20</w:t>
      </w:r>
      <w:r w:rsidRPr="00121F70">
        <w:rPr>
          <w:rFonts w:ascii="Aptos" w:eastAsia="Google Sans" w:hAnsi="Aptos" w:cs="Google Sans"/>
          <w:color w:val="1F1F1F"/>
        </w:rPr>
        <w:t>.</w:t>
      </w:r>
    </w:p>
    <w:p w14:paraId="69383F8F" w14:textId="77777777" w:rsidR="00082937" w:rsidRPr="00121F70" w:rsidRDefault="00000000" w:rsidP="00121F70">
      <w:pPr>
        <w:pBdr>
          <w:top w:val="nil"/>
          <w:left w:val="nil"/>
          <w:bottom w:val="nil"/>
          <w:right w:val="nil"/>
          <w:between w:val="nil"/>
        </w:pBdr>
        <w:spacing w:line="275" w:lineRule="auto"/>
        <w:jc w:val="both"/>
        <w:rPr>
          <w:rFonts w:ascii="Aptos" w:eastAsia="Google Sans" w:hAnsi="Aptos" w:cs="Google Sans"/>
          <w:color w:val="1F1F1F"/>
        </w:rPr>
      </w:pPr>
      <w:r w:rsidRPr="00121F70">
        <w:rPr>
          <w:rFonts w:ascii="Aptos" w:eastAsia="Google Sans" w:hAnsi="Aptos" w:cs="Google Sans"/>
          <w:color w:val="1F1F1F"/>
        </w:rPr>
        <w:t xml:space="preserve">En el plano operacional, Optimus Health debe implementar una plataforma móvil de historia clínica electrónica con georreferenciación y </w:t>
      </w:r>
      <w:proofErr w:type="spellStart"/>
      <w:r w:rsidRPr="00121F70">
        <w:rPr>
          <w:rFonts w:ascii="Aptos" w:eastAsia="Google Sans" w:hAnsi="Aptos" w:cs="Google Sans"/>
          <w:color w:val="1F1F1F"/>
        </w:rPr>
        <w:t>telemonitoreo</w:t>
      </w:r>
      <w:proofErr w:type="spellEnd"/>
      <w:r w:rsidRPr="00121F70">
        <w:rPr>
          <w:rFonts w:ascii="Aptos" w:eastAsia="Google Sans" w:hAnsi="Aptos" w:cs="Google Sans"/>
          <w:color w:val="1F1F1F"/>
        </w:rPr>
        <w:t xml:space="preserve"> asincrónico</w:t>
      </w:r>
      <w:r w:rsidRPr="00121F70">
        <w:rPr>
          <w:rFonts w:ascii="Aptos" w:eastAsia="Google Sans" w:hAnsi="Aptos" w:cs="Google Sans"/>
          <w:color w:val="444746"/>
          <w:sz w:val="24"/>
          <w:szCs w:val="24"/>
          <w:vertAlign w:val="superscript"/>
        </w:rPr>
        <w:t>37</w:t>
      </w:r>
      <w:r w:rsidRPr="00121F70">
        <w:rPr>
          <w:rFonts w:ascii="Aptos" w:eastAsia="Google Sans" w:hAnsi="Aptos" w:cs="Google Sans"/>
          <w:color w:val="1F1F1F"/>
        </w:rPr>
        <w:t xml:space="preserve">. Los profesionales de enfermería y terapeutas deben registrar sus atenciones en tiempo real a pie de cama desde dispositivos móviles, optimizando las rutas de visita urbana en sectores de difícil acceso vial y alimentando </w:t>
      </w:r>
      <w:r w:rsidRPr="00121F70">
        <w:rPr>
          <w:rFonts w:ascii="Aptos" w:eastAsia="Google Sans" w:hAnsi="Aptos" w:cs="Google Sans"/>
          <w:color w:val="1F1F1F"/>
        </w:rPr>
        <w:lastRenderedPageBreak/>
        <w:t>automáticamente los RIPS electrónicos</w:t>
      </w:r>
      <w:r w:rsidRPr="00121F70">
        <w:rPr>
          <w:rFonts w:ascii="Aptos" w:eastAsia="Google Sans" w:hAnsi="Aptos" w:cs="Google Sans"/>
          <w:color w:val="444746"/>
          <w:sz w:val="24"/>
          <w:szCs w:val="24"/>
          <w:vertAlign w:val="superscript"/>
        </w:rPr>
        <w:t>36</w:t>
      </w:r>
      <w:r w:rsidRPr="00121F70">
        <w:rPr>
          <w:rFonts w:ascii="Aptos" w:eastAsia="Google Sans" w:hAnsi="Aptos" w:cs="Google Sans"/>
          <w:color w:val="1F1F1F"/>
        </w:rPr>
        <w:t>.</w:t>
      </w:r>
    </w:p>
    <w:p w14:paraId="2DEB4C5C" w14:textId="77777777" w:rsidR="00082937" w:rsidRPr="00121F70" w:rsidRDefault="00000000" w:rsidP="00121F70">
      <w:pPr>
        <w:pBdr>
          <w:top w:val="nil"/>
          <w:left w:val="nil"/>
          <w:bottom w:val="nil"/>
          <w:right w:val="nil"/>
          <w:between w:val="nil"/>
        </w:pBdr>
        <w:spacing w:after="255" w:line="275" w:lineRule="auto"/>
        <w:jc w:val="both"/>
        <w:rPr>
          <w:rFonts w:ascii="Aptos" w:eastAsia="Google Sans" w:hAnsi="Aptos" w:cs="Google Sans"/>
          <w:color w:val="1F1F1F"/>
        </w:rPr>
      </w:pPr>
      <w:r w:rsidRPr="00121F70">
        <w:rPr>
          <w:rFonts w:ascii="Aptos" w:eastAsia="Google Sans" w:hAnsi="Aptos" w:cs="Google Sans"/>
          <w:color w:val="1F1F1F"/>
        </w:rPr>
        <w:t>Esta combinación de diferenciación clínica altamente humanizada, solidez operativa en cuidados paliativos y rigor digital en la gestión contractual posiciona a Optimus Health como el líder indiscutible en la atención de pacientes crónicos y domiciliarios en Sincelejo y la región de Sucre</w:t>
      </w:r>
      <w:r w:rsidRPr="00121F70">
        <w:rPr>
          <w:rFonts w:ascii="Aptos" w:eastAsia="Google Sans" w:hAnsi="Aptos" w:cs="Google Sans"/>
          <w:color w:val="444746"/>
          <w:sz w:val="24"/>
          <w:szCs w:val="24"/>
          <w:vertAlign w:val="superscript"/>
        </w:rPr>
        <w:t>14</w:t>
      </w:r>
      <w:r w:rsidRPr="00121F70">
        <w:rPr>
          <w:rFonts w:ascii="Aptos" w:eastAsia="Google Sans" w:hAnsi="Aptos" w:cs="Google Sans"/>
          <w:color w:val="1F1F1F"/>
        </w:rPr>
        <w:t>.</w:t>
      </w:r>
    </w:p>
    <w:p w14:paraId="36DD1F1E" w14:textId="77777777" w:rsidR="00082937" w:rsidRPr="00121F70" w:rsidRDefault="00000000" w:rsidP="00121F70">
      <w:pPr>
        <w:pStyle w:val="Ttulo4"/>
        <w:spacing w:before="0"/>
        <w:jc w:val="both"/>
        <w:rPr>
          <w:rFonts w:ascii="Aptos" w:eastAsia="Google Sans" w:hAnsi="Aptos" w:cs="Google Sans"/>
        </w:rPr>
      </w:pPr>
      <w:r w:rsidRPr="00121F70">
        <w:rPr>
          <w:rFonts w:ascii="Aptos" w:eastAsia="Google Sans" w:hAnsi="Aptos" w:cs="Google Sans"/>
        </w:rPr>
        <w:t>Obras citadas</w:t>
      </w:r>
    </w:p>
    <w:p w14:paraId="5BFF967E"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contexto-migratorio-sucre-2024, </w:t>
      </w:r>
      <w:hyperlink r:id="rId8">
        <w:r w:rsidRPr="00121F70">
          <w:rPr>
            <w:rFonts w:ascii="Aptos" w:eastAsia="Google Sans" w:hAnsi="Aptos" w:cs="Google Sans"/>
            <w:color w:val="0000EE"/>
            <w:sz w:val="24"/>
            <w:szCs w:val="24"/>
            <w:u w:val="single"/>
          </w:rPr>
          <w:t>https://www.minsalud.gov.co/sites/rid/Lists/BibliotecaDigital/RIDE/INEC/INTOR/contexto-migratorio-sucre-2024.pdf</w:t>
        </w:r>
      </w:hyperlink>
    </w:p>
    <w:p w14:paraId="773D3C62"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Análisis de Situación de Salud Colombia. 2024, </w:t>
      </w:r>
      <w:hyperlink r:id="rId9">
        <w:r w:rsidRPr="00121F70">
          <w:rPr>
            <w:rFonts w:ascii="Aptos" w:eastAsia="Google Sans" w:hAnsi="Aptos" w:cs="Google Sans"/>
            <w:color w:val="0000EE"/>
            <w:sz w:val="24"/>
            <w:szCs w:val="24"/>
            <w:u w:val="single"/>
          </w:rPr>
          <w:t>https://www.minsalud.gov.co/sites/rid/Lists/BibliotecaDigital/RIDE/VS/ED/PSP/asis-colombia-2024.pdf</w:t>
        </w:r>
      </w:hyperlink>
    </w:p>
    <w:p w14:paraId="034268ED" w14:textId="77777777" w:rsidR="00082937" w:rsidRPr="00121F70" w:rsidRDefault="00000000" w:rsidP="00B8417E">
      <w:pPr>
        <w:numPr>
          <w:ilvl w:val="0"/>
          <w:numId w:val="2"/>
        </w:numPr>
        <w:pBdr>
          <w:top w:val="nil"/>
          <w:left w:val="nil"/>
          <w:bottom w:val="nil"/>
          <w:right w:val="nil"/>
          <w:between w:val="nil"/>
        </w:pBdr>
        <w:rPr>
          <w:rFonts w:ascii="Aptos" w:hAnsi="Aptos"/>
          <w:lang w:val="en-US"/>
        </w:rPr>
      </w:pPr>
      <w:r w:rsidRPr="00121F70">
        <w:rPr>
          <w:rFonts w:ascii="Aptos" w:eastAsia="Google Sans" w:hAnsi="Aptos" w:cs="Google Sans"/>
          <w:sz w:val="24"/>
          <w:szCs w:val="24"/>
          <w:lang w:val="en-US"/>
        </w:rPr>
        <w:t xml:space="preserve">SGP-76-2023 - DNP, </w:t>
      </w:r>
      <w:hyperlink r:id="rId10">
        <w:r w:rsidRPr="00121F70">
          <w:rPr>
            <w:rFonts w:ascii="Aptos" w:eastAsia="Google Sans" w:hAnsi="Aptos" w:cs="Google Sans"/>
            <w:color w:val="0000EE"/>
            <w:sz w:val="24"/>
            <w:szCs w:val="24"/>
            <w:u w:val="single"/>
            <w:lang w:val="en-US"/>
          </w:rPr>
          <w:t>https://colaboracion.dnp.gov.co/CDT/Inversiones%20y%20finanzas%20pblicas/Documentos%20GFT/Distribuciones%20SGP/DD%20SGP-76-2023.pdf</w:t>
        </w:r>
      </w:hyperlink>
    </w:p>
    <w:p w14:paraId="25C0002D"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CONCEJO MUNICIPAL DE SAN JUAN DE BETULIA – SUCRE, </w:t>
      </w:r>
      <w:hyperlink r:id="rId11">
        <w:r w:rsidRPr="00121F70">
          <w:rPr>
            <w:rFonts w:ascii="Aptos" w:eastAsia="Google Sans" w:hAnsi="Aptos" w:cs="Google Sans"/>
            <w:color w:val="0000EE"/>
            <w:sz w:val="24"/>
            <w:szCs w:val="24"/>
            <w:u w:val="single"/>
          </w:rPr>
          <w:t>https://tramites1.suit.gov.co/registro-web/suit_descargar_archivo?A=58141</w:t>
        </w:r>
      </w:hyperlink>
    </w:p>
    <w:p w14:paraId="51D37B0B"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DEPARTAMENTO DE SUCRE, </w:t>
      </w:r>
      <w:hyperlink r:id="rId12">
        <w:r w:rsidRPr="00121F70">
          <w:rPr>
            <w:rFonts w:ascii="Aptos" w:eastAsia="Google Sans" w:hAnsi="Aptos" w:cs="Google Sans"/>
            <w:color w:val="0000EE"/>
            <w:sz w:val="24"/>
            <w:szCs w:val="24"/>
            <w:u w:val="single"/>
          </w:rPr>
          <w:t>https://docs.supersalud.gov.co/PortalWeb/SupervisionInstitucional/EstadisticasEntidadesTerritoriales/SUCRE.pdf</w:t>
        </w:r>
      </w:hyperlink>
    </w:p>
    <w:p w14:paraId="3924246C"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Nueva evidencia sobre la informalidad laboral y empresarial en, </w:t>
      </w:r>
      <w:hyperlink r:id="rId13">
        <w:r w:rsidRPr="00121F70">
          <w:rPr>
            <w:rFonts w:ascii="Aptos" w:eastAsia="Google Sans" w:hAnsi="Aptos" w:cs="Google Sans"/>
            <w:color w:val="0000EE"/>
            <w:sz w:val="24"/>
            <w:szCs w:val="24"/>
            <w:u w:val="single"/>
          </w:rPr>
          <w:t>https://investiga.banrep.gov.co/es/espe/espe108</w:t>
        </w:r>
      </w:hyperlink>
    </w:p>
    <w:p w14:paraId="3A960B64"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Mercado laboral por regiones - DANE, </w:t>
      </w:r>
      <w:hyperlink r:id="rId14">
        <w:r w:rsidRPr="00121F70">
          <w:rPr>
            <w:rFonts w:ascii="Aptos" w:eastAsia="Google Sans" w:hAnsi="Aptos" w:cs="Google Sans"/>
            <w:color w:val="0000EE"/>
            <w:sz w:val="24"/>
            <w:szCs w:val="24"/>
            <w:u w:val="single"/>
          </w:rPr>
          <w:t>https://www.dane.gov.co/files/operaciones/GEIH/bol-GEIHRegiones-Isem2025.pdf</w:t>
        </w:r>
      </w:hyperlink>
    </w:p>
    <w:p w14:paraId="293FD219"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Personas mayores en Colombia: - DANE, </w:t>
      </w:r>
      <w:hyperlink r:id="rId15">
        <w:r w:rsidRPr="00121F70">
          <w:rPr>
            <w:rFonts w:ascii="Aptos" w:eastAsia="Google Sans" w:hAnsi="Aptos" w:cs="Google Sans"/>
            <w:color w:val="0000EE"/>
            <w:sz w:val="24"/>
            <w:szCs w:val="24"/>
            <w:u w:val="single"/>
          </w:rPr>
          <w:t>https://www.dane.gov.co/files/investigaciones/notas-estadisticas/oct-2022-nota-estadistica-personas-mayores-en-colombia.pdf</w:t>
        </w:r>
      </w:hyperlink>
    </w:p>
    <w:p w14:paraId="106BC999" w14:textId="77777777" w:rsidR="00082937" w:rsidRPr="00121F70" w:rsidRDefault="00000000" w:rsidP="00B8417E">
      <w:pPr>
        <w:numPr>
          <w:ilvl w:val="0"/>
          <w:numId w:val="2"/>
        </w:numPr>
        <w:pBdr>
          <w:top w:val="nil"/>
          <w:left w:val="nil"/>
          <w:bottom w:val="nil"/>
          <w:right w:val="nil"/>
          <w:between w:val="nil"/>
        </w:pBdr>
        <w:rPr>
          <w:rFonts w:ascii="Aptos" w:hAnsi="Aptos"/>
        </w:rPr>
      </w:pPr>
      <w:proofErr w:type="spellStart"/>
      <w:r w:rsidRPr="00121F70">
        <w:rPr>
          <w:rFonts w:ascii="Aptos" w:eastAsia="Google Sans" w:hAnsi="Aptos" w:cs="Google Sans"/>
          <w:sz w:val="24"/>
          <w:szCs w:val="24"/>
        </w:rPr>
        <w:t>dane</w:t>
      </w:r>
      <w:proofErr w:type="spellEnd"/>
      <w:r w:rsidRPr="00121F70">
        <w:rPr>
          <w:rFonts w:ascii="Aptos" w:eastAsia="Google Sans" w:hAnsi="Aptos" w:cs="Google Sans"/>
          <w:sz w:val="24"/>
          <w:szCs w:val="24"/>
        </w:rPr>
        <w:t xml:space="preserve"> - mujeres y hombres: brechas de género en </w:t>
      </w:r>
      <w:proofErr w:type="spellStart"/>
      <w:r w:rsidRPr="00121F70">
        <w:rPr>
          <w:rFonts w:ascii="Aptos" w:eastAsia="Google Sans" w:hAnsi="Aptos" w:cs="Google Sans"/>
          <w:sz w:val="24"/>
          <w:szCs w:val="24"/>
        </w:rPr>
        <w:t>colombia</w:t>
      </w:r>
      <w:proofErr w:type="spellEnd"/>
      <w:r w:rsidRPr="00121F70">
        <w:rPr>
          <w:rFonts w:ascii="Aptos" w:eastAsia="Google Sans" w:hAnsi="Aptos" w:cs="Google Sans"/>
          <w:sz w:val="24"/>
          <w:szCs w:val="24"/>
        </w:rPr>
        <w:t xml:space="preserve">, </w:t>
      </w:r>
      <w:hyperlink r:id="rId16">
        <w:r w:rsidRPr="00121F70">
          <w:rPr>
            <w:rFonts w:ascii="Aptos" w:eastAsia="Google Sans" w:hAnsi="Aptos" w:cs="Google Sans"/>
            <w:color w:val="0000EE"/>
            <w:sz w:val="24"/>
            <w:szCs w:val="24"/>
            <w:u w:val="single"/>
          </w:rPr>
          <w:t>https://www.dane.gov.co/files/investigaciones/genero/publicaciones/mujeres-y-hombre-brechas-de-genero-colombia-informe-2daEdicion.pdf</w:t>
        </w:r>
      </w:hyperlink>
    </w:p>
    <w:p w14:paraId="1221B51F"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Sucre - La información del DANE en la toma de decisiones regionales, </w:t>
      </w:r>
      <w:hyperlink r:id="rId17">
        <w:r w:rsidRPr="00121F70">
          <w:rPr>
            <w:rFonts w:ascii="Aptos" w:eastAsia="Google Sans" w:hAnsi="Aptos" w:cs="Google Sans"/>
            <w:color w:val="0000EE"/>
            <w:sz w:val="24"/>
            <w:szCs w:val="24"/>
            <w:u w:val="single"/>
          </w:rPr>
          <w:t>https://www.dane.gov.co/files/investigaciones/planes-departamentos-ciudades/210115-InfoDane-Sincelejo-Sucre.pdf</w:t>
        </w:r>
      </w:hyperlink>
    </w:p>
    <w:p w14:paraId="322E2521"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Ruta de Afiliación al Régimen Subsidiado, </w:t>
      </w:r>
      <w:hyperlink r:id="rId18">
        <w:r w:rsidRPr="00121F70">
          <w:rPr>
            <w:rFonts w:ascii="Aptos" w:eastAsia="Google Sans" w:hAnsi="Aptos" w:cs="Google Sans"/>
            <w:color w:val="0000EE"/>
            <w:sz w:val="24"/>
            <w:szCs w:val="24"/>
            <w:u w:val="single"/>
          </w:rPr>
          <w:t>https://saludzipaquira.com/ruta-de-afiliacion-al-regimen-subsidiado/</w:t>
        </w:r>
      </w:hyperlink>
    </w:p>
    <w:p w14:paraId="2F5325AD"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Afiliación al régimen subsidiado - EPS Sura, </w:t>
      </w:r>
      <w:hyperlink r:id="rId19">
        <w:r w:rsidRPr="00121F70">
          <w:rPr>
            <w:rFonts w:ascii="Aptos" w:eastAsia="Google Sans" w:hAnsi="Aptos" w:cs="Google Sans"/>
            <w:color w:val="0000EE"/>
            <w:sz w:val="24"/>
            <w:szCs w:val="24"/>
            <w:u w:val="single"/>
          </w:rPr>
          <w:t>https://epssura.com/afiliacion-al-regimen-subsidiado</w:t>
        </w:r>
      </w:hyperlink>
    </w:p>
    <w:p w14:paraId="23D92AA7"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Régimen Subsidiado: Tu Derecho a la Salud Integral y Oportuna, </w:t>
      </w:r>
      <w:hyperlink r:id="rId20">
        <w:r w:rsidRPr="00121F70">
          <w:rPr>
            <w:rFonts w:ascii="Aptos" w:eastAsia="Google Sans" w:hAnsi="Aptos" w:cs="Google Sans"/>
            <w:color w:val="0000EE"/>
            <w:sz w:val="24"/>
            <w:szCs w:val="24"/>
            <w:u w:val="single"/>
          </w:rPr>
          <w:t>https://emssanareps.co/afiliados/subsidiado</w:t>
        </w:r>
      </w:hyperlink>
    </w:p>
    <w:p w14:paraId="5D46031C"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Nosotros | OPTIMUS HEALTH, </w:t>
      </w:r>
      <w:hyperlink r:id="rId21">
        <w:r w:rsidRPr="00121F70">
          <w:rPr>
            <w:rFonts w:ascii="Aptos" w:eastAsia="Google Sans" w:hAnsi="Aptos" w:cs="Google Sans"/>
            <w:color w:val="0000EE"/>
            <w:sz w:val="24"/>
            <w:szCs w:val="24"/>
            <w:u w:val="single"/>
          </w:rPr>
          <w:t>https://optimushealth.com.co/nosotros/</w:t>
        </w:r>
      </w:hyperlink>
    </w:p>
    <w:p w14:paraId="61F23D16"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Resolución No 2367 de 2023.pdf, </w:t>
      </w:r>
      <w:hyperlink r:id="rId22">
        <w:r w:rsidRPr="00121F70">
          <w:rPr>
            <w:rFonts w:ascii="Aptos" w:eastAsia="Google Sans" w:hAnsi="Aptos" w:cs="Google Sans"/>
            <w:color w:val="0000EE"/>
            <w:sz w:val="24"/>
            <w:szCs w:val="24"/>
            <w:u w:val="single"/>
          </w:rPr>
          <w:t>https://www.minsalud.gov.co/Normatividad_Nuevo/Resoluci%C3%B3n%20No%202367%20de%202023.pdf</w:t>
        </w:r>
      </w:hyperlink>
    </w:p>
    <w:p w14:paraId="251E4EC2"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lastRenderedPageBreak/>
        <w:t xml:space="preserve">Salud de Pueblos Indígenas en Arauca | PDF - Scribd, </w:t>
      </w:r>
      <w:hyperlink r:id="rId23">
        <w:r w:rsidRPr="00121F70">
          <w:rPr>
            <w:rFonts w:ascii="Aptos" w:eastAsia="Google Sans" w:hAnsi="Aptos" w:cs="Google Sans"/>
            <w:color w:val="0000EE"/>
            <w:sz w:val="24"/>
            <w:szCs w:val="24"/>
            <w:u w:val="single"/>
          </w:rPr>
          <w:t>https://es.scribd.com/document/434181637/Analisis-Situacional-de-Los-Pueblos-Indigenas-en-Salud-2019</w:t>
        </w:r>
      </w:hyperlink>
    </w:p>
    <w:p w14:paraId="16C0332F"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LA TUTELA Y LOS DERECHOS A LA SALUD Y A LA SEGURIDAD, </w:t>
      </w:r>
      <w:hyperlink r:id="rId24">
        <w:r w:rsidRPr="00121F70">
          <w:rPr>
            <w:rFonts w:ascii="Aptos" w:eastAsia="Google Sans" w:hAnsi="Aptos" w:cs="Google Sans"/>
            <w:color w:val="0000EE"/>
            <w:sz w:val="24"/>
            <w:szCs w:val="24"/>
            <w:u w:val="single"/>
          </w:rPr>
          <w:t>https://www.defensoria.gov.co/documents/20123/4133481/17_La+tutela+y+los+derechos+a+la+salud+y+a+la+seguridad+social+2023_Salud.pdf</w:t>
        </w:r>
      </w:hyperlink>
    </w:p>
    <w:p w14:paraId="66784938"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EL ESTILO DE VIDA DETERMINADO POR ACTIVIDADES, </w:t>
      </w:r>
      <w:hyperlink r:id="rId25">
        <w:r w:rsidRPr="00121F70">
          <w:rPr>
            <w:rFonts w:ascii="Aptos" w:eastAsia="Google Sans" w:hAnsi="Aptos" w:cs="Google Sans"/>
            <w:color w:val="0000EE"/>
            <w:sz w:val="24"/>
            <w:szCs w:val="24"/>
            <w:u w:val="single"/>
          </w:rPr>
          <w:t>https://www.siicsalud.com/des/expertoimpreso.php/175253</w:t>
        </w:r>
      </w:hyperlink>
    </w:p>
    <w:p w14:paraId="2F9DDD8F"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INFORME DE GESTIÓN VIGENCIA 2019, </w:t>
      </w:r>
      <w:hyperlink r:id="rId26">
        <w:r w:rsidRPr="00121F70">
          <w:rPr>
            <w:rFonts w:ascii="Aptos" w:eastAsia="Google Sans" w:hAnsi="Aptos" w:cs="Google Sans"/>
            <w:color w:val="0000EE"/>
            <w:sz w:val="24"/>
            <w:szCs w:val="24"/>
            <w:u w:val="single"/>
          </w:rPr>
          <w:t>https://cuidadoseguro.com.co/csc3/wp-content/uploads/2023/02/INFORME-DE-GESTION-2019.pdf</w:t>
        </w:r>
      </w:hyperlink>
    </w:p>
    <w:p w14:paraId="56498639"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Servicios Hospitalarios - OPTIMUS HEALTH, </w:t>
      </w:r>
      <w:hyperlink r:id="rId27">
        <w:r w:rsidRPr="00121F70">
          <w:rPr>
            <w:rFonts w:ascii="Aptos" w:eastAsia="Google Sans" w:hAnsi="Aptos" w:cs="Google Sans"/>
            <w:color w:val="0000EE"/>
            <w:sz w:val="24"/>
            <w:szCs w:val="24"/>
            <w:u w:val="single"/>
          </w:rPr>
          <w:t>https://optimushealth.com.co/servicios-hospitalarios/</w:t>
        </w:r>
      </w:hyperlink>
    </w:p>
    <w:p w14:paraId="5DAF194A"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Canales de atención - Servicios Médicos Integrales, </w:t>
      </w:r>
      <w:hyperlink r:id="rId28">
        <w:r w:rsidRPr="00121F70">
          <w:rPr>
            <w:rFonts w:ascii="Aptos" w:eastAsia="Google Sans" w:hAnsi="Aptos" w:cs="Google Sans"/>
            <w:color w:val="0000EE"/>
            <w:sz w:val="24"/>
            <w:szCs w:val="24"/>
            <w:u w:val="single"/>
          </w:rPr>
          <w:t>https://www.ipsserviciosmedicosintegrales.com/canales-atencion.php</w:t>
        </w:r>
      </w:hyperlink>
    </w:p>
    <w:p w14:paraId="216A0AE5"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Cartagena de Indias, 09 de junio de 2020 El Gobernador de Bolívar, </w:t>
      </w:r>
      <w:hyperlink r:id="rId29">
        <w:r w:rsidRPr="00121F70">
          <w:rPr>
            <w:rFonts w:ascii="Aptos" w:eastAsia="Google Sans" w:hAnsi="Aptos" w:cs="Google Sans"/>
            <w:color w:val="0000EE"/>
            <w:sz w:val="24"/>
            <w:szCs w:val="24"/>
            <w:u w:val="single"/>
          </w:rPr>
          <w:t>https://fundacionexe.org.co/wp-content/uploads/2024/03/Plan-de-Desarrollo-Departamental-de-Bolivar-2020-2023-Bolivar-primero.pdf</w:t>
        </w:r>
      </w:hyperlink>
    </w:p>
    <w:p w14:paraId="7C30B2F4"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Boletín Jurídico Nº52 · Actualización normativa del sector salud, </w:t>
      </w:r>
      <w:hyperlink r:id="rId30">
        <w:r w:rsidRPr="00121F70">
          <w:rPr>
            <w:rFonts w:ascii="Aptos" w:eastAsia="Google Sans" w:hAnsi="Aptos" w:cs="Google Sans"/>
            <w:color w:val="0000EE"/>
            <w:sz w:val="24"/>
            <w:szCs w:val="24"/>
            <w:u w:val="single"/>
          </w:rPr>
          <w:t>https://gonzalezpaezabogados.co/boletin-juridico-no52-julio-2026/</w:t>
        </w:r>
      </w:hyperlink>
    </w:p>
    <w:p w14:paraId="734E2A95"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plan de desarrollo municipio de </w:t>
      </w:r>
      <w:proofErr w:type="spellStart"/>
      <w:r w:rsidRPr="00121F70">
        <w:rPr>
          <w:rFonts w:ascii="Aptos" w:eastAsia="Google Sans" w:hAnsi="Aptos" w:cs="Google Sans"/>
          <w:sz w:val="24"/>
          <w:szCs w:val="24"/>
        </w:rPr>
        <w:t>sincelejo</w:t>
      </w:r>
      <w:proofErr w:type="spellEnd"/>
      <w:r w:rsidRPr="00121F70">
        <w:rPr>
          <w:rFonts w:ascii="Aptos" w:eastAsia="Google Sans" w:hAnsi="Aptos" w:cs="Google Sans"/>
          <w:sz w:val="24"/>
          <w:szCs w:val="24"/>
        </w:rPr>
        <w:t xml:space="preserve"> 2024 – 2027 </w:t>
      </w:r>
      <w:proofErr w:type="spellStart"/>
      <w:r w:rsidRPr="00121F70">
        <w:rPr>
          <w:rFonts w:ascii="Aptos" w:eastAsia="Google Sans" w:hAnsi="Aptos" w:cs="Google Sans"/>
          <w:sz w:val="24"/>
          <w:szCs w:val="24"/>
        </w:rPr>
        <w:t>pa'lante</w:t>
      </w:r>
      <w:proofErr w:type="spellEnd"/>
      <w:r w:rsidRPr="00121F70">
        <w:rPr>
          <w:rFonts w:ascii="Aptos" w:eastAsia="Google Sans" w:hAnsi="Aptos" w:cs="Google Sans"/>
          <w:sz w:val="24"/>
          <w:szCs w:val="24"/>
        </w:rPr>
        <w:t xml:space="preserve">, </w:t>
      </w:r>
      <w:hyperlink r:id="rId31">
        <w:r w:rsidRPr="00121F70">
          <w:rPr>
            <w:rFonts w:ascii="Aptos" w:eastAsia="Google Sans" w:hAnsi="Aptos" w:cs="Google Sans"/>
            <w:color w:val="0000EE"/>
            <w:sz w:val="24"/>
            <w:szCs w:val="24"/>
            <w:u w:val="single"/>
          </w:rPr>
          <w:t>https://www.alcaldiadesincelejo.gov.co/Transparencia/Normatividad/ACUERDO%20No%20346%20DE%202024.pdf</w:t>
        </w:r>
      </w:hyperlink>
    </w:p>
    <w:p w14:paraId="18C47E5B"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PARTICIPANTES - Index of /, </w:t>
      </w:r>
      <w:hyperlink r:id="rId32">
        <w:r w:rsidRPr="00121F70">
          <w:rPr>
            <w:rFonts w:ascii="Aptos" w:eastAsia="Google Sans" w:hAnsi="Aptos" w:cs="Google Sans"/>
            <w:color w:val="0000EE"/>
            <w:sz w:val="24"/>
            <w:szCs w:val="24"/>
            <w:u w:val="single"/>
          </w:rPr>
          <w:t>https://mail.revistainfectio.org/ojs_files_infectio_demo/journals/1/articles/872/submission/copyedit/872-1-2871-2-9-20200611.pdf</w:t>
        </w:r>
      </w:hyperlink>
    </w:p>
    <w:p w14:paraId="45303603"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INFORME DE GESTIÓN II TRIMESTRE 2023 | Coosalud, </w:t>
      </w:r>
      <w:hyperlink r:id="rId33">
        <w:r w:rsidRPr="00121F70">
          <w:rPr>
            <w:rFonts w:ascii="Aptos" w:eastAsia="Google Sans" w:hAnsi="Aptos" w:cs="Google Sans"/>
            <w:color w:val="0000EE"/>
            <w:sz w:val="24"/>
            <w:szCs w:val="24"/>
            <w:u w:val="single"/>
          </w:rPr>
          <w:t>https://coosalud.com/wp-content/uploads/2023/08/INFORME-DE-GESTION-II-TRI-2023.pdf</w:t>
        </w:r>
      </w:hyperlink>
    </w:p>
    <w:p w14:paraId="6594D978"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Régimen contributivo - Mutualser EPS, </w:t>
      </w:r>
      <w:hyperlink r:id="rId34">
        <w:r w:rsidRPr="00121F70">
          <w:rPr>
            <w:rFonts w:ascii="Aptos" w:eastAsia="Google Sans" w:hAnsi="Aptos" w:cs="Google Sans"/>
            <w:color w:val="0000EE"/>
            <w:sz w:val="24"/>
            <w:szCs w:val="24"/>
            <w:u w:val="single"/>
          </w:rPr>
          <w:t>https://www.mutualser.com/regimen-contributivo/</w:t>
        </w:r>
      </w:hyperlink>
    </w:p>
    <w:p w14:paraId="1A67BC45"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El informe de la ADRES: Medicamentos bajo la lupa, </w:t>
      </w:r>
      <w:hyperlink r:id="rId35">
        <w:r w:rsidRPr="00121F70">
          <w:rPr>
            <w:rFonts w:ascii="Aptos" w:eastAsia="Google Sans" w:hAnsi="Aptos" w:cs="Google Sans"/>
            <w:color w:val="0000EE"/>
            <w:sz w:val="24"/>
            <w:szCs w:val="24"/>
            <w:u w:val="single"/>
          </w:rPr>
          <w:t>https://www.sur.org.co/el-informe-de-la-adres-medicamentos-bajo-la-lupa/?pdf=40069</w:t>
        </w:r>
      </w:hyperlink>
    </w:p>
    <w:p w14:paraId="18AE5738"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Asignación EPS - Ministerio de Salud y Protección Social, </w:t>
      </w:r>
      <w:hyperlink r:id="rId36">
        <w:r w:rsidRPr="00121F70">
          <w:rPr>
            <w:rFonts w:ascii="Aptos" w:eastAsia="Google Sans" w:hAnsi="Aptos" w:cs="Google Sans"/>
            <w:color w:val="0000EE"/>
            <w:sz w:val="24"/>
            <w:szCs w:val="24"/>
            <w:u w:val="single"/>
          </w:rPr>
          <w:t>https://www.minsalud.gov.co/paginas/consulta-afiliados.aspx</w:t>
        </w:r>
      </w:hyperlink>
    </w:p>
    <w:p w14:paraId="7354C300" w14:textId="77777777" w:rsidR="00082937" w:rsidRPr="00121F70" w:rsidRDefault="00000000" w:rsidP="00B8417E">
      <w:pPr>
        <w:numPr>
          <w:ilvl w:val="0"/>
          <w:numId w:val="2"/>
        </w:numPr>
        <w:pBdr>
          <w:top w:val="nil"/>
          <w:left w:val="nil"/>
          <w:bottom w:val="nil"/>
          <w:right w:val="nil"/>
          <w:between w:val="nil"/>
        </w:pBdr>
        <w:rPr>
          <w:rFonts w:ascii="Aptos" w:hAnsi="Aptos"/>
        </w:rPr>
      </w:pPr>
      <w:proofErr w:type="gramStart"/>
      <w:r w:rsidRPr="00121F70">
        <w:rPr>
          <w:rFonts w:ascii="Aptos" w:eastAsia="Google Sans" w:hAnsi="Aptos" w:cs="Google Sans"/>
          <w:sz w:val="24"/>
          <w:szCs w:val="24"/>
        </w:rPr>
        <w:t>( 0</w:t>
      </w:r>
      <w:proofErr w:type="gramEnd"/>
      <w:r w:rsidRPr="00121F70">
        <w:rPr>
          <w:rFonts w:ascii="Aptos" w:eastAsia="Google Sans" w:hAnsi="Aptos" w:cs="Google Sans"/>
          <w:sz w:val="24"/>
          <w:szCs w:val="24"/>
        </w:rPr>
        <w:t xml:space="preserve"> 5 AGO 2026&gt; - Ministerio de Salud y Protección Social, </w:t>
      </w:r>
      <w:hyperlink r:id="rId37">
        <w:r w:rsidRPr="00121F70">
          <w:rPr>
            <w:rFonts w:ascii="Aptos" w:eastAsia="Google Sans" w:hAnsi="Aptos" w:cs="Google Sans"/>
            <w:color w:val="0000EE"/>
            <w:sz w:val="24"/>
            <w:szCs w:val="24"/>
            <w:u w:val="single"/>
          </w:rPr>
          <w:t>https://www.minsalud.gov.co/Normatividad_Nuevo/Resoluci%C3%B3n%20No%201809%20de%202026%20Con%20anexoT%C3%A9cnico.pdf</w:t>
        </w:r>
      </w:hyperlink>
    </w:p>
    <w:p w14:paraId="15C9D808"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SE AGUDIZA ESTADO CRÍTICO DE LA SALUD EL COLOMBIA, </w:t>
      </w:r>
      <w:hyperlink r:id="rId38">
        <w:r w:rsidRPr="00121F70">
          <w:rPr>
            <w:rFonts w:ascii="Aptos" w:eastAsia="Google Sans" w:hAnsi="Aptos" w:cs="Google Sans"/>
            <w:color w:val="0000EE"/>
            <w:sz w:val="24"/>
            <w:szCs w:val="24"/>
            <w:u w:val="single"/>
          </w:rPr>
          <w:t>https://xn--testimoniodenario-uxb.com/se-agudiza-estado-critico-de-la-salud-en-colombia-segun-informe-de-la-contraloria/</w:t>
        </w:r>
      </w:hyperlink>
    </w:p>
    <w:p w14:paraId="7B715649"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Red Prestadora Sucre - EPS familiar de Colombia, </w:t>
      </w:r>
      <w:hyperlink r:id="rId39">
        <w:r w:rsidRPr="00121F70">
          <w:rPr>
            <w:rFonts w:ascii="Aptos" w:eastAsia="Google Sans" w:hAnsi="Aptos" w:cs="Google Sans"/>
            <w:color w:val="0000EE"/>
            <w:sz w:val="24"/>
            <w:szCs w:val="24"/>
            <w:u w:val="single"/>
          </w:rPr>
          <w:t>https://www.epsfamiliardecolombia.com/red-prestadora-sucre</w:t>
        </w:r>
      </w:hyperlink>
    </w:p>
    <w:p w14:paraId="4608353E"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VIGENCIA 2025 - </w:t>
      </w:r>
      <w:proofErr w:type="spellStart"/>
      <w:r w:rsidRPr="00121F70">
        <w:rPr>
          <w:rFonts w:ascii="Aptos" w:eastAsia="Google Sans" w:hAnsi="Aptos" w:cs="Google Sans"/>
          <w:sz w:val="24"/>
          <w:szCs w:val="24"/>
        </w:rPr>
        <w:t>Fomag</w:t>
      </w:r>
      <w:proofErr w:type="spellEnd"/>
      <w:r w:rsidRPr="00121F70">
        <w:rPr>
          <w:rFonts w:ascii="Aptos" w:eastAsia="Google Sans" w:hAnsi="Aptos" w:cs="Google Sans"/>
          <w:sz w:val="24"/>
          <w:szCs w:val="24"/>
        </w:rPr>
        <w:t xml:space="preserve">, </w:t>
      </w:r>
      <w:hyperlink r:id="rId40">
        <w:r w:rsidRPr="00121F70">
          <w:rPr>
            <w:rFonts w:ascii="Aptos" w:eastAsia="Google Sans" w:hAnsi="Aptos" w:cs="Google Sans"/>
            <w:color w:val="0000EE"/>
            <w:sz w:val="24"/>
            <w:szCs w:val="24"/>
            <w:u w:val="single"/>
          </w:rPr>
          <w:t>https://www.fomag.gov.co/wp-content/uploads/2026/07/ANALISIS-DE-LAS-CONDICIONES-DE-SALUD-DE-LA-POBLACION-DEL-MAGISTERIO-AN%CC%83O-2025.pdf</w:t>
        </w:r>
      </w:hyperlink>
    </w:p>
    <w:p w14:paraId="43EF55C7"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lastRenderedPageBreak/>
        <w:t xml:space="preserve">modelo de contratación de servicios de salud - </w:t>
      </w:r>
      <w:proofErr w:type="spellStart"/>
      <w:r w:rsidRPr="00121F70">
        <w:rPr>
          <w:rFonts w:ascii="Aptos" w:eastAsia="Google Sans" w:hAnsi="Aptos" w:cs="Google Sans"/>
          <w:sz w:val="24"/>
          <w:szCs w:val="24"/>
        </w:rPr>
        <w:t>Fomag</w:t>
      </w:r>
      <w:proofErr w:type="spellEnd"/>
      <w:r w:rsidRPr="00121F70">
        <w:rPr>
          <w:rFonts w:ascii="Aptos" w:eastAsia="Google Sans" w:hAnsi="Aptos" w:cs="Google Sans"/>
          <w:sz w:val="24"/>
          <w:szCs w:val="24"/>
        </w:rPr>
        <w:t xml:space="preserve">, </w:t>
      </w:r>
      <w:hyperlink r:id="rId41">
        <w:r w:rsidRPr="00121F70">
          <w:rPr>
            <w:rFonts w:ascii="Aptos" w:eastAsia="Google Sans" w:hAnsi="Aptos" w:cs="Google Sans"/>
            <w:color w:val="0000EE"/>
            <w:sz w:val="24"/>
            <w:szCs w:val="24"/>
            <w:u w:val="single"/>
          </w:rPr>
          <w:t>https://www.fomag.gov.co/wp-content/uploads/2025/04/ANEXO-8.-MODELO-CONTRATACION-SERVICIOS-DE-SALUD-FOMAG.pdf</w:t>
        </w:r>
      </w:hyperlink>
    </w:p>
    <w:p w14:paraId="4FBA8D5B"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Compilación Jurídica del Invima - Decreto 780 de 2016, </w:t>
      </w:r>
      <w:hyperlink r:id="rId42">
        <w:r w:rsidRPr="00121F70">
          <w:rPr>
            <w:rFonts w:ascii="Aptos" w:eastAsia="Google Sans" w:hAnsi="Aptos" w:cs="Google Sans"/>
            <w:color w:val="0000EE"/>
            <w:sz w:val="24"/>
            <w:szCs w:val="24"/>
            <w:u w:val="single"/>
          </w:rPr>
          <w:t>https://normograma.invima.gov.co/compilacion/docs/decreto_0780_2016.htm</w:t>
        </w:r>
      </w:hyperlink>
    </w:p>
    <w:p w14:paraId="42CDC2A3"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Manual de cuentas médicas + - Bogotá - Famisanar, </w:t>
      </w:r>
      <w:hyperlink r:id="rId43">
        <w:r w:rsidRPr="00121F70">
          <w:rPr>
            <w:rFonts w:ascii="Aptos" w:eastAsia="Google Sans" w:hAnsi="Aptos" w:cs="Google Sans"/>
            <w:color w:val="0000EE"/>
            <w:sz w:val="24"/>
            <w:szCs w:val="24"/>
            <w:u w:val="single"/>
          </w:rPr>
          <w:t>https://www.famisanar.com.co/sites/default/files/2023-09/Manual%20de%20Cuentas%20Medicas.pdf</w:t>
        </w:r>
      </w:hyperlink>
    </w:p>
    <w:p w14:paraId="6AB0B43D"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Rol de las Redes Integrales e Integradas Territoriales (RIITS) en la, </w:t>
      </w:r>
      <w:hyperlink r:id="rId44">
        <w:r w:rsidRPr="00121F70">
          <w:rPr>
            <w:rFonts w:ascii="Aptos" w:eastAsia="Google Sans" w:hAnsi="Aptos" w:cs="Google Sans"/>
            <w:color w:val="0000EE"/>
            <w:sz w:val="24"/>
            <w:szCs w:val="24"/>
            <w:u w:val="single"/>
          </w:rPr>
          <w:t>https://consultorsalud.com/rol-redes-integrales-e-integradas-territoriales/</w:t>
        </w:r>
      </w:hyperlink>
    </w:p>
    <w:p w14:paraId="17FF7DE0"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Propuesta nota técnica a partir del análisis de suficiencia de unidad, </w:t>
      </w:r>
      <w:hyperlink r:id="rId45">
        <w:r w:rsidRPr="00121F70">
          <w:rPr>
            <w:rFonts w:ascii="Aptos" w:eastAsia="Google Sans" w:hAnsi="Aptos" w:cs="Google Sans"/>
            <w:color w:val="0000EE"/>
            <w:sz w:val="24"/>
            <w:szCs w:val="24"/>
            <w:u w:val="single"/>
          </w:rPr>
          <w:t>https://vitela.javerianacali.edu.co/bitstreams/ad556938-96a3-4096-92f6-56bc4792331e/download</w:t>
        </w:r>
      </w:hyperlink>
    </w:p>
    <w:p w14:paraId="3F8CBB90"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Lecturas complementarias - </w:t>
      </w:r>
      <w:proofErr w:type="spellStart"/>
      <w:r w:rsidRPr="00121F70">
        <w:rPr>
          <w:rFonts w:ascii="Aptos" w:eastAsia="Google Sans" w:hAnsi="Aptos" w:cs="Google Sans"/>
          <w:sz w:val="24"/>
          <w:szCs w:val="24"/>
        </w:rPr>
        <w:t>Edileyer</w:t>
      </w:r>
      <w:proofErr w:type="spellEnd"/>
      <w:r w:rsidRPr="00121F70">
        <w:rPr>
          <w:rFonts w:ascii="Aptos" w:eastAsia="Google Sans" w:hAnsi="Aptos" w:cs="Google Sans"/>
          <w:sz w:val="24"/>
          <w:szCs w:val="24"/>
        </w:rPr>
        <w:t xml:space="preserve">, </w:t>
      </w:r>
      <w:hyperlink r:id="rId46">
        <w:r w:rsidRPr="00121F70">
          <w:rPr>
            <w:rFonts w:ascii="Aptos" w:eastAsia="Google Sans" w:hAnsi="Aptos" w:cs="Google Sans"/>
            <w:color w:val="0000EE"/>
            <w:sz w:val="24"/>
            <w:szCs w:val="24"/>
            <w:u w:val="single"/>
          </w:rPr>
          <w:t>https://edileyer.com/lecturas_complementarias/</w:t>
        </w:r>
      </w:hyperlink>
    </w:p>
    <w:p w14:paraId="15045E34"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Resolución 1809 de 2026 Ministerio de Salud y Protección Social, </w:t>
      </w:r>
      <w:hyperlink r:id="rId47">
        <w:r w:rsidRPr="00121F70">
          <w:rPr>
            <w:rFonts w:ascii="Aptos" w:eastAsia="Google Sans" w:hAnsi="Aptos" w:cs="Google Sans"/>
            <w:color w:val="0000EE"/>
            <w:sz w:val="24"/>
            <w:szCs w:val="24"/>
            <w:u w:val="single"/>
          </w:rPr>
          <w:t>https://www.alcaldiabogota.gov.co/sisjur/normas/Norma1.jsp?i=194329&amp;dt=S</w:t>
        </w:r>
      </w:hyperlink>
    </w:p>
    <w:p w14:paraId="639EB107"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lineamientos-generacion-validacion-rips-factura-electronica-fev-doc, </w:t>
      </w:r>
      <w:hyperlink r:id="rId48">
        <w:r w:rsidRPr="00121F70">
          <w:rPr>
            <w:rFonts w:ascii="Aptos" w:eastAsia="Google Sans" w:hAnsi="Aptos" w:cs="Google Sans"/>
            <w:color w:val="0000EE"/>
            <w:sz w:val="24"/>
            <w:szCs w:val="24"/>
            <w:u w:val="single"/>
          </w:rPr>
          <w:t>https://www.minsalud.gov.co/sites/rid/Lists/BibliotecaDigital/RIDE/DE/OT/lineamientos-generacion-validacion-rips-factura-electronica-fev-doc-electronicos.pdf</w:t>
        </w:r>
      </w:hyperlink>
    </w:p>
    <w:p w14:paraId="59FA45F7"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IPS Cuidado Seguro en Casa, </w:t>
      </w:r>
      <w:hyperlink r:id="rId49">
        <w:r w:rsidRPr="00121F70">
          <w:rPr>
            <w:rFonts w:ascii="Aptos" w:eastAsia="Google Sans" w:hAnsi="Aptos" w:cs="Google Sans"/>
            <w:color w:val="0000EE"/>
            <w:sz w:val="24"/>
            <w:szCs w:val="24"/>
            <w:u w:val="single"/>
          </w:rPr>
          <w:t>https://cuidadoseguro.com.co/csc3/</w:t>
        </w:r>
      </w:hyperlink>
    </w:p>
    <w:p w14:paraId="715AE833"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Amedi S.A.S. - Un amigo a tiempo, </w:t>
      </w:r>
      <w:hyperlink r:id="rId50">
        <w:r w:rsidRPr="00121F70">
          <w:rPr>
            <w:rFonts w:ascii="Aptos" w:eastAsia="Google Sans" w:hAnsi="Aptos" w:cs="Google Sans"/>
            <w:color w:val="0000EE"/>
            <w:sz w:val="24"/>
            <w:szCs w:val="24"/>
            <w:u w:val="single"/>
          </w:rPr>
          <w:t>http://www.amediltda.com/</w:t>
        </w:r>
      </w:hyperlink>
    </w:p>
    <w:p w14:paraId="478AD3B4" w14:textId="77777777" w:rsidR="00082937" w:rsidRPr="00121F70" w:rsidRDefault="00000000" w:rsidP="00B8417E">
      <w:pPr>
        <w:numPr>
          <w:ilvl w:val="0"/>
          <w:numId w:val="2"/>
        </w:numPr>
        <w:pBdr>
          <w:top w:val="nil"/>
          <w:left w:val="nil"/>
          <w:bottom w:val="nil"/>
          <w:right w:val="nil"/>
          <w:between w:val="nil"/>
        </w:pBdr>
        <w:rPr>
          <w:rFonts w:ascii="Aptos" w:hAnsi="Aptos"/>
          <w:lang w:val="en-US"/>
        </w:rPr>
      </w:pPr>
      <w:proofErr w:type="spellStart"/>
      <w:r w:rsidRPr="00121F70">
        <w:rPr>
          <w:rFonts w:ascii="Aptos" w:eastAsia="Google Sans" w:hAnsi="Aptos" w:cs="Google Sans"/>
          <w:sz w:val="24"/>
          <w:szCs w:val="24"/>
          <w:lang w:val="en-US"/>
        </w:rPr>
        <w:t>Servimed</w:t>
      </w:r>
      <w:proofErr w:type="spellEnd"/>
      <w:r w:rsidRPr="00121F70">
        <w:rPr>
          <w:rFonts w:ascii="Aptos" w:eastAsia="Google Sans" w:hAnsi="Aptos" w:cs="Google Sans"/>
          <w:sz w:val="24"/>
          <w:szCs w:val="24"/>
          <w:lang w:val="en-US"/>
        </w:rPr>
        <w:t xml:space="preserve"> IPS: </w:t>
      </w:r>
      <w:proofErr w:type="spellStart"/>
      <w:r w:rsidRPr="00121F70">
        <w:rPr>
          <w:rFonts w:ascii="Aptos" w:eastAsia="Google Sans" w:hAnsi="Aptos" w:cs="Google Sans"/>
          <w:sz w:val="24"/>
          <w:szCs w:val="24"/>
          <w:lang w:val="en-US"/>
        </w:rPr>
        <w:t>Inicio</w:t>
      </w:r>
      <w:proofErr w:type="spellEnd"/>
      <w:r w:rsidRPr="00121F70">
        <w:rPr>
          <w:rFonts w:ascii="Aptos" w:eastAsia="Google Sans" w:hAnsi="Aptos" w:cs="Google Sans"/>
          <w:sz w:val="24"/>
          <w:szCs w:val="24"/>
          <w:lang w:val="en-US"/>
        </w:rPr>
        <w:t xml:space="preserve">, </w:t>
      </w:r>
      <w:hyperlink r:id="rId51">
        <w:r w:rsidRPr="00121F70">
          <w:rPr>
            <w:rFonts w:ascii="Aptos" w:eastAsia="Google Sans" w:hAnsi="Aptos" w:cs="Google Sans"/>
            <w:color w:val="0000EE"/>
            <w:sz w:val="24"/>
            <w:szCs w:val="24"/>
            <w:u w:val="single"/>
            <w:lang w:val="en-US"/>
          </w:rPr>
          <w:t>https://servimedips.com.co/</w:t>
        </w:r>
      </w:hyperlink>
    </w:p>
    <w:p w14:paraId="33E87EE0"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Optimus Health </w:t>
      </w:r>
      <w:proofErr w:type="spellStart"/>
      <w:r w:rsidRPr="00121F70">
        <w:rPr>
          <w:rFonts w:ascii="Aptos" w:eastAsia="Google Sans" w:hAnsi="Aptos" w:cs="Google Sans"/>
          <w:sz w:val="24"/>
          <w:szCs w:val="24"/>
        </w:rPr>
        <w:t>Sas</w:t>
      </w:r>
      <w:proofErr w:type="spellEnd"/>
      <w:r w:rsidRPr="00121F70">
        <w:rPr>
          <w:rFonts w:ascii="Aptos" w:eastAsia="Google Sans" w:hAnsi="Aptos" w:cs="Google Sans"/>
          <w:sz w:val="24"/>
          <w:szCs w:val="24"/>
        </w:rPr>
        <w:t xml:space="preserve"> Perfil de Compañía | Finanzas y ejecutivos clave, </w:t>
      </w:r>
      <w:hyperlink r:id="rId52">
        <w:r w:rsidRPr="00121F70">
          <w:rPr>
            <w:rFonts w:ascii="Aptos" w:eastAsia="Google Sans" w:hAnsi="Aptos" w:cs="Google Sans"/>
            <w:color w:val="0000EE"/>
            <w:sz w:val="24"/>
            <w:szCs w:val="24"/>
            <w:u w:val="single"/>
          </w:rPr>
          <w:t>https://www.emis.com/php/company-profile/CO/Optimus_Health_Sas_es_13413541.html</w:t>
        </w:r>
      </w:hyperlink>
    </w:p>
    <w:p w14:paraId="79583316"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Optimus Health </w:t>
      </w:r>
      <w:proofErr w:type="spellStart"/>
      <w:r w:rsidRPr="00121F70">
        <w:rPr>
          <w:rFonts w:ascii="Aptos" w:eastAsia="Google Sans" w:hAnsi="Aptos" w:cs="Google Sans"/>
          <w:sz w:val="24"/>
          <w:szCs w:val="24"/>
        </w:rPr>
        <w:t>Sas</w:t>
      </w:r>
      <w:proofErr w:type="spellEnd"/>
      <w:r w:rsidRPr="00121F70">
        <w:rPr>
          <w:rFonts w:ascii="Aptos" w:eastAsia="Google Sans" w:hAnsi="Aptos" w:cs="Google Sans"/>
          <w:sz w:val="24"/>
          <w:szCs w:val="24"/>
        </w:rPr>
        <w:t xml:space="preserve"> en SINCELEJO - Datos de contacto e, </w:t>
      </w:r>
      <w:hyperlink r:id="rId53">
        <w:r w:rsidRPr="00121F70">
          <w:rPr>
            <w:rFonts w:ascii="Aptos" w:eastAsia="Google Sans" w:hAnsi="Aptos" w:cs="Google Sans"/>
            <w:color w:val="0000EE"/>
            <w:sz w:val="24"/>
            <w:szCs w:val="24"/>
            <w:u w:val="single"/>
          </w:rPr>
          <w:t>https://directorio-empresas.einforma.co/informacion-empresa/optimus-health-sas</w:t>
        </w:r>
      </w:hyperlink>
    </w:p>
    <w:p w14:paraId="47ACB96B"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911 ASISTENCIA MEDICA DOMICILIARIA IPS SAS, </w:t>
      </w:r>
      <w:hyperlink r:id="rId54">
        <w:r w:rsidRPr="00121F70">
          <w:rPr>
            <w:rFonts w:ascii="Aptos" w:eastAsia="Google Sans" w:hAnsi="Aptos" w:cs="Google Sans"/>
            <w:color w:val="0000EE"/>
            <w:sz w:val="24"/>
            <w:szCs w:val="24"/>
            <w:u w:val="single"/>
          </w:rPr>
          <w:t>https://www.datacreditoempresas.com.co/directorio/911-asistencia-medica-domiciliaria-ips-sas.html</w:t>
        </w:r>
      </w:hyperlink>
    </w:p>
    <w:p w14:paraId="48522366"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Servicios domiciliarios - OPTIMUS HEALTH, </w:t>
      </w:r>
      <w:hyperlink r:id="rId55">
        <w:r w:rsidRPr="00121F70">
          <w:rPr>
            <w:rFonts w:ascii="Aptos" w:eastAsia="Google Sans" w:hAnsi="Aptos" w:cs="Google Sans"/>
            <w:color w:val="0000EE"/>
            <w:sz w:val="24"/>
            <w:szCs w:val="24"/>
            <w:u w:val="single"/>
          </w:rPr>
          <w:t>https://optimushealth.com.co/servicios-domiciliarios/</w:t>
        </w:r>
      </w:hyperlink>
    </w:p>
    <w:p w14:paraId="1224DE9E"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Reforma a la salud: senadoras de la Comisión Séptima del Senado, </w:t>
      </w:r>
      <w:hyperlink r:id="rId56">
        <w:r w:rsidRPr="00121F70">
          <w:rPr>
            <w:rFonts w:ascii="Aptos" w:eastAsia="Google Sans" w:hAnsi="Aptos" w:cs="Google Sans"/>
            <w:color w:val="0000EE"/>
            <w:sz w:val="24"/>
            <w:szCs w:val="24"/>
            <w:u w:val="single"/>
          </w:rPr>
          <w:t>https://www.semana.com/politica/articulo/reforma-a-la-salud-senadoras-de-la-comision-septima-del-senado-radican-ponencia-alternativa-este-miercoles-empieza-la-discusion/202539/</w:t>
        </w:r>
      </w:hyperlink>
    </w:p>
    <w:p w14:paraId="2B7D0FB8" w14:textId="77777777" w:rsidR="00082937" w:rsidRPr="00121F70" w:rsidRDefault="00000000" w:rsidP="00B8417E">
      <w:pPr>
        <w:numPr>
          <w:ilvl w:val="0"/>
          <w:numId w:val="2"/>
        </w:numPr>
        <w:pBdr>
          <w:top w:val="nil"/>
          <w:left w:val="nil"/>
          <w:bottom w:val="nil"/>
          <w:right w:val="nil"/>
          <w:between w:val="nil"/>
        </w:pBdr>
        <w:rPr>
          <w:rFonts w:ascii="Aptos" w:hAnsi="Aptos"/>
        </w:rPr>
      </w:pPr>
      <w:hyperlink r:id="rId57">
        <w:r w:rsidRPr="00121F70">
          <w:rPr>
            <w:rFonts w:ascii="Aptos" w:eastAsia="Google Sans" w:hAnsi="Aptos" w:cs="Google Sans"/>
            <w:color w:val="0000EE"/>
            <w:sz w:val="24"/>
            <w:szCs w:val="24"/>
            <w:u w:val="single"/>
          </w:rPr>
          <w:t>https://www.corteconstitucional.gov.co/relatoria/autos/2025/a1175-25.htm</w:t>
        </w:r>
      </w:hyperlink>
    </w:p>
    <w:p w14:paraId="77D0C1C9" w14:textId="77777777" w:rsidR="00082937" w:rsidRPr="00121F70" w:rsidRDefault="00000000" w:rsidP="00B8417E">
      <w:pPr>
        <w:numPr>
          <w:ilvl w:val="0"/>
          <w:numId w:val="2"/>
        </w:numPr>
        <w:pBdr>
          <w:top w:val="nil"/>
          <w:left w:val="nil"/>
          <w:bottom w:val="nil"/>
          <w:right w:val="nil"/>
          <w:between w:val="nil"/>
        </w:pBdr>
        <w:rPr>
          <w:rFonts w:ascii="Aptos" w:hAnsi="Aptos"/>
        </w:rPr>
      </w:pPr>
      <w:r w:rsidRPr="00121F70">
        <w:rPr>
          <w:rFonts w:ascii="Aptos" w:eastAsia="Google Sans" w:hAnsi="Aptos" w:cs="Google Sans"/>
          <w:sz w:val="24"/>
          <w:szCs w:val="24"/>
        </w:rPr>
        <w:t xml:space="preserve">PLAN DE DESARROLLO INSTITUCIONAL 2024-2027 HOSPITAL, </w:t>
      </w:r>
      <w:hyperlink r:id="rId58">
        <w:r w:rsidRPr="00121F70">
          <w:rPr>
            <w:rFonts w:ascii="Aptos" w:eastAsia="Google Sans" w:hAnsi="Aptos" w:cs="Google Sans"/>
            <w:color w:val="0000EE"/>
            <w:sz w:val="24"/>
            <w:szCs w:val="24"/>
            <w:u w:val="single"/>
          </w:rPr>
          <w:t>https://hrm.gov.co/wp-content/uploads/2024/08/PLAN-DE-DESARROLLO-2024-2027-HRM-R7.pdf</w:t>
        </w:r>
      </w:hyperlink>
    </w:p>
    <w:p w14:paraId="1EA721D9" w14:textId="77777777" w:rsidR="00082937" w:rsidRPr="00121F70" w:rsidRDefault="00000000" w:rsidP="00B8417E">
      <w:pPr>
        <w:numPr>
          <w:ilvl w:val="0"/>
          <w:numId w:val="2"/>
        </w:numPr>
        <w:pBdr>
          <w:top w:val="nil"/>
          <w:left w:val="nil"/>
          <w:bottom w:val="nil"/>
          <w:right w:val="nil"/>
          <w:between w:val="nil"/>
        </w:pBdr>
        <w:rPr>
          <w:rFonts w:ascii="Aptos" w:hAnsi="Aptos"/>
          <w:lang w:val="fr-FR"/>
        </w:rPr>
      </w:pPr>
      <w:proofErr w:type="gramStart"/>
      <w:r w:rsidRPr="00121F70">
        <w:rPr>
          <w:rFonts w:ascii="Aptos" w:eastAsia="Google Sans" w:hAnsi="Aptos" w:cs="Google Sans"/>
          <w:sz w:val="24"/>
          <w:szCs w:val="24"/>
          <w:lang w:val="fr-FR"/>
        </w:rPr>
        <w:t>informe</w:t>
      </w:r>
      <w:proofErr w:type="gramEnd"/>
      <w:r w:rsidRPr="00121F70">
        <w:rPr>
          <w:rFonts w:ascii="Aptos" w:eastAsia="Google Sans" w:hAnsi="Aptos" w:cs="Google Sans"/>
          <w:sz w:val="24"/>
          <w:szCs w:val="24"/>
          <w:lang w:val="fr-FR"/>
        </w:rPr>
        <w:t xml:space="preserve"> de gestion </w:t>
      </w:r>
      <w:proofErr w:type="spellStart"/>
      <w:r w:rsidRPr="00121F70">
        <w:rPr>
          <w:rFonts w:ascii="Aptos" w:eastAsia="Google Sans" w:hAnsi="Aptos" w:cs="Google Sans"/>
          <w:sz w:val="24"/>
          <w:szCs w:val="24"/>
          <w:lang w:val="fr-FR"/>
        </w:rPr>
        <w:t>vig</w:t>
      </w:r>
      <w:proofErr w:type="spellEnd"/>
      <w:r w:rsidRPr="00121F70">
        <w:rPr>
          <w:rFonts w:ascii="Aptos" w:eastAsia="Google Sans" w:hAnsi="Aptos" w:cs="Google Sans"/>
          <w:sz w:val="24"/>
          <w:szCs w:val="24"/>
          <w:lang w:val="fr-FR"/>
        </w:rPr>
        <w:t xml:space="preserve"> 2024 - </w:t>
      </w:r>
      <w:proofErr w:type="spellStart"/>
      <w:r w:rsidRPr="00121F70">
        <w:rPr>
          <w:rFonts w:ascii="Aptos" w:eastAsia="Google Sans" w:hAnsi="Aptos" w:cs="Google Sans"/>
          <w:sz w:val="24"/>
          <w:szCs w:val="24"/>
          <w:lang w:val="fr-FR"/>
        </w:rPr>
        <w:t>Subred</w:t>
      </w:r>
      <w:proofErr w:type="spellEnd"/>
      <w:r w:rsidRPr="00121F70">
        <w:rPr>
          <w:rFonts w:ascii="Aptos" w:eastAsia="Google Sans" w:hAnsi="Aptos" w:cs="Google Sans"/>
          <w:sz w:val="24"/>
          <w:szCs w:val="24"/>
          <w:lang w:val="fr-FR"/>
        </w:rPr>
        <w:t xml:space="preserve"> Sur </w:t>
      </w:r>
      <w:proofErr w:type="spellStart"/>
      <w:r w:rsidRPr="00121F70">
        <w:rPr>
          <w:rFonts w:ascii="Aptos" w:eastAsia="Google Sans" w:hAnsi="Aptos" w:cs="Google Sans"/>
          <w:sz w:val="24"/>
          <w:szCs w:val="24"/>
          <w:lang w:val="fr-FR"/>
        </w:rPr>
        <w:t>Occidente</w:t>
      </w:r>
      <w:proofErr w:type="spellEnd"/>
      <w:r w:rsidRPr="00121F70">
        <w:rPr>
          <w:rFonts w:ascii="Aptos" w:eastAsia="Google Sans" w:hAnsi="Aptos" w:cs="Google Sans"/>
          <w:sz w:val="24"/>
          <w:szCs w:val="24"/>
          <w:lang w:val="fr-FR"/>
        </w:rPr>
        <w:t xml:space="preserve">, </w:t>
      </w:r>
      <w:hyperlink r:id="rId59">
        <w:r w:rsidRPr="00121F70">
          <w:rPr>
            <w:rFonts w:ascii="Aptos" w:eastAsia="Google Sans" w:hAnsi="Aptos" w:cs="Google Sans"/>
            <w:color w:val="0000EE"/>
            <w:sz w:val="24"/>
            <w:szCs w:val="24"/>
            <w:u w:val="single"/>
            <w:lang w:val="fr-FR"/>
          </w:rPr>
          <w:t>https://subredsuroccidente.gov.co/planeacion/2025/plan_accion/Informe_de_Gestion_SISSSO_VIG_2024_.pdf</w:t>
        </w:r>
      </w:hyperlink>
    </w:p>
    <w:sectPr w:rsidR="00082937" w:rsidRPr="00121F70">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5AC89" w14:textId="77777777" w:rsidR="002206E8" w:rsidRDefault="002206E8" w:rsidP="006B2DF5">
      <w:r>
        <w:separator/>
      </w:r>
    </w:p>
  </w:endnote>
  <w:endnote w:type="continuationSeparator" w:id="0">
    <w:p w14:paraId="6BA4D07B" w14:textId="77777777" w:rsidR="002206E8" w:rsidRDefault="002206E8" w:rsidP="006B2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784090F-46A2-4E9A-9878-81F302B268EA}"/>
  </w:font>
  <w:font w:name="Aptos">
    <w:charset w:val="00"/>
    <w:family w:val="swiss"/>
    <w:pitch w:val="variable"/>
    <w:sig w:usb0="20000287" w:usb1="00000003" w:usb2="00000000" w:usb3="00000000" w:csb0="0000019F" w:csb1="00000000"/>
    <w:embedRegular r:id="rId2" w:fontKey="{24560BD1-6FAB-416A-A1E8-3FCE75059058}"/>
    <w:embedBold r:id="rId3" w:fontKey="{177F3DAD-5987-4527-86DB-93119AAF6816}"/>
    <w:embedItalic r:id="rId4" w:fontKey="{9FC58535-4C37-4395-A6DE-1C0ABFFB439D}"/>
  </w:font>
  <w:font w:name="Google Sans">
    <w:charset w:val="00"/>
    <w:family w:val="auto"/>
    <w:pitch w:val="default"/>
    <w:embedRegular r:id="rId5" w:fontKey="{7605C0A2-1380-48CF-BA5C-3DC140245BB6}"/>
    <w:embedBold r:id="rId6" w:fontKey="{60B6A8A8-42BC-4637-9D85-17960DD677B8}"/>
    <w:embedItalic r:id="rId7" w:fontKey="{A1B563A1-DDB5-422F-9E87-6332FC689D52}"/>
  </w:font>
  <w:font w:name="Calibri">
    <w:panose1 w:val="020F0502020204030204"/>
    <w:charset w:val="00"/>
    <w:family w:val="swiss"/>
    <w:pitch w:val="variable"/>
    <w:sig w:usb0="E4002EFF" w:usb1="C200247B" w:usb2="00000009" w:usb3="00000000" w:csb0="000001FF" w:csb1="00000000"/>
    <w:embedRegular r:id="rId8" w:fontKey="{814320A1-A2A2-465C-9B68-D6B2236F7065}"/>
  </w:font>
  <w:font w:name="Cambria">
    <w:panose1 w:val="02040503050406030204"/>
    <w:charset w:val="00"/>
    <w:family w:val="roman"/>
    <w:pitch w:val="variable"/>
    <w:sig w:usb0="E00006FF" w:usb1="420024FF" w:usb2="02000000" w:usb3="00000000" w:csb0="0000019F" w:csb1="00000000"/>
    <w:embedRegular r:id="rId9" w:fontKey="{C99C8DC2-5BE9-433A-840F-0B0EA4897F7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A8221" w14:textId="77777777" w:rsidR="002206E8" w:rsidRDefault="002206E8" w:rsidP="006B2DF5">
      <w:r>
        <w:separator/>
      </w:r>
    </w:p>
  </w:footnote>
  <w:footnote w:type="continuationSeparator" w:id="0">
    <w:p w14:paraId="30FCC3E2" w14:textId="77777777" w:rsidR="002206E8" w:rsidRDefault="002206E8" w:rsidP="006B2DF5">
      <w:r>
        <w:continuationSeparator/>
      </w:r>
    </w:p>
  </w:footnote>
  <w:footnote w:id="1">
    <w:p w14:paraId="6A95BD83" w14:textId="155A6DFD" w:rsidR="006B2DF5" w:rsidRPr="00413AE6" w:rsidRDefault="006B2DF5" w:rsidP="00413AE6">
      <w:pPr>
        <w:pStyle w:val="Textonotapie"/>
        <w:jc w:val="both"/>
        <w:rPr>
          <w:sz w:val="18"/>
          <w:szCs w:val="18"/>
        </w:rPr>
      </w:pPr>
      <w:r>
        <w:rPr>
          <w:rStyle w:val="Refdenotaalpie"/>
        </w:rPr>
        <w:footnoteRef/>
      </w:r>
      <w:r>
        <w:t xml:space="preserve"> </w:t>
      </w:r>
      <w:r w:rsidR="00413AE6" w:rsidRPr="00413AE6">
        <w:rPr>
          <w:sz w:val="18"/>
          <w:szCs w:val="18"/>
        </w:rPr>
        <w:t xml:space="preserve">Una </w:t>
      </w:r>
      <w:r w:rsidR="00413AE6" w:rsidRPr="00413AE6">
        <w:rPr>
          <w:b/>
          <w:bCs/>
          <w:sz w:val="18"/>
          <w:szCs w:val="18"/>
        </w:rPr>
        <w:t>conurbación</w:t>
      </w:r>
      <w:r w:rsidR="00413AE6" w:rsidRPr="00413AE6">
        <w:rPr>
          <w:sz w:val="18"/>
          <w:szCs w:val="18"/>
        </w:rPr>
        <w:t xml:space="preserve"> es el proceso o conjunto urbano formado cuando dos o más ciudades o municipios independientes (como Sincelejo y Corozal) crecen de forma continua hasta unirse físicamente y compartir una alta integración económica, laboral y de servicios.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4E86"/>
    <w:multiLevelType w:val="multilevel"/>
    <w:tmpl w:val="743A70A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7F716292"/>
    <w:multiLevelType w:val="multilevel"/>
    <w:tmpl w:val="00227B3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31676407">
    <w:abstractNumId w:val="1"/>
  </w:num>
  <w:num w:numId="2" w16cid:durableId="3367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9"/>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937"/>
    <w:rsid w:val="000243E4"/>
    <w:rsid w:val="00082937"/>
    <w:rsid w:val="000C356D"/>
    <w:rsid w:val="00121F70"/>
    <w:rsid w:val="00141724"/>
    <w:rsid w:val="002206E8"/>
    <w:rsid w:val="002E5CA9"/>
    <w:rsid w:val="00413AE6"/>
    <w:rsid w:val="00443CF1"/>
    <w:rsid w:val="00656829"/>
    <w:rsid w:val="006B2DF5"/>
    <w:rsid w:val="007743E2"/>
    <w:rsid w:val="007933E5"/>
    <w:rsid w:val="00825D8C"/>
    <w:rsid w:val="00892C66"/>
    <w:rsid w:val="008F61F1"/>
    <w:rsid w:val="00996729"/>
    <w:rsid w:val="00A50ABA"/>
    <w:rsid w:val="00A66144"/>
    <w:rsid w:val="00B2188D"/>
    <w:rsid w:val="00B8417E"/>
    <w:rsid w:val="00C0519B"/>
    <w:rsid w:val="00D66A28"/>
    <w:rsid w:val="00E17AA6"/>
    <w:rsid w:val="00E92864"/>
    <w:rsid w:val="00EC730A"/>
    <w:rsid w:val="00FC57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14659"/>
  <w15:docId w15:val="{3129E882-5006-4CED-A072-F8666695D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Textonotapie">
    <w:name w:val="footnote text"/>
    <w:basedOn w:val="Normal"/>
    <w:link w:val="TextonotapieCar"/>
    <w:uiPriority w:val="99"/>
    <w:semiHidden/>
    <w:unhideWhenUsed/>
    <w:rsid w:val="006B2DF5"/>
    <w:rPr>
      <w:sz w:val="20"/>
      <w:szCs w:val="20"/>
    </w:rPr>
  </w:style>
  <w:style w:type="character" w:customStyle="1" w:styleId="TextonotapieCar">
    <w:name w:val="Texto nota pie Car"/>
    <w:basedOn w:val="Fuentedeprrafopredeter"/>
    <w:link w:val="Textonotapie"/>
    <w:uiPriority w:val="99"/>
    <w:semiHidden/>
    <w:rsid w:val="006B2DF5"/>
    <w:rPr>
      <w:sz w:val="20"/>
      <w:szCs w:val="20"/>
    </w:rPr>
  </w:style>
  <w:style w:type="character" w:styleId="Refdenotaalpie">
    <w:name w:val="footnote reference"/>
    <w:basedOn w:val="Fuentedeprrafopredeter"/>
    <w:uiPriority w:val="99"/>
    <w:semiHidden/>
    <w:unhideWhenUsed/>
    <w:rsid w:val="006B2DF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investiga.banrep.gov.co/es/espe/espe108" TargetMode="External"/><Relationship Id="rId18" Type="http://schemas.openxmlformats.org/officeDocument/2006/relationships/hyperlink" Target="https://saludzipaquira.com/ruta-de-afiliacion-al-regimen-subsidiado/" TargetMode="External"/><Relationship Id="rId26" Type="http://schemas.openxmlformats.org/officeDocument/2006/relationships/hyperlink" Target="https://cuidadoseguro.com.co/csc3/wp-content/uploads/2023/02/INFORME-DE-GESTION-2019.pdf" TargetMode="External"/><Relationship Id="rId39" Type="http://schemas.openxmlformats.org/officeDocument/2006/relationships/hyperlink" Target="https://www.epsfamiliardecolombia.com/red-prestadora-sucre" TargetMode="External"/><Relationship Id="rId21" Type="http://schemas.openxmlformats.org/officeDocument/2006/relationships/hyperlink" Target="https://optimushealth.com.co/nosotros/" TargetMode="External"/><Relationship Id="rId34" Type="http://schemas.openxmlformats.org/officeDocument/2006/relationships/hyperlink" Target="https://www.mutualser.com/regimen-contributivo/" TargetMode="External"/><Relationship Id="rId42" Type="http://schemas.openxmlformats.org/officeDocument/2006/relationships/hyperlink" Target="https://normograma.invima.gov.co/compilacion/docs/decreto_0780_2016.htm" TargetMode="External"/><Relationship Id="rId47" Type="http://schemas.openxmlformats.org/officeDocument/2006/relationships/hyperlink" Target="https://www.alcaldiabogota.gov.co/sisjur/normas/Norma1.jsp?i=194329&amp;dt=S" TargetMode="External"/><Relationship Id="rId50" Type="http://schemas.openxmlformats.org/officeDocument/2006/relationships/hyperlink" Target="http://www.amediltda.com/" TargetMode="External"/><Relationship Id="rId55" Type="http://schemas.openxmlformats.org/officeDocument/2006/relationships/hyperlink" Target="https://optimushealth.com.co/servicios-domiciliario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dane.gov.co/files/investigaciones/genero/publicaciones/mujeres-y-hombre-brechas-de-genero-colombia-informe-2daEdicion.pdf" TargetMode="External"/><Relationship Id="rId29" Type="http://schemas.openxmlformats.org/officeDocument/2006/relationships/hyperlink" Target="https://fundacionexe.org.co/wp-content/uploads/2024/03/Plan-de-Desarrollo-Departamental-de-Bolivar-2020-2023-Bolivar-primero.pdf" TargetMode="External"/><Relationship Id="rId11" Type="http://schemas.openxmlformats.org/officeDocument/2006/relationships/hyperlink" Target="https://tramites1.suit.gov.co/registro-web/suit_descargar_archivo?A=58141" TargetMode="External"/><Relationship Id="rId24" Type="http://schemas.openxmlformats.org/officeDocument/2006/relationships/hyperlink" Target="https://www.defensoria.gov.co/documents/20123/4133481/17_La+tutela+y+los+derechos+a+la+salud+y+a+la+seguridad+social+2023_Salud.pdf" TargetMode="External"/><Relationship Id="rId32" Type="http://schemas.openxmlformats.org/officeDocument/2006/relationships/hyperlink" Target="https://mail.revistainfectio.org/ojs_files_infectio_demo/journals/1/articles/872/submission/copyedit/872-1-2871-2-9-20200611.pdf" TargetMode="External"/><Relationship Id="rId37" Type="http://schemas.openxmlformats.org/officeDocument/2006/relationships/hyperlink" Target="https://www.minsalud.gov.co/Normatividad_Nuevo/Resoluci%C3%B3n%20No%201809%20de%202026%20Con%20anexoT%C3%A9cnico.pdf" TargetMode="External"/><Relationship Id="rId40" Type="http://schemas.openxmlformats.org/officeDocument/2006/relationships/hyperlink" Target="https://www.fomag.gov.co/wp-content/uploads/2026/07/ANALISIS-DE-LAS-CONDICIONES-DE-SALUD-DE-LA-POBLACION-DEL-MAGISTERIO-AN%CC%83O-2025.pdf" TargetMode="External"/><Relationship Id="rId45" Type="http://schemas.openxmlformats.org/officeDocument/2006/relationships/hyperlink" Target="https://vitela.javerianacali.edu.co/bitstreams/ad556938-96a3-4096-92f6-56bc4792331e/download" TargetMode="External"/><Relationship Id="rId53" Type="http://schemas.openxmlformats.org/officeDocument/2006/relationships/hyperlink" Target="https://directorio-empresas.einforma.co/informacion-empresa/optimus-health-sas" TargetMode="External"/><Relationship Id="rId58" Type="http://schemas.openxmlformats.org/officeDocument/2006/relationships/hyperlink" Target="https://hrm.gov.co/wp-content/uploads/2024/08/PLAN-DE-DESARROLLO-2024-2027-HRM-R7.pdf"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epssura.com/afiliacion-al-regimen-subsidiado" TargetMode="External"/><Relationship Id="rId14" Type="http://schemas.openxmlformats.org/officeDocument/2006/relationships/hyperlink" Target="https://www.dane.gov.co/files/operaciones/GEIH/bol-GEIHRegiones-Isem2025.pdf" TargetMode="External"/><Relationship Id="rId22" Type="http://schemas.openxmlformats.org/officeDocument/2006/relationships/hyperlink" Target="https://www.minsalud.gov.co/Normatividad_Nuevo/Resoluci%C3%B3n%20No%202367%20de%202023.pdf" TargetMode="External"/><Relationship Id="rId27" Type="http://schemas.openxmlformats.org/officeDocument/2006/relationships/hyperlink" Target="https://optimushealth.com.co/servicios-hospitalarios/" TargetMode="External"/><Relationship Id="rId30" Type="http://schemas.openxmlformats.org/officeDocument/2006/relationships/hyperlink" Target="https://gonzalezpaezabogados.co/boletin-juridico-no52-julio-2026/" TargetMode="External"/><Relationship Id="rId35" Type="http://schemas.openxmlformats.org/officeDocument/2006/relationships/hyperlink" Target="https://www.sur.org.co/el-informe-de-la-adres-medicamentos-bajo-la-lupa/?pdf=40069" TargetMode="External"/><Relationship Id="rId43" Type="http://schemas.openxmlformats.org/officeDocument/2006/relationships/hyperlink" Target="https://www.famisanar.com.co/sites/default/files/2023-09/Manual%20de%20Cuentas%20Medicas.pdf" TargetMode="External"/><Relationship Id="rId48" Type="http://schemas.openxmlformats.org/officeDocument/2006/relationships/hyperlink" Target="https://www.minsalud.gov.co/sites/rid/Lists/BibliotecaDigital/RIDE/DE/OT/lineamientos-generacion-validacion-rips-factura-electronica-fev-doc-electronicos.pdf" TargetMode="External"/><Relationship Id="rId56" Type="http://schemas.openxmlformats.org/officeDocument/2006/relationships/hyperlink" Target="https://www.semana.com/politica/articulo/reforma-a-la-salud-senadoras-de-la-comision-septima-del-senado-radican-ponencia-alternativa-este-miercoles-empieza-la-discusion/202539/" TargetMode="External"/><Relationship Id="rId8" Type="http://schemas.openxmlformats.org/officeDocument/2006/relationships/hyperlink" Target="https://www.minsalud.gov.co/sites/rid/Lists/BibliotecaDigital/RIDE/INEC/INTOR/contexto-migratorio-sucre-2024.pdf" TargetMode="External"/><Relationship Id="rId51" Type="http://schemas.openxmlformats.org/officeDocument/2006/relationships/hyperlink" Target="https://servimedips.com.co/" TargetMode="External"/><Relationship Id="rId3" Type="http://schemas.openxmlformats.org/officeDocument/2006/relationships/styles" Target="styles.xml"/><Relationship Id="rId12" Type="http://schemas.openxmlformats.org/officeDocument/2006/relationships/hyperlink" Target="https://docs.supersalud.gov.co/PortalWeb/SupervisionInstitucional/EstadisticasEntidadesTerritoriales/SUCRE.pdf" TargetMode="External"/><Relationship Id="rId17" Type="http://schemas.openxmlformats.org/officeDocument/2006/relationships/hyperlink" Target="https://www.dane.gov.co/files/investigaciones/planes-departamentos-ciudades/210115-InfoDane-Sincelejo-Sucre.pdf" TargetMode="External"/><Relationship Id="rId25" Type="http://schemas.openxmlformats.org/officeDocument/2006/relationships/hyperlink" Target="https://www.siicsalud.com/des/expertoimpreso.php/175253" TargetMode="External"/><Relationship Id="rId33" Type="http://schemas.openxmlformats.org/officeDocument/2006/relationships/hyperlink" Target="https://coosalud.com/wp-content/uploads/2023/08/INFORME-DE-GESTION-II-TRI-2023.pdf" TargetMode="External"/><Relationship Id="rId38" Type="http://schemas.openxmlformats.org/officeDocument/2006/relationships/hyperlink" Target="https://xn--testimoniodenario-uxb.com/se-agudiza-estado-critico-de-la-salud-en-colombia-segun-informe-de-la-contraloria/" TargetMode="External"/><Relationship Id="rId46" Type="http://schemas.openxmlformats.org/officeDocument/2006/relationships/hyperlink" Target="https://edileyer.com/lecturas_complementarias/" TargetMode="External"/><Relationship Id="rId59" Type="http://schemas.openxmlformats.org/officeDocument/2006/relationships/hyperlink" Target="https://subredsuroccidente.gov.co/planeacion/2025/plan_accion/Informe_de_Gestion_SISSSO_VIG_2024_.pdf" TargetMode="External"/><Relationship Id="rId20" Type="http://schemas.openxmlformats.org/officeDocument/2006/relationships/hyperlink" Target="https://emssanareps.co/afiliados/subsidiado" TargetMode="External"/><Relationship Id="rId41" Type="http://schemas.openxmlformats.org/officeDocument/2006/relationships/hyperlink" Target="https://www.fomag.gov.co/wp-content/uploads/2025/04/ANEXO-8.-MODELO-CONTRATACION-SERVICIOS-DE-SALUD-FOMAG.pdf" TargetMode="External"/><Relationship Id="rId54" Type="http://schemas.openxmlformats.org/officeDocument/2006/relationships/hyperlink" Target="https://www.datacreditoempresas.com.co/directorio/911-asistencia-medica-domiciliaria-ips-sas.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dane.gov.co/files/investigaciones/notas-estadisticas/oct-2022-nota-estadistica-personas-mayores-en-colombia.pdf" TargetMode="External"/><Relationship Id="rId23" Type="http://schemas.openxmlformats.org/officeDocument/2006/relationships/hyperlink" Target="https://es.scribd.com/document/434181637/Analisis-Situacional-de-Los-Pueblos-Indigenas-en-Salud-2019" TargetMode="External"/><Relationship Id="rId28" Type="http://schemas.openxmlformats.org/officeDocument/2006/relationships/hyperlink" Target="https://www.ipsserviciosmedicosintegrales.com/canales-atencion.php" TargetMode="External"/><Relationship Id="rId36" Type="http://schemas.openxmlformats.org/officeDocument/2006/relationships/hyperlink" Target="https://www.minsalud.gov.co/paginas/consulta-afiliados.aspx" TargetMode="External"/><Relationship Id="rId49" Type="http://schemas.openxmlformats.org/officeDocument/2006/relationships/hyperlink" Target="https://cuidadoseguro.com.co/csc3/" TargetMode="External"/><Relationship Id="rId57" Type="http://schemas.openxmlformats.org/officeDocument/2006/relationships/hyperlink" Target="https://www.corteconstitucional.gov.co/relatoria/autos/2025/a1175-25.htm" TargetMode="External"/><Relationship Id="rId10" Type="http://schemas.openxmlformats.org/officeDocument/2006/relationships/hyperlink" Target="https://colaboracion.dnp.gov.co/CDT/Inversiones%20y%20finanzas%20pblicas/Documentos%20GFT/Distribuciones%20SGP/DD%20SGP-76-2023.pdf" TargetMode="External"/><Relationship Id="rId31" Type="http://schemas.openxmlformats.org/officeDocument/2006/relationships/hyperlink" Target="https://www.alcaldiadesincelejo.gov.co/Transparencia/Normatividad/ACUERDO%20No%20346%20DE%202024.pdf" TargetMode="External"/><Relationship Id="rId44" Type="http://schemas.openxmlformats.org/officeDocument/2006/relationships/hyperlink" Target="https://consultorsalud.com/rol-redes-integrales-e-integradas-territoriales/" TargetMode="External"/><Relationship Id="rId52" Type="http://schemas.openxmlformats.org/officeDocument/2006/relationships/hyperlink" Target="https://www.emis.com/php/company-profile/CO/Optimus_Health_Sas_es_13413541.html"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insalud.gov.co/sites/rid/Lists/BibliotecaDigital/RIDE/VS/ED/PSP/asis-colombia-2024.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95F662-1D1A-4FDC-8DEF-4AE7EAD9E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14</Pages>
  <Words>6405</Words>
  <Characters>35233</Characters>
  <Application>Microsoft Office Word</Application>
  <DocSecurity>0</DocSecurity>
  <Lines>293</Lines>
  <Paragraphs>83</Paragraphs>
  <ScaleCrop>false</ScaleCrop>
  <Company/>
  <LinksUpToDate>false</LinksUpToDate>
  <CharactersWithSpaces>41555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Nicolás Fernando Bedoya Mejía</dc:creator>
  <cp:lastModifiedBy>Nicolás Fernando Bedoya Mejía</cp:lastModifiedBy>
  <cp:revision>25</cp:revision>
  <dcterms:created xsi:type="dcterms:W3CDTF">2026-09-29T15:36:00Z</dcterms:created>
  <dcterms:modified xsi:type="dcterms:W3CDTF">2026-09-29T16:31:00Z</dcterms:modified>
</cp:coreProperties>
</file>