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FD86" w14:textId="77777777" w:rsidR="008B3564" w:rsidRDefault="00DA0E94">
      <w:pPr>
        <w:spacing w:after="320" w:line="360" w:lineRule="auto"/>
        <w:jc w:val="center"/>
        <w:rPr>
          <w:rFonts w:hint="eastAsia"/>
        </w:rPr>
      </w:pPr>
      <w:r>
        <w:rPr>
          <w:rFonts w:ascii="黑体" w:eastAsia="黑体" w:hAnsi="黑体" w:cs="黑体"/>
          <w:b/>
          <w:bCs/>
          <w:sz w:val="36"/>
          <w:szCs w:val="36"/>
        </w:rPr>
        <w:t>外文资料翻译</w:t>
      </w:r>
    </w:p>
    <w:p w14:paraId="1F1BD14D" w14:textId="77777777" w:rsidR="008B3564" w:rsidRDefault="00DA0E94">
      <w:pPr>
        <w:spacing w:after="480" w:line="360" w:lineRule="auto"/>
        <w:jc w:val="center"/>
        <w:rPr>
          <w:rFonts w:hint="eastAsia"/>
        </w:rPr>
      </w:pPr>
      <w:r>
        <w:rPr>
          <w:rFonts w:ascii="黑体" w:eastAsia="黑体" w:hAnsi="黑体" w:cs="黑体"/>
          <w:b/>
          <w:bCs/>
          <w:sz w:val="32"/>
          <w:szCs w:val="32"/>
        </w:rPr>
        <w:t>教育领域知识图谱构建与应用的系统性文献综述</w:t>
      </w:r>
    </w:p>
    <w:p w14:paraId="093945BA" w14:textId="77777777" w:rsidR="008B3564" w:rsidRDefault="00DA0E94">
      <w:pPr>
        <w:pStyle w:val="1"/>
        <w:spacing w:before="200" w:after="160" w:line="360" w:lineRule="auto"/>
        <w:rPr>
          <w:rFonts w:hint="eastAsia"/>
        </w:rPr>
      </w:pPr>
      <w:r>
        <w:rPr>
          <w:rFonts w:ascii="黑体" w:eastAsia="黑体" w:hAnsi="黑体" w:cs="黑体"/>
          <w:b/>
          <w:bCs/>
          <w:sz w:val="30"/>
          <w:szCs w:val="30"/>
        </w:rPr>
        <w:t>学生信息</w:t>
      </w:r>
    </w:p>
    <w:p w14:paraId="7534A05F" w14:textId="6A303987" w:rsidR="008B3564" w:rsidRDefault="00DA0E94">
      <w:pPr>
        <w:spacing w:after="120" w:line="360" w:lineRule="auto"/>
        <w:jc w:val="both"/>
        <w:rPr>
          <w:rFonts w:hint="eastAsia"/>
        </w:rPr>
      </w:pPr>
      <w:r>
        <w:t>姓名：</w:t>
      </w:r>
      <w:r w:rsidR="003F34E3">
        <w:rPr>
          <w:rFonts w:hint="eastAsia"/>
        </w:rPr>
        <w:t>黄智嘉</w:t>
      </w:r>
    </w:p>
    <w:p w14:paraId="7EF9585D" w14:textId="17DF6B24" w:rsidR="008B3564" w:rsidRDefault="00DA0E94">
      <w:pPr>
        <w:spacing w:after="120" w:line="360" w:lineRule="auto"/>
        <w:jc w:val="both"/>
        <w:rPr>
          <w:rFonts w:hint="eastAsia"/>
        </w:rPr>
      </w:pPr>
      <w:r>
        <w:t>学号：</w:t>
      </w:r>
      <w:r w:rsidR="003F34E3">
        <w:rPr>
          <w:rFonts w:hint="eastAsia"/>
        </w:rPr>
        <w:t>2211410128</w:t>
      </w:r>
    </w:p>
    <w:p w14:paraId="3EBFF1BB" w14:textId="400DFCE5" w:rsidR="008B3564" w:rsidRDefault="00DA0E94">
      <w:pPr>
        <w:spacing w:after="120" w:line="360" w:lineRule="auto"/>
        <w:jc w:val="both"/>
        <w:rPr>
          <w:rFonts w:hint="eastAsia"/>
        </w:rPr>
      </w:pPr>
      <w:r>
        <w:t>专业：</w:t>
      </w:r>
      <w:r w:rsidR="003F34E3">
        <w:rPr>
          <w:rFonts w:hint="eastAsia"/>
        </w:rPr>
        <w:t>计算机科学与技术</w:t>
      </w:r>
    </w:p>
    <w:p w14:paraId="64A955D8" w14:textId="23430078" w:rsidR="008B3564" w:rsidRDefault="00DA0E94">
      <w:pPr>
        <w:spacing w:after="120" w:line="360" w:lineRule="auto"/>
        <w:jc w:val="both"/>
        <w:rPr>
          <w:rFonts w:hint="eastAsia"/>
        </w:rPr>
      </w:pPr>
      <w:r>
        <w:t>班级：</w:t>
      </w:r>
      <w:r w:rsidR="003F34E3">
        <w:rPr>
          <w:rFonts w:hint="eastAsia"/>
        </w:rPr>
        <w:t>2201班</w:t>
      </w:r>
    </w:p>
    <w:p w14:paraId="4F4F212D" w14:textId="4BE06908" w:rsidR="008B3564" w:rsidRDefault="00DA0E94">
      <w:pPr>
        <w:spacing w:after="120" w:line="360" w:lineRule="auto"/>
        <w:jc w:val="both"/>
        <w:rPr>
          <w:rFonts w:hint="eastAsia"/>
        </w:rPr>
      </w:pPr>
      <w:r>
        <w:t>指导教师：</w:t>
      </w:r>
      <w:r w:rsidR="003F34E3">
        <w:rPr>
          <w:rFonts w:hint="eastAsia"/>
        </w:rPr>
        <w:t>赵明</w:t>
      </w:r>
    </w:p>
    <w:p w14:paraId="29B88FCB" w14:textId="08ED2192" w:rsidR="008B3564" w:rsidRDefault="00DA0E94">
      <w:pPr>
        <w:spacing w:after="120" w:line="360" w:lineRule="auto"/>
        <w:jc w:val="both"/>
        <w:rPr>
          <w:rFonts w:hint="eastAsia"/>
        </w:rPr>
      </w:pPr>
      <w:r>
        <w:t>完成日期：2026年</w:t>
      </w:r>
      <w:r w:rsidR="003F34E3">
        <w:rPr>
          <w:rFonts w:hint="eastAsia"/>
        </w:rPr>
        <w:t>4</w:t>
      </w:r>
      <w:r>
        <w:t>月</w:t>
      </w:r>
      <w:r w:rsidR="003F34E3">
        <w:rPr>
          <w:rFonts w:hint="eastAsia"/>
        </w:rPr>
        <w:t>27</w:t>
      </w:r>
      <w:r>
        <w:t>日</w:t>
      </w:r>
    </w:p>
    <w:p w14:paraId="28712D6C" w14:textId="77777777" w:rsidR="008B3564" w:rsidRDefault="00DA0E94">
      <w:pPr>
        <w:pStyle w:val="1"/>
        <w:spacing w:before="200" w:after="160" w:line="360" w:lineRule="auto"/>
        <w:rPr>
          <w:rFonts w:hint="eastAsia"/>
        </w:rPr>
      </w:pPr>
      <w:r>
        <w:rPr>
          <w:rFonts w:ascii="黑体" w:eastAsia="黑体" w:hAnsi="黑体" w:cs="黑体"/>
          <w:b/>
          <w:bCs/>
          <w:sz w:val="30"/>
          <w:szCs w:val="30"/>
        </w:rPr>
        <w:t>一、原文信息</w:t>
      </w:r>
    </w:p>
    <w:p w14:paraId="18E85770" w14:textId="77777777" w:rsidR="008B3564" w:rsidRDefault="00DA0E94">
      <w:pPr>
        <w:spacing w:after="160" w:line="420" w:lineRule="auto"/>
        <w:ind w:firstLine="480"/>
        <w:jc w:val="both"/>
        <w:rPr>
          <w:rFonts w:hint="eastAsia"/>
        </w:rPr>
      </w:pPr>
      <w:r>
        <w:t>原文题目：A systematic literature review of knowledge graph construction and application in education</w:t>
      </w:r>
    </w:p>
    <w:p w14:paraId="246F16F1" w14:textId="77777777" w:rsidR="008B3564" w:rsidRDefault="00DA0E94">
      <w:pPr>
        <w:spacing w:after="160" w:line="420" w:lineRule="auto"/>
        <w:ind w:firstLine="480"/>
        <w:jc w:val="both"/>
        <w:rPr>
          <w:rFonts w:hint="eastAsia"/>
        </w:rPr>
      </w:pPr>
      <w:r>
        <w:t>作者：Bilal Abu-Salih, Salihah Alotaibi</w:t>
      </w:r>
    </w:p>
    <w:p w14:paraId="54CFD851" w14:textId="77777777" w:rsidR="008B3564" w:rsidRDefault="00DA0E94">
      <w:pPr>
        <w:spacing w:after="160" w:line="420" w:lineRule="auto"/>
        <w:ind w:firstLine="480"/>
        <w:jc w:val="both"/>
        <w:rPr>
          <w:rFonts w:hint="eastAsia"/>
        </w:rPr>
      </w:pPr>
      <w:r>
        <w:t>刊物名称：Heliyon</w:t>
      </w:r>
    </w:p>
    <w:p w14:paraId="44AA812E" w14:textId="77777777" w:rsidR="008B3564" w:rsidRDefault="00DA0E94">
      <w:pPr>
        <w:spacing w:after="160" w:line="420" w:lineRule="auto"/>
        <w:ind w:firstLine="480"/>
        <w:jc w:val="both"/>
        <w:rPr>
          <w:rFonts w:hint="eastAsia"/>
        </w:rPr>
      </w:pPr>
      <w:r>
        <w:t>发表时间：2024年</w:t>
      </w:r>
    </w:p>
    <w:p w14:paraId="5C2A8ED0" w14:textId="77777777" w:rsidR="008B3564" w:rsidRDefault="00DA0E94">
      <w:pPr>
        <w:spacing w:after="160" w:line="420" w:lineRule="auto"/>
        <w:ind w:firstLine="480"/>
        <w:jc w:val="both"/>
        <w:rPr>
          <w:rFonts w:hint="eastAsia"/>
        </w:rPr>
      </w:pPr>
      <w:r>
        <w:t>卷（期）：10(3)</w:t>
      </w:r>
    </w:p>
    <w:p w14:paraId="67B597E1" w14:textId="77777777" w:rsidR="008B3564" w:rsidRDefault="00DA0E94">
      <w:pPr>
        <w:spacing w:after="160" w:line="420" w:lineRule="auto"/>
        <w:ind w:firstLine="480"/>
        <w:jc w:val="both"/>
        <w:rPr>
          <w:rFonts w:hint="eastAsia"/>
        </w:rPr>
      </w:pPr>
      <w:r>
        <w:t>文章编号：e25383</w:t>
      </w:r>
    </w:p>
    <w:p w14:paraId="3C90762B" w14:textId="77777777" w:rsidR="008B3564" w:rsidRDefault="00DA0E94">
      <w:pPr>
        <w:spacing w:after="160" w:line="420" w:lineRule="auto"/>
        <w:ind w:firstLine="480"/>
        <w:jc w:val="both"/>
        <w:rPr>
          <w:rFonts w:hint="eastAsia"/>
        </w:rPr>
      </w:pPr>
      <w:r>
        <w:t>DOI：</w:t>
      </w:r>
      <w:proofErr w:type="gramStart"/>
      <w:r>
        <w:t>10.1016/j.heliyon.2024.e</w:t>
      </w:r>
      <w:proofErr w:type="gramEnd"/>
      <w:r>
        <w:t>25383</w:t>
      </w:r>
    </w:p>
    <w:p w14:paraId="0D122AE3" w14:textId="77777777" w:rsidR="008B3564" w:rsidRDefault="00DA0E94">
      <w:pPr>
        <w:spacing w:after="160" w:line="420" w:lineRule="auto"/>
        <w:ind w:firstLine="480"/>
        <w:jc w:val="both"/>
        <w:rPr>
          <w:rFonts w:hint="eastAsia"/>
        </w:rPr>
      </w:pPr>
      <w:r>
        <w:t>原文来源：Elsevier ScienceDirect 数据库</w:t>
      </w:r>
    </w:p>
    <w:p w14:paraId="0D040316" w14:textId="77777777" w:rsidR="008B3564" w:rsidRDefault="00DA0E94">
      <w:pPr>
        <w:spacing w:after="160" w:line="420" w:lineRule="auto"/>
        <w:ind w:firstLine="480"/>
        <w:jc w:val="both"/>
        <w:rPr>
          <w:rFonts w:hint="eastAsia"/>
        </w:rPr>
      </w:pPr>
      <w:r>
        <w:t>原文链接：https://doi.org/10.1016/j.heliyon.2024.e25383</w:t>
      </w:r>
    </w:p>
    <w:p w14:paraId="6DF71471" w14:textId="77777777" w:rsidR="008B3564" w:rsidRDefault="00DA0E94">
      <w:pPr>
        <w:pStyle w:val="1"/>
        <w:spacing w:before="200" w:after="160" w:line="360" w:lineRule="auto"/>
        <w:rPr>
          <w:rFonts w:hint="eastAsia"/>
        </w:rPr>
      </w:pPr>
      <w:r>
        <w:rPr>
          <w:rFonts w:ascii="黑体" w:eastAsia="黑体" w:hAnsi="黑体" w:cs="黑体"/>
          <w:b/>
          <w:bCs/>
          <w:sz w:val="30"/>
          <w:szCs w:val="30"/>
        </w:rPr>
        <w:lastRenderedPageBreak/>
        <w:t>二、选题相关性说明</w:t>
      </w:r>
    </w:p>
    <w:p w14:paraId="3AD82EC2" w14:textId="77777777" w:rsidR="008B3564" w:rsidRDefault="00DA0E94">
      <w:pPr>
        <w:spacing w:after="160" w:line="420" w:lineRule="auto"/>
        <w:ind w:firstLine="480"/>
        <w:jc w:val="both"/>
        <w:rPr>
          <w:rFonts w:hint="eastAsia"/>
        </w:rPr>
      </w:pPr>
      <w:r>
        <w:t>本外文文献围绕教育领域知识图谱的构建方法及其应用展开综述，重点涉及个性化学习、自适应学习、课程设计、语义检索、问答与推荐等内容。上述内容与本人毕业设计题目“个性化学习导航系统”密切相关，能够为课题中的知识组织、学习路径设计、资源推荐和智能服务提供理论参考，因此选取该文献作为外文翻译材料。</w:t>
      </w:r>
    </w:p>
    <w:p w14:paraId="12869E1F" w14:textId="77777777" w:rsidR="008B3564" w:rsidRDefault="00DA0E94">
      <w:pPr>
        <w:pStyle w:val="1"/>
        <w:spacing w:before="200" w:after="160" w:line="360" w:lineRule="auto"/>
        <w:rPr>
          <w:rFonts w:hint="eastAsia"/>
        </w:rPr>
      </w:pPr>
      <w:r>
        <w:rPr>
          <w:rFonts w:ascii="黑体" w:eastAsia="黑体" w:hAnsi="黑体" w:cs="黑体"/>
          <w:b/>
          <w:bCs/>
          <w:sz w:val="30"/>
          <w:szCs w:val="30"/>
        </w:rPr>
        <w:t>三、译者说明</w:t>
      </w:r>
    </w:p>
    <w:p w14:paraId="516CD657" w14:textId="77777777" w:rsidR="008B3564" w:rsidRDefault="00DA0E94">
      <w:pPr>
        <w:spacing w:after="160" w:line="420" w:lineRule="auto"/>
        <w:ind w:firstLine="480"/>
        <w:jc w:val="both"/>
        <w:rPr>
          <w:rFonts w:hint="eastAsia"/>
        </w:rPr>
      </w:pPr>
      <w:r>
        <w:t>本文为本人在阅读英文原文基础上完成的中文翻译。翻译过程中尽量保持原文的核心观点和主要内容不变，同时结合中文表达习惯进行了适当调整，使译文更加通顺。对于文中的部分专业名词，如 Knowledge Graph、Personalised Learning、Semantic Search 等，全文统一分别译为“知识图谱”“个性化学习”“语义检索”，以保证表述前后一致。</w:t>
      </w:r>
    </w:p>
    <w:p w14:paraId="5767A198" w14:textId="77777777" w:rsidR="008B3564" w:rsidRDefault="00DA0E94">
      <w:pPr>
        <w:pStyle w:val="1"/>
        <w:spacing w:before="200" w:after="160" w:line="360" w:lineRule="auto"/>
        <w:rPr>
          <w:rFonts w:hint="eastAsia"/>
        </w:rPr>
      </w:pPr>
      <w:r>
        <w:rPr>
          <w:rFonts w:ascii="黑体" w:eastAsia="黑体" w:hAnsi="黑体" w:cs="黑体"/>
          <w:b/>
          <w:bCs/>
          <w:sz w:val="30"/>
          <w:szCs w:val="30"/>
        </w:rPr>
        <w:t>四、节选翻译范围说明</w:t>
      </w:r>
    </w:p>
    <w:p w14:paraId="3DAF23D4" w14:textId="77777777" w:rsidR="008B3564" w:rsidRDefault="00DA0E94">
      <w:pPr>
        <w:spacing w:after="160" w:line="420" w:lineRule="auto"/>
        <w:ind w:firstLine="480"/>
        <w:jc w:val="both"/>
        <w:rPr>
          <w:rFonts w:hint="eastAsia"/>
        </w:rPr>
      </w:pPr>
      <w:r>
        <w:t>由于原文为完整学术论文，篇幅较长，全文共23页。结合毕业设计题目和外文翻译任务要求，本文选取了与课题关联度最高的部分进行翻译，具体包括：摘要、引言、研究方法、知识图谱与教育的相关性、自适应与个性化学习、课程设计与规划、语义检索、问答与推荐系统、现状总结、未来方向与研究机会以及结论。所选内容能够较完整地反映原文的主要观点，也与毕业设计研究内容具有较强对应关系。</w:t>
      </w:r>
    </w:p>
    <w:p w14:paraId="02FE4D2B" w14:textId="77777777" w:rsidR="008B3564" w:rsidRDefault="00DA0E94">
      <w:pPr>
        <w:pStyle w:val="1"/>
        <w:spacing w:before="200" w:after="160" w:line="360" w:lineRule="auto"/>
        <w:rPr>
          <w:rFonts w:hint="eastAsia"/>
        </w:rPr>
      </w:pPr>
      <w:r>
        <w:rPr>
          <w:rFonts w:ascii="黑体" w:eastAsia="黑体" w:hAnsi="黑体" w:cs="黑体"/>
          <w:b/>
          <w:bCs/>
          <w:sz w:val="30"/>
          <w:szCs w:val="30"/>
        </w:rPr>
        <w:t>五、译文正文</w:t>
      </w:r>
    </w:p>
    <w:p w14:paraId="70E3133B" w14:textId="77777777" w:rsidR="008B3564" w:rsidRDefault="00DA0E94">
      <w:pPr>
        <w:pStyle w:val="2"/>
        <w:spacing w:before="200" w:after="160" w:line="360" w:lineRule="auto"/>
        <w:rPr>
          <w:rFonts w:hint="eastAsia"/>
        </w:rPr>
      </w:pPr>
      <w:r>
        <w:rPr>
          <w:rFonts w:ascii="黑体" w:eastAsia="黑体" w:hAnsi="黑体" w:cs="黑体"/>
          <w:b/>
          <w:bCs/>
          <w:sz w:val="28"/>
          <w:szCs w:val="28"/>
        </w:rPr>
        <w:t>题目</w:t>
      </w:r>
    </w:p>
    <w:p w14:paraId="5265A982" w14:textId="77777777" w:rsidR="008B3564" w:rsidRDefault="00DA0E94">
      <w:pPr>
        <w:spacing w:after="160" w:line="420" w:lineRule="auto"/>
        <w:ind w:firstLine="480"/>
        <w:jc w:val="both"/>
        <w:rPr>
          <w:rFonts w:hint="eastAsia"/>
        </w:rPr>
      </w:pPr>
      <w:r>
        <w:t>教育领域知识图谱构建与应用的系统性文献综述</w:t>
      </w:r>
    </w:p>
    <w:p w14:paraId="2124C05D" w14:textId="77777777" w:rsidR="008B3564" w:rsidRDefault="00DA0E94">
      <w:pPr>
        <w:pStyle w:val="2"/>
        <w:spacing w:before="200" w:after="160" w:line="360" w:lineRule="auto"/>
        <w:rPr>
          <w:rFonts w:hint="eastAsia"/>
        </w:rPr>
      </w:pPr>
      <w:r>
        <w:rPr>
          <w:rFonts w:ascii="黑体" w:eastAsia="黑体" w:hAnsi="黑体" w:cs="黑体"/>
          <w:b/>
          <w:bCs/>
          <w:sz w:val="28"/>
          <w:szCs w:val="28"/>
        </w:rPr>
        <w:t>摘要</w:t>
      </w:r>
    </w:p>
    <w:p w14:paraId="19F464FD" w14:textId="77777777" w:rsidR="008B3564" w:rsidRDefault="00DA0E94">
      <w:pPr>
        <w:spacing w:after="160" w:line="420" w:lineRule="auto"/>
        <w:ind w:firstLine="480"/>
        <w:jc w:val="both"/>
        <w:rPr>
          <w:rFonts w:hint="eastAsia"/>
        </w:rPr>
      </w:pPr>
      <w:r>
        <w:t>怎么教才更有效？怎么学才能更个性化？教师又该如何获得更好的支持？这些问</w:t>
      </w:r>
      <w:r>
        <w:lastRenderedPageBreak/>
        <w:t>题在教育研究中始终占据核心位置。近几年，知识图谱在教育领域的应用明显增多了。简单来说，它是一种把知识结构化表示的技术，在个性化学习、课程设计、概念映射和教育内容推荐等方面都展现出了不错的前景。本文采用系统性文献综述的方法，对教育领域中知识图谱的构建方法及其在五个主要场景中的应用做了梳理。我们重点关注了知识图谱的功能定位、知识抽取技术、知识库特征、资源需求、评价标准和现存局限。相比已有综述，本文覆盖面更广，分析也更深入，同时指出了研究中仍然存在的空白和不足，希望能为后续工作提供一些参考。</w:t>
      </w:r>
    </w:p>
    <w:p w14:paraId="4FD2F009" w14:textId="77777777" w:rsidR="008B3564" w:rsidRDefault="00DA0E94">
      <w:pPr>
        <w:pStyle w:val="2"/>
        <w:spacing w:before="200" w:after="160" w:line="360" w:lineRule="auto"/>
        <w:rPr>
          <w:rFonts w:hint="eastAsia"/>
        </w:rPr>
      </w:pPr>
      <w:r>
        <w:rPr>
          <w:rFonts w:ascii="黑体" w:eastAsia="黑体" w:hAnsi="黑体" w:cs="黑体"/>
          <w:b/>
          <w:bCs/>
          <w:sz w:val="28"/>
          <w:szCs w:val="28"/>
        </w:rPr>
        <w:t>1 引言</w:t>
      </w:r>
    </w:p>
    <w:p w14:paraId="6A4F76F6" w14:textId="77777777" w:rsidR="008B3564" w:rsidRDefault="00DA0E94">
      <w:pPr>
        <w:spacing w:after="160" w:line="420" w:lineRule="auto"/>
        <w:ind w:firstLine="480"/>
        <w:jc w:val="both"/>
        <w:rPr>
          <w:rFonts w:hint="eastAsia"/>
        </w:rPr>
      </w:pPr>
      <w:r>
        <w:t>教育要解决的问题其实一直没变过：怎么改进教学、怎么支持教师、怎么让学生学得更好。这几年，知识图谱在教育技术领域慢慢热了起来。它是一种结构化的知识表示形式，在个性化学习、课程设计、概念映射和教育内容推荐这些方向上，都显示出了不小的应用潜力。</w:t>
      </w:r>
    </w:p>
    <w:p w14:paraId="0593B894" w14:textId="77777777" w:rsidR="008B3564" w:rsidRDefault="00DA0E94">
      <w:pPr>
        <w:spacing w:after="160" w:line="420" w:lineRule="auto"/>
        <w:ind w:firstLine="480"/>
        <w:jc w:val="both"/>
        <w:rPr>
          <w:rFonts w:hint="eastAsia"/>
        </w:rPr>
      </w:pPr>
      <w:r>
        <w:t>说起来，知识图谱并不是什么新东西。医疗、金融、交通、商业这些领域早就用上了。它之所以能在教育领域找到新的落脚点，主要还是因为在知识组织、关系表达和智能服务方面确实有优势。放到教育场景里看，知识图谱本质上就是一个由信息、概念及其相互关系构成的网络，能把教育内容和教学活动中的各类要素系统地刻画出来。</w:t>
      </w:r>
    </w:p>
    <w:p w14:paraId="0F1CA6E3" w14:textId="77777777" w:rsidR="008B3564" w:rsidRDefault="00DA0E94">
      <w:pPr>
        <w:spacing w:after="160" w:line="420" w:lineRule="auto"/>
        <w:ind w:firstLine="480"/>
        <w:jc w:val="both"/>
        <w:rPr>
          <w:rFonts w:hint="eastAsia"/>
        </w:rPr>
      </w:pPr>
      <w:r>
        <w:t>为什么要做这项研究？原因很简单：近年来相关成果增长太快了。越来越多的证据显示，知识图谱有可能改变传统的教育模式，在资源组织、学习支持和教学决策等方面发挥更大作用。基于这个判断，本文通过系统性文献综述，分析了知识图谱在教育领域的主要应用和发展态势，对现有研究中的实践、实验和应用做了一次系统梳理，目的是总结已有成果，同时把存在的问题也指出来。</w:t>
      </w:r>
    </w:p>
    <w:p w14:paraId="593B10E1" w14:textId="77777777" w:rsidR="008B3564" w:rsidRDefault="00DA0E94">
      <w:pPr>
        <w:spacing w:after="160" w:line="420" w:lineRule="auto"/>
        <w:ind w:firstLine="480"/>
        <w:jc w:val="both"/>
        <w:rPr>
          <w:rFonts w:hint="eastAsia"/>
        </w:rPr>
      </w:pPr>
      <w:r>
        <w:t>具体来说，本文聚焦五个方向：自适应与个性化学习、课程设计与规划、概念映射与可视化、语义检索与问答，以及其他相关应用。这五个方向基本涵盖了教育知识</w:t>
      </w:r>
      <w:r>
        <w:lastRenderedPageBreak/>
        <w:t>图谱应用研究的主要内容。仔细看的话，这些场景中的知识图谱有一个共同点，就是都在试图让教育服务变得更个性化、更依赖数据、更能动态调整。围绕这些方向，本文归纳了不同知识图谱的功能定位、知识抽取与构建方法、知识库类型、所需资源、评价方式以及存在的不足。</w:t>
      </w:r>
    </w:p>
    <w:p w14:paraId="4A036D57" w14:textId="77777777" w:rsidR="008B3564" w:rsidRDefault="00DA0E94">
      <w:pPr>
        <w:spacing w:after="160" w:line="420" w:lineRule="auto"/>
        <w:ind w:firstLine="480"/>
        <w:jc w:val="both"/>
        <w:rPr>
          <w:rFonts w:hint="eastAsia"/>
        </w:rPr>
      </w:pPr>
      <w:r>
        <w:t>和已有综述相比，本文讨论的范围更大，也更聚焦于教育场景本身。有些已有研究讨论范围偏窄，有些则更侧重跨领域应用。本文试图对教育领域中知识图谱的构建与应用做一次更系统的总结。要说贡献的话，主要是较全面地梳理了教育领域知识图谱的构建与应用，对代表性方法做了较深入的分析并归纳了各自的优缺点，同时也指出了现有研究中的薄弱环节，给后续研究提供了一些可能的方向。</w:t>
      </w:r>
    </w:p>
    <w:p w14:paraId="00868823" w14:textId="77777777" w:rsidR="008B3564" w:rsidRDefault="00DA0E94">
      <w:pPr>
        <w:spacing w:after="160" w:line="420" w:lineRule="auto"/>
        <w:ind w:firstLine="480"/>
        <w:jc w:val="both"/>
        <w:rPr>
          <w:rFonts w:hint="eastAsia"/>
        </w:rPr>
      </w:pPr>
      <w:r>
        <w:t>全文的结构是这样的：第二部分介绍研究方法，第三部分讨论知识图谱在教育中的意义，第四部分梳理不同应用场景下的构建方法，第五部分总结现有问题，第六部分讨论未来方向，第七部分给出结论。</w:t>
      </w:r>
    </w:p>
    <w:p w14:paraId="44215EE9" w14:textId="77777777" w:rsidR="008B3564" w:rsidRDefault="00DA0E94">
      <w:pPr>
        <w:pStyle w:val="2"/>
        <w:spacing w:before="200" w:after="160" w:line="360" w:lineRule="auto"/>
        <w:rPr>
          <w:rFonts w:hint="eastAsia"/>
        </w:rPr>
      </w:pPr>
      <w:r>
        <w:rPr>
          <w:rFonts w:ascii="黑体" w:eastAsia="黑体" w:hAnsi="黑体" w:cs="黑体"/>
          <w:b/>
          <w:bCs/>
          <w:sz w:val="28"/>
          <w:szCs w:val="28"/>
        </w:rPr>
        <w:t>2 研究方法</w:t>
      </w:r>
    </w:p>
    <w:p w14:paraId="4F42F353" w14:textId="77777777" w:rsidR="008B3564" w:rsidRDefault="00DA0E94">
      <w:pPr>
        <w:spacing w:after="160" w:line="420" w:lineRule="auto"/>
        <w:ind w:firstLine="480"/>
        <w:jc w:val="both"/>
        <w:rPr>
          <w:rFonts w:hint="eastAsia"/>
        </w:rPr>
      </w:pPr>
      <w:r>
        <w:t>方法上，本文采用的是系统性文献综述。研究目标是尽可能全面地覆盖围绕教育应用开展的知识图谱构建研究。为保证文献的现实相关性，主要选取了近五年（2019—2023年）发表的论文。整个综述过程遵循PRISMA框架。</w:t>
      </w:r>
    </w:p>
    <w:p w14:paraId="567DA4EC" w14:textId="77777777" w:rsidR="008B3564" w:rsidRDefault="00DA0E94">
      <w:pPr>
        <w:spacing w:after="160" w:line="420" w:lineRule="auto"/>
        <w:ind w:firstLine="480"/>
        <w:jc w:val="both"/>
        <w:rPr>
          <w:rFonts w:hint="eastAsia"/>
        </w:rPr>
      </w:pPr>
      <w:r>
        <w:t>文献检索阶段，作者从Elsevier、ACM Digital Library、MDPI、IEEE Xplore和Google Scholar等多个数据库收集资料。检索对象限定为英文文献，关键词包括"知识图谱构建""教育""在线学习""个性化学习""自适应学习""概念映射""课程设计""语义检索""问答"等。</w:t>
      </w:r>
    </w:p>
    <w:p w14:paraId="2D2CCF8C" w14:textId="77777777" w:rsidR="008B3564" w:rsidRDefault="00DA0E94">
      <w:pPr>
        <w:spacing w:after="160" w:line="420" w:lineRule="auto"/>
        <w:ind w:firstLine="480"/>
        <w:jc w:val="both"/>
        <w:rPr>
          <w:rFonts w:hint="eastAsia"/>
        </w:rPr>
      </w:pPr>
      <w:r>
        <w:t>按照PRISMA筛选流程，研究者先通过关键词检索获得约490篇文献，再通过追溯参考文献和引文补充了75篇，初步形成565条记录。随后对题目和摘要进行筛查，去除重复或明显无关的文献，排除了321篇。被排除的文献中，有的主要研究在已有知识图谱上进行嵌入学习，而非教育知识图谱本身的构建与应用；有的虽涉及知识图谱，</w:t>
      </w:r>
      <w:r>
        <w:lastRenderedPageBreak/>
        <w:t>但不属于教育领域，只是把教育当作工业应用中的一个例子。</w:t>
      </w:r>
    </w:p>
    <w:p w14:paraId="2B22F139" w14:textId="77777777" w:rsidR="008B3564" w:rsidRDefault="00DA0E94">
      <w:pPr>
        <w:spacing w:after="160" w:line="420" w:lineRule="auto"/>
        <w:ind w:firstLine="480"/>
        <w:jc w:val="both"/>
        <w:rPr>
          <w:rFonts w:hint="eastAsia"/>
        </w:rPr>
      </w:pPr>
      <w:r>
        <w:t>初筛完成后，作者对剩余文献进行了全文审查，再次排除124篇不符合条件的研究。最终纳入120篇论文，用于系统总结教育情境下知识图谱构建的研究现状。</w:t>
      </w:r>
    </w:p>
    <w:p w14:paraId="768CD67E" w14:textId="77777777" w:rsidR="008B3564" w:rsidRDefault="00DA0E94">
      <w:pPr>
        <w:spacing w:after="160" w:line="420" w:lineRule="auto"/>
        <w:ind w:firstLine="480"/>
        <w:jc w:val="both"/>
        <w:rPr>
          <w:rFonts w:hint="eastAsia"/>
        </w:rPr>
      </w:pPr>
      <w:r>
        <w:t>从纳入文献的年份分布看，近几年教育领域对知识图谱的关注度明显上升，相关研究数量逐年递增。知识图谱正在成为教育研究中的一个热点方向，在课程设计、个性化学习、语义检索等方面的应用越来越多。接下来，我们将进一步讨论知识图谱在教育领域中的基本概念及其应用意义。</w:t>
      </w:r>
    </w:p>
    <w:p w14:paraId="140DA839" w14:textId="77777777" w:rsidR="008B3564" w:rsidRDefault="00DA0E94">
      <w:pPr>
        <w:pStyle w:val="2"/>
        <w:spacing w:before="200" w:after="160" w:line="360" w:lineRule="auto"/>
        <w:rPr>
          <w:rFonts w:hint="eastAsia"/>
        </w:rPr>
      </w:pPr>
      <w:r>
        <w:rPr>
          <w:rFonts w:ascii="黑体" w:eastAsia="黑体" w:hAnsi="黑体" w:cs="黑体"/>
          <w:b/>
          <w:bCs/>
          <w:sz w:val="28"/>
          <w:szCs w:val="28"/>
        </w:rPr>
        <w:t>3.2 知识图谱与教育的相关性</w:t>
      </w:r>
    </w:p>
    <w:p w14:paraId="6AFB3D57" w14:textId="77777777" w:rsidR="008B3564" w:rsidRDefault="00DA0E94">
      <w:pPr>
        <w:spacing w:after="160" w:line="420" w:lineRule="auto"/>
        <w:ind w:firstLine="480"/>
        <w:jc w:val="both"/>
        <w:rPr>
          <w:rFonts w:hint="eastAsia"/>
        </w:rPr>
      </w:pPr>
      <w:r>
        <w:t>知识图谱给教育领域带来了不小的变化，正在改变知识的组织、获取和应用方式。它为什么和教育这么相关？关键在于它能突破传统学习资源彼此割裂、组织方式偏静态的局限，为学习者提供更加动态、互联且个性化的学习体验。</w:t>
      </w:r>
    </w:p>
    <w:p w14:paraId="436D1A02" w14:textId="77777777" w:rsidR="008B3564" w:rsidRDefault="00DA0E94">
      <w:pPr>
        <w:spacing w:after="160" w:line="420" w:lineRule="auto"/>
        <w:ind w:firstLine="480"/>
        <w:jc w:val="both"/>
        <w:rPr>
          <w:rFonts w:hint="eastAsia"/>
        </w:rPr>
      </w:pPr>
      <w:r>
        <w:t>教育的核心任务是什么？说到底是知识传递和能力培养。知识图谱和这个目标天然契合。它能以结构化的方式描述不同概念、主题和实体之间的关系，把这些内容连接起来，为学习者构建一张"知识网络"。这样一来，学习者不仅能接触单个知识点，还能理解知识点之间的关联，从而更深入地把握某一主题。</w:t>
      </w:r>
    </w:p>
    <w:p w14:paraId="4B8B8BAD" w14:textId="77777777" w:rsidR="008B3564" w:rsidRDefault="00DA0E94">
      <w:pPr>
        <w:spacing w:after="160" w:line="420" w:lineRule="auto"/>
        <w:ind w:firstLine="480"/>
        <w:jc w:val="both"/>
        <w:rPr>
          <w:rFonts w:hint="eastAsia"/>
        </w:rPr>
      </w:pPr>
      <w:r>
        <w:t>个性化学习是知识图谱在教育场景中最突出的应用之一。道理不难理解：每个学习者的兴趣、能力基础和知识短板都不一样。知识图谱能结合学习者的进度和实际需要，对学习路径做针对性调整。借助语义表示和智能分析，系统可以识别更合适的学习顺序，推荐更相关的学习资源，还能根据学习者的节奏和风格动态调整学习过程。</w:t>
      </w:r>
    </w:p>
    <w:p w14:paraId="437A5A97" w14:textId="77777777" w:rsidR="008B3564" w:rsidRDefault="00DA0E94">
      <w:pPr>
        <w:spacing w:after="160" w:line="420" w:lineRule="auto"/>
        <w:ind w:firstLine="480"/>
        <w:jc w:val="both"/>
        <w:rPr>
          <w:rFonts w:hint="eastAsia"/>
        </w:rPr>
      </w:pPr>
      <w:r>
        <w:t>不光对学生有用，知识图谱对教师也有价值。教师可以利用它设计与教学目标匹配的课程结构，梳理各主题之间的先后关系，发现学生在理解过程中可能遇到的难点。这样一来，教学活动就不只是靠经验了，而是可以在知识关联和学习数据的基础上更有针对性地展开。</w:t>
      </w:r>
    </w:p>
    <w:p w14:paraId="47F23E87" w14:textId="77777777" w:rsidR="008B3564" w:rsidRDefault="00DA0E94">
      <w:pPr>
        <w:spacing w:after="160" w:line="420" w:lineRule="auto"/>
        <w:ind w:firstLine="480"/>
        <w:jc w:val="both"/>
        <w:rPr>
          <w:rFonts w:hint="eastAsia"/>
        </w:rPr>
      </w:pPr>
      <w:r>
        <w:lastRenderedPageBreak/>
        <w:t>从学习分析的角度看，知识图谱的优势同样明显。它能记录并呈现学习者行为和学习进展中的复杂模式，帮助教师更全面地了解学生的优势与不足。基于知识图谱的分析结果，还可以判断教学策略是否有效、资源配置是否合理，以及学习成效的发展趋势。</w:t>
      </w:r>
    </w:p>
    <w:p w14:paraId="33559B8F" w14:textId="77777777" w:rsidR="008B3564" w:rsidRDefault="00DA0E94">
      <w:pPr>
        <w:spacing w:after="160" w:line="420" w:lineRule="auto"/>
        <w:ind w:firstLine="480"/>
        <w:jc w:val="both"/>
        <w:rPr>
          <w:rFonts w:hint="eastAsia"/>
        </w:rPr>
      </w:pPr>
      <w:r>
        <w:t>对教育机构和在线教育平台来说，知识图谱也有实际意义。它能支持更高效的资源发现和内容匹配，帮助学习者更快找到符合自己目标的学习资源。学校或平台也可以借助知识图谱把学习目标与学科、主题和年级层次对应起来，发现课程体系中的缺口，进而优化课程设置和资源安排。</w:t>
      </w:r>
    </w:p>
    <w:p w14:paraId="763D809B" w14:textId="77777777" w:rsidR="008B3564" w:rsidRDefault="00DA0E94">
      <w:pPr>
        <w:pStyle w:val="2"/>
        <w:spacing w:before="200" w:after="160" w:line="360" w:lineRule="auto"/>
        <w:rPr>
          <w:rFonts w:hint="eastAsia"/>
        </w:rPr>
      </w:pPr>
      <w:r>
        <w:rPr>
          <w:rFonts w:ascii="黑体" w:eastAsia="黑体" w:hAnsi="黑体" w:cs="黑体"/>
          <w:b/>
          <w:bCs/>
          <w:sz w:val="28"/>
          <w:szCs w:val="28"/>
        </w:rPr>
        <w:t>4.1 自适应与个性化学习</w:t>
      </w:r>
    </w:p>
    <w:p w14:paraId="307BBB56" w14:textId="77777777" w:rsidR="008B3564" w:rsidRDefault="00DA0E94">
      <w:pPr>
        <w:spacing w:after="160" w:line="420" w:lineRule="auto"/>
        <w:ind w:firstLine="480"/>
        <w:jc w:val="both"/>
        <w:rPr>
          <w:rFonts w:hint="eastAsia"/>
        </w:rPr>
      </w:pPr>
      <w:r>
        <w:t>个性化学习的核心是什么？是根据学生的能力、需求、技能水平和兴趣特点，为每个人设计更适合自己的学习过程。不同学生应该有不同的学习方案，而不是走完全一样的路。知识图谱在这一过程中很重要。它不仅能描述教育领域中的知识结构，还能组织与学习者相关的信息，包括学习特征、知识掌握情况和学习进度，为教学适配提供支撑。</w:t>
      </w:r>
    </w:p>
    <w:p w14:paraId="15CEA3FE" w14:textId="77777777" w:rsidR="008B3564" w:rsidRDefault="00DA0E94">
      <w:pPr>
        <w:spacing w:after="160" w:line="420" w:lineRule="auto"/>
        <w:ind w:firstLine="480"/>
        <w:jc w:val="both"/>
        <w:rPr>
          <w:rFonts w:hint="eastAsia"/>
        </w:rPr>
      </w:pPr>
      <w:r>
        <w:t>已有研究主要围绕个性化资源推荐、智能辅导、学习路径生成和学习状态分析等方面展开。在在线教育场景中，有学者讨论了个性化学习资源推荐问题，分析了知识图谱的作用，并设计了推荐系统。面向数学学习的智能辅导系统RadarMath则通过深度学习评分模型和基于STACK的公式评分模型，实现自动评分和定制化学习支持。另外，利用知识图谱构建多维学习框架，结合注意力机制和激活理论生成学习导航路径，也是一种支持更灵活个性化教学的尝试。</w:t>
      </w:r>
    </w:p>
    <w:p w14:paraId="33760145" w14:textId="77777777" w:rsidR="008B3564" w:rsidRDefault="00DA0E94">
      <w:pPr>
        <w:spacing w:after="160" w:line="420" w:lineRule="auto"/>
        <w:ind w:firstLine="480"/>
        <w:jc w:val="both"/>
        <w:rPr>
          <w:rFonts w:hint="eastAsia"/>
        </w:rPr>
      </w:pPr>
      <w:r>
        <w:t>从更广的教育实践来看，技术支持下的教育和协作学习也推动了推荐系统在终身学习中的应用。有研究通过语义维度和统计维度对学生聚类，据此进行课程推荐。实验结果显示，该方法在构建学生画像和推荐课程方面具有一定可行性。但这类研究也存在不足，比如对数据质量、可扩展性、推荐偏差以及学习偏好刻画不准确等问题讨</w:t>
      </w:r>
      <w:r>
        <w:lastRenderedPageBreak/>
        <w:t>论不够充分。另有研究将知识图谱与兴趣扩散机制结合，用于学习资源推荐，以缓解信息过载。还有研究基于认知图构建个性化学习路径推荐系统，将知识图谱和认知推理相结合，把学生已有的知识结构和认知状态可视化，让学生更清楚自己的学习位置。</w:t>
      </w:r>
    </w:p>
    <w:p w14:paraId="511B7E2B" w14:textId="77777777" w:rsidR="008B3564" w:rsidRDefault="00DA0E94">
      <w:pPr>
        <w:spacing w:after="160" w:line="420" w:lineRule="auto"/>
        <w:ind w:firstLine="480"/>
        <w:jc w:val="both"/>
        <w:rPr>
          <w:rFonts w:hint="eastAsia"/>
        </w:rPr>
      </w:pPr>
      <w:r>
        <w:t>自适应教育则更强调根据学生个体差异动态调整教学内容和学习体验。有研究提出了基于知识图谱的变量增量式自适应学习模型，应用于在线学习系统，试图解决在线学习中常见的认知负荷过重和学习困惑等问题。还有研究面向开放教育中的成人学习者，设计了自适应电子学习方案，主要方法是根据学习者多方面特征构建画像，再借助知识图谱组织学习资源。此外，也有不少研究从不同角度探讨了知识图谱在自适应教育、个性化学习和教育推荐中的应用。</w:t>
      </w:r>
    </w:p>
    <w:p w14:paraId="26C42A1D" w14:textId="77777777" w:rsidR="008B3564" w:rsidRDefault="00DA0E94">
      <w:pPr>
        <w:spacing w:after="160" w:line="420" w:lineRule="auto"/>
        <w:ind w:firstLine="480"/>
        <w:jc w:val="both"/>
        <w:rPr>
          <w:rFonts w:hint="eastAsia"/>
        </w:rPr>
      </w:pPr>
      <w:r>
        <w:t>知识图谱和机器学习的结合，进一步增强了教育分析和干预能力。这种结合能提升学生学业表现预测的效果，帮助教师识别存在课程失败风险的学生，也能支持更有针对性的个性化干预。有研究将知识图谱和机器学习结合，用于评估和预测学生成绩、识别高风险学生。另有研究发现，将深度神经网络结构和知识图谱结合后，可以为交互式学习过程提供更具可解释性的预警建议。还有研究将强化学习与多关系图卷积网络推理相结合，以提升教育场景下知识推理和推荐的效果。知识图谱与机器学习技术的融合，正在成为推动教育智能化发展的一个重要方向。</w:t>
      </w:r>
    </w:p>
    <w:p w14:paraId="4E9062FE" w14:textId="77777777" w:rsidR="008B3564" w:rsidRDefault="00DA0E94">
      <w:pPr>
        <w:pStyle w:val="2"/>
        <w:spacing w:before="200" w:after="160" w:line="360" w:lineRule="auto"/>
        <w:rPr>
          <w:rFonts w:hint="eastAsia"/>
        </w:rPr>
      </w:pPr>
      <w:r>
        <w:rPr>
          <w:rFonts w:ascii="黑体" w:eastAsia="黑体" w:hAnsi="黑体" w:cs="黑体"/>
          <w:b/>
          <w:bCs/>
          <w:sz w:val="28"/>
          <w:szCs w:val="28"/>
        </w:rPr>
        <w:t>4.2 课程设计与规划</w:t>
      </w:r>
    </w:p>
    <w:p w14:paraId="1432768E" w14:textId="77777777" w:rsidR="008B3564" w:rsidRDefault="00DA0E94">
      <w:pPr>
        <w:spacing w:after="160" w:line="420" w:lineRule="auto"/>
        <w:ind w:firstLine="480"/>
        <w:jc w:val="both"/>
        <w:rPr>
          <w:rFonts w:hint="eastAsia"/>
        </w:rPr>
      </w:pPr>
      <w:r>
        <w:t>课程设计与规划，简单来说就是对教育项目、课程内容以及学习活动进行系统开发和统筹安排。它强调把学习目标、教学内容、教学方法、评价策略和教学资源合理衔接起来，以促进学生形成更有意义的学习。引入知识图谱后，课程设计可以获得一种以数据为基础、以学习者为中心的支持方式，从而提高教育内容的质量和适切性。</w:t>
      </w:r>
    </w:p>
    <w:p w14:paraId="6EFAD59D" w14:textId="77777777" w:rsidR="008B3564" w:rsidRDefault="00DA0E94">
      <w:pPr>
        <w:spacing w:after="160" w:line="420" w:lineRule="auto"/>
        <w:ind w:firstLine="480"/>
        <w:jc w:val="both"/>
        <w:rPr>
          <w:rFonts w:hint="eastAsia"/>
        </w:rPr>
      </w:pPr>
      <w:r>
        <w:t>在水利专业，有学者构建了面向该领域的知识图谱，帮助学生理解课程、知识单元和专业术语之间的关系，把水利教育数据进行结构化组织，便于学生更高效地学习和检索。EducOnto本体和EduKG知识图谱则用于支持大学课程推荐，对学生从高中到</w:t>
      </w:r>
      <w:r>
        <w:lastRenderedPageBreak/>
        <w:t>大学阶段的相关概念进行了建模，涵盖学生、课程体系、专业、方向等内容。另有研究尝试构建知识图谱，将社交媒体内容与正式课程中的实体建立语义联系，使学生能在课程学习中整合和利用跨学科的社交媒体资源。</w:t>
      </w:r>
    </w:p>
    <w:p w14:paraId="27E1D26F" w14:textId="77777777" w:rsidR="008B3564" w:rsidRDefault="00DA0E94">
      <w:pPr>
        <w:spacing w:after="160" w:line="420" w:lineRule="auto"/>
        <w:ind w:firstLine="480"/>
        <w:jc w:val="both"/>
        <w:rPr>
          <w:rFonts w:hint="eastAsia"/>
        </w:rPr>
      </w:pPr>
      <w:r>
        <w:t>在技术实现方面，有研究提出了名为ModelsKG的框架，用于构建多模态课程知识图谱。该框架结合了PaddleOCR和DeepKE，通过多模态知识的连接和重组，支持智能检索、关系构建、定量分析和智能推荐。另有研究提出了一种动态生成STEAM知识图谱的方法，以支持跨学科教学设计，帮助教师围绕课程标准设计学习主题。还有研究分别构建了课程知识图谱、教师知识图谱和课程拓扑知识图谱，以支持课程与教师匹配、优化课程开设方案，并增强课程体系内部的一致性。</w:t>
      </w:r>
    </w:p>
    <w:p w14:paraId="1D52C378" w14:textId="77777777" w:rsidR="008B3564" w:rsidRDefault="00DA0E94">
      <w:pPr>
        <w:spacing w:after="160" w:line="420" w:lineRule="auto"/>
        <w:ind w:firstLine="480"/>
        <w:jc w:val="both"/>
        <w:rPr>
          <w:rFonts w:hint="eastAsia"/>
        </w:rPr>
      </w:pPr>
      <w:r>
        <w:t>也有研究将知识图谱应用到具体课程中。比如，有学者为管理信息系统课程中的"管理学原理"构建了基于本体的知识图谱，以提升教学效果并支持个性化内容推送。还有研究讨论了多模态知识图谱在混合式教学中的构建与应用，强调把图片、音频、视频等多种资源纳入知识图谱，以改善教学和学习体验。另有研究利用知识图谱可视化展示课程中章节、节次和知识点之间的关系；也有研究借助Neo4j构建数据库</w:t>
      </w:r>
      <w:proofErr w:type="gramStart"/>
      <w:r>
        <w:t>微课知识</w:t>
      </w:r>
      <w:proofErr w:type="gramEnd"/>
      <w:r>
        <w:t>图谱，并围绕不同角色设计了相应的系统功能。</w:t>
      </w:r>
    </w:p>
    <w:p w14:paraId="0B218F97" w14:textId="77777777" w:rsidR="008B3564" w:rsidRDefault="00DA0E94">
      <w:pPr>
        <w:spacing w:after="160" w:line="420" w:lineRule="auto"/>
        <w:ind w:firstLine="480"/>
        <w:jc w:val="both"/>
        <w:rPr>
          <w:rFonts w:hint="eastAsia"/>
        </w:rPr>
      </w:pPr>
      <w:r>
        <w:t>知识图谱在优化教学实施过程方面也有不少探索。有研究构建了互联网诈骗知识图谱，把诈骗案例与相关知识点联系起来，支持更有效的个性化教学。还有研究开发了面向编程任务的自动化个性化作业系统，布置作业时综合考虑任务复杂度、学习者编程错误情况和知识水平，为学生提供更符合实际需要的编程训练。另有研究提出了Educational Knowledge Graph 2.0，将大数据与深度学习技术结合，构建更智能、高效的教育知识图谱，并以C语言课程为实验对象验证效果。结果表明，这种方法有助于提升教学质量，实现教师、课程与学生之间的"多向适配"。此外，还有研究尝试将协作学习中的小组讨论自动转换为知识图谱，刻画小组理解水平，向学生团队提供实时反馈，并可基于图算法完成小组间比较。课程设计与规划是教育中的关键问题，知识图谱在这一方向已经展现出较强的应用潜力。</w:t>
      </w:r>
    </w:p>
    <w:p w14:paraId="218E41CA" w14:textId="77777777" w:rsidR="008B3564" w:rsidRDefault="00DA0E94">
      <w:pPr>
        <w:pStyle w:val="2"/>
        <w:spacing w:before="200" w:after="160" w:line="360" w:lineRule="auto"/>
        <w:rPr>
          <w:rFonts w:hint="eastAsia"/>
        </w:rPr>
      </w:pPr>
      <w:r>
        <w:rPr>
          <w:rFonts w:ascii="黑体" w:eastAsia="黑体" w:hAnsi="黑体" w:cs="黑体"/>
          <w:b/>
          <w:bCs/>
          <w:sz w:val="28"/>
          <w:szCs w:val="28"/>
        </w:rPr>
        <w:lastRenderedPageBreak/>
        <w:t>4.4 语义检索、问答与推荐系统</w:t>
      </w:r>
    </w:p>
    <w:p w14:paraId="697EA31E" w14:textId="77777777" w:rsidR="008B3564" w:rsidRDefault="00DA0E94">
      <w:pPr>
        <w:spacing w:after="160" w:line="420" w:lineRule="auto"/>
        <w:ind w:firstLine="480"/>
        <w:jc w:val="both"/>
        <w:rPr>
          <w:rFonts w:hint="eastAsia"/>
        </w:rPr>
      </w:pPr>
      <w:r>
        <w:t>知识图谱正在改变教育领域中的语义检索和问答方式。凭借实体和关系高度互联的结构以及较强的语义表达能力，知识图谱能提升检索和问答结果的准确性、上下文相关性和信息深度。越来越多的研究尝试利用知识图谱为教师和学生提供更符合语境的信息服务。</w:t>
      </w:r>
    </w:p>
    <w:p w14:paraId="3A44B3B4" w14:textId="77777777" w:rsidR="008B3564" w:rsidRDefault="00DA0E94">
      <w:pPr>
        <w:spacing w:after="160" w:line="420" w:lineRule="auto"/>
        <w:ind w:firstLine="480"/>
        <w:jc w:val="both"/>
        <w:rPr>
          <w:rFonts w:hint="eastAsia"/>
        </w:rPr>
      </w:pPr>
      <w:r>
        <w:t>有研究提出BGNN-TT模型，通过双线性图神经网络和双教师知识蒸馏机制，提高教育知识图谱中的多跳推理能力。也有研究将基于本体的Rela-Ops模型与知识图谱结合，形成Rela-KG模型，用于数据库系统基础课程中的教育内容组织与查询，该系统可作为智能查询平台的基础，帮助学生搜索、比较并获取课程相关知识。另有研究提出了基于知识图谱的智能问答系统，将知识图谱作为知识存储和检索的核心结构，使系统能理解用户问题并基于结构化数据返回答案。还有研究设计了服务于学生和教师的智能问答与反馈系统，融合知识图谱、智能问答和大数据技术，实现知识建模、知识获取和教学反馈。在偏远学校教育场景中，也有研究通过原型系统说明了构建知识图谱问答系统的实际需求。</w:t>
      </w:r>
    </w:p>
    <w:p w14:paraId="78AED941" w14:textId="77777777" w:rsidR="008B3564" w:rsidRDefault="00DA0E94">
      <w:pPr>
        <w:spacing w:after="160" w:line="420" w:lineRule="auto"/>
        <w:ind w:firstLine="480"/>
        <w:jc w:val="both"/>
        <w:rPr>
          <w:rFonts w:hint="eastAsia"/>
        </w:rPr>
      </w:pPr>
      <w:r>
        <w:t>知识图谱在MOOC场景中的作用也受到重视。有研究提出MOOC-KG，通过收集和组织不同MOOC平台、大学、教师和课程的信息，提高在线学习资源的利用率。还有研究利用语义网技术，提出四步法来识别和评估概念之间的先修关系，更准确地支持课程知识组织。另有研究开发了基于多视角知识图谱的智能课程内容推荐系统，结合学生学习行为、搜索活动模式和课程内容信息，在学习过程中提供实时推荐和教学支持。</w:t>
      </w:r>
    </w:p>
    <w:p w14:paraId="66D17CC9" w14:textId="77777777" w:rsidR="008B3564" w:rsidRDefault="00DA0E94">
      <w:pPr>
        <w:spacing w:after="160" w:line="420" w:lineRule="auto"/>
        <w:ind w:firstLine="480"/>
        <w:jc w:val="both"/>
        <w:rPr>
          <w:rFonts w:hint="eastAsia"/>
        </w:rPr>
      </w:pPr>
      <w:r>
        <w:t>在中文MOOC领域，有研究开发了智能问答机器人Xiao-Shih，该系统具备自我扩充机制，能依靠社区化的问答过程扩展知识库。另有研究提出三阶段框架，用于在多领域MOOC中远程监督课程概念抽取，以减少人工标注的高成本。知识图谱在语义检索、智能问答和课程推荐方面已经表现出较强的能力，尤其适合用来组织课程知识、理解学习者查询并提供符合教学情境的服务。</w:t>
      </w:r>
    </w:p>
    <w:p w14:paraId="0DAD13B3" w14:textId="77777777" w:rsidR="008B3564" w:rsidRDefault="00DA0E94">
      <w:pPr>
        <w:pStyle w:val="2"/>
        <w:spacing w:before="200" w:after="160" w:line="360" w:lineRule="auto"/>
        <w:rPr>
          <w:rFonts w:hint="eastAsia"/>
        </w:rPr>
      </w:pPr>
      <w:r>
        <w:rPr>
          <w:rFonts w:ascii="黑体" w:eastAsia="黑体" w:hAnsi="黑体" w:cs="黑体"/>
          <w:b/>
          <w:bCs/>
          <w:sz w:val="28"/>
          <w:szCs w:val="28"/>
        </w:rPr>
        <w:lastRenderedPageBreak/>
        <w:t>5 现状总结、讨论与启示</w:t>
      </w:r>
    </w:p>
    <w:p w14:paraId="43D963FD" w14:textId="77777777" w:rsidR="008B3564" w:rsidRDefault="00DA0E94">
      <w:pPr>
        <w:spacing w:after="160" w:line="420" w:lineRule="auto"/>
        <w:ind w:firstLine="480"/>
        <w:jc w:val="both"/>
        <w:rPr>
          <w:rFonts w:hint="eastAsia"/>
        </w:rPr>
      </w:pPr>
      <w:r>
        <w:t>回顾前面的分析，教育知识图谱研究确实取得了不少进展。一个明显趋势是语义网技术和自然语言处理技术的结合，这让知识图谱的内容更丰富、更新也更灵活。如今的教育知识图谱不再是静态的信息仓库，而是能表达教育情境变化和上下文关系了。机器学习也被越来越多地用于实体识别、关系抽取和概念链接，支持从大量文本资源中自动填充和完善知识图谱。</w:t>
      </w:r>
    </w:p>
    <w:p w14:paraId="05DDAFF7" w14:textId="77777777" w:rsidR="008B3564" w:rsidRDefault="00DA0E94">
      <w:pPr>
        <w:spacing w:after="160" w:line="420" w:lineRule="auto"/>
        <w:ind w:firstLine="480"/>
        <w:jc w:val="both"/>
        <w:rPr>
          <w:rFonts w:hint="eastAsia"/>
        </w:rPr>
      </w:pPr>
      <w:r>
        <w:t>不过，这些研究也暴露出不少问题。比方说，知识抽取技术的讨论就明显不足。知识抽取是把非结构化或半结构化信息转化为结构化知识的关键环节，在教育场景中关系到教材、论文、讲义和网络资源中知识内容的提取质量。但不少研究没有充分说明抽取方法、如何处理上下文差异，也缺少足够透明的技术细节。不同学科、不同教育阶段对知识抽取的要求并不相同，教育知识图谱更需要面向具体场景的抽取方法。</w:t>
      </w:r>
    </w:p>
    <w:p w14:paraId="24B43C0C" w14:textId="77777777" w:rsidR="008B3564" w:rsidRDefault="00DA0E94">
      <w:pPr>
        <w:spacing w:after="160" w:line="420" w:lineRule="auto"/>
        <w:ind w:firstLine="480"/>
        <w:jc w:val="both"/>
        <w:rPr>
          <w:rFonts w:hint="eastAsia"/>
        </w:rPr>
      </w:pPr>
      <w:r>
        <w:t>再看标准化问题。和医疗、金融等较成熟领域相比，教育知识图谱还没有形成被普遍接受的统一格式或本体结构。教育生态本身比较复杂，基础教育、高等教育、职业教育和终身学习在教学目标、课程结构和资源形式上差异明显，再加上涉及教材、论文、课程大纲、学习管理系统和学生记录等多种数据来源，标准化难度很大。标准化缺失又直接影响了互操作性——许多学校和平台各自构建的知识图谱往往孤立运行，难以与其他系统协同使用。语义异构问题也比较突出，比如"学生表现"也可能被表述为"学习成就"或"学业进展"，如果不能对这些差异进行语义对齐，就很难建立稳定一致的知识关系。</w:t>
      </w:r>
    </w:p>
    <w:p w14:paraId="31705D5F" w14:textId="77777777" w:rsidR="008B3564" w:rsidRDefault="00DA0E94">
      <w:pPr>
        <w:spacing w:after="160" w:line="420" w:lineRule="auto"/>
        <w:ind w:firstLine="480"/>
        <w:jc w:val="both"/>
        <w:rPr>
          <w:rFonts w:hint="eastAsia"/>
        </w:rPr>
      </w:pPr>
      <w:r>
        <w:t>数据方面的问题也不少。构建一个完整的教育知识图谱需要持续进行数据收集、整理和维护，现实中很多图谱只覆盖部分主题或部分关系。教育数据分散在多个来源中，不同机构课程安排不一致，数字化学习资源的丰富程度也不同，导致有些知识点被充分表示，而另一些却很薄弱甚至缺失。可扩展性也是难题：随着数据持续增长，图谱规模越来越大，给存储、查询、更新和维护带来明显压力。此外，教育知识并非</w:t>
      </w:r>
      <w:r>
        <w:lastRenderedPageBreak/>
        <w:t>固定不变，新的研究成果、教学理念和课程安排会不断出现，如果知识图谱不能及时更新，就无法真实反映教育环境的变化。</w:t>
      </w:r>
    </w:p>
    <w:p w14:paraId="3EBAC427" w14:textId="77777777" w:rsidR="008B3564" w:rsidRDefault="00DA0E94">
      <w:pPr>
        <w:spacing w:after="160" w:line="420" w:lineRule="auto"/>
        <w:ind w:firstLine="480"/>
        <w:jc w:val="both"/>
        <w:rPr>
          <w:rFonts w:hint="eastAsia"/>
        </w:rPr>
      </w:pPr>
      <w:r>
        <w:t>最后说说评价和安全。教育知识图谱的效果不仅体现在技术指标上，还涉及学习投入、知识保持和学习成效等难以完全量化的因素。不少研究只能依赖问卷、访谈或主观反馈来评价系统，缺少更扎实、统一、长期的验证方式。隐私和安全问题同样值得重视。教育知识图谱往往包含学生姓名、联系方式、成绩等敏感信息，学习分析过程中还会采集学习行为、在线活动和参与度等数据，这些都可能引发隐私方面的担忧。但现有文献对此讨论明显不足。</w:t>
      </w:r>
    </w:p>
    <w:p w14:paraId="5CE17FF7" w14:textId="77777777" w:rsidR="008B3564" w:rsidRDefault="00DA0E94">
      <w:pPr>
        <w:pStyle w:val="2"/>
        <w:spacing w:before="200" w:after="160" w:line="360" w:lineRule="auto"/>
        <w:rPr>
          <w:rFonts w:hint="eastAsia"/>
        </w:rPr>
      </w:pPr>
      <w:r>
        <w:rPr>
          <w:rFonts w:ascii="黑体" w:eastAsia="黑体" w:hAnsi="黑体" w:cs="黑体"/>
          <w:b/>
          <w:bCs/>
          <w:sz w:val="28"/>
          <w:szCs w:val="28"/>
        </w:rPr>
        <w:t>6 未来方向与研究机会</w:t>
      </w:r>
    </w:p>
    <w:p w14:paraId="51F712B4" w14:textId="77777777" w:rsidR="008B3564" w:rsidRDefault="00DA0E94">
      <w:pPr>
        <w:spacing w:after="160" w:line="420" w:lineRule="auto"/>
        <w:ind w:firstLine="480"/>
        <w:jc w:val="both"/>
        <w:rPr>
          <w:rFonts w:hint="eastAsia"/>
        </w:rPr>
      </w:pPr>
      <w:r>
        <w:t>教育领域正在经历深刻的变化，这背后是技术进步、数据分析和教学研究的共同推动。教育机构和学习者都在逐渐适应更加数字化、互联化的环境，如何借助新方法提升教学效果与学习效果，已成为未来研究的重要议题。未来教育的发展，大概会更加重视知识传递方式的优化、学习体验的个性化以及学习成效评估方式的升级。</w:t>
      </w:r>
    </w:p>
    <w:p w14:paraId="0E95536B" w14:textId="77777777" w:rsidR="008B3564" w:rsidRDefault="00DA0E94">
      <w:pPr>
        <w:spacing w:after="160" w:line="420" w:lineRule="auto"/>
        <w:ind w:firstLine="480"/>
        <w:jc w:val="both"/>
        <w:rPr>
          <w:rFonts w:hint="eastAsia"/>
        </w:rPr>
      </w:pPr>
      <w:r>
        <w:t>个性化学习路径仍是一个很有潜力的方向。知识图谱在个性化学习中的应用目前还处于较早阶段，但已经显示出改变教学和学习方式的可能。和传统的统一化教学模式不同，个性化学习依赖知识图谱去识别每个学习者在知识基础、学习风格、历史表现乃至实时交互行为上的差异，再据此推荐更合适的学习资源和学习顺序。比如，当学生在某个数学概念上遇到困难时，知识图谱不仅能发现问题，还能追溯原因，并推荐有针对性的练习、视频或交互式模拟资源。不过，要真正发挥个性化学习路径的价值，还需要认真处理数据隐私、算法透明性以及技术公平获取等问题。</w:t>
      </w:r>
    </w:p>
    <w:p w14:paraId="11ADE30D" w14:textId="77777777" w:rsidR="008B3564" w:rsidRDefault="00DA0E94">
      <w:pPr>
        <w:spacing w:after="160" w:line="420" w:lineRule="auto"/>
        <w:ind w:firstLine="480"/>
        <w:jc w:val="both"/>
        <w:rPr>
          <w:rFonts w:hint="eastAsia"/>
        </w:rPr>
      </w:pPr>
      <w:r>
        <w:t>知识图谱与教育结合的趋势在不断扩展。教育行业的数字化转型，使知识图谱在学习个性化、内容推荐和终身学习支持等方面的重要性持续提升。未来还可以把知识图谱引入智能虚拟导师和教育聊天机器人中，使系统能在学生提问时提供实时帮助，识别知识短板，并给出更贴切的解释与资源。已有少量研究开始朝这一方向尝试，但</w:t>
      </w:r>
      <w:r>
        <w:lastRenderedPageBreak/>
        <w:t>整体来看还有不小的发展空间。</w:t>
      </w:r>
    </w:p>
    <w:p w14:paraId="56EC1F85" w14:textId="77777777" w:rsidR="008B3564" w:rsidRDefault="00DA0E94">
      <w:pPr>
        <w:spacing w:after="160" w:line="420" w:lineRule="auto"/>
        <w:ind w:firstLine="480"/>
        <w:jc w:val="both"/>
        <w:rPr>
          <w:rFonts w:hint="eastAsia"/>
        </w:rPr>
      </w:pPr>
      <w:r>
        <w:t>大语言模型与知识图谱的结合，是当前值得关注的研究方向。把GPT这类大语言模型与知识图谱结合到教育中，有望提升教育智能系统的理解和生成能力。大语言模型擅长处理自然语言，知识图谱则擅长表达结构化知识和进行符号化推理。如果二者能更自然地融合，就有可能形成既能理解和生成类人语言，又能调用结构化知识进行推理的教育智能助手。未来研究的方向不少：提高从教育文本中自动构建知识图谱的能力是一个，提升图谱的覆盖度和准确率也是一个，推动不同机构之间知识图谱的互联互通同样重要。此外，针对教育任务对大语言模型进行专门微调，比如问答、作文评分和个性化学习路径推荐等，也值得深入探索。</w:t>
      </w:r>
    </w:p>
    <w:p w14:paraId="3B821B31" w14:textId="77777777" w:rsidR="008B3564" w:rsidRDefault="00DA0E94">
      <w:pPr>
        <w:spacing w:after="160" w:line="420" w:lineRule="auto"/>
        <w:ind w:firstLine="480"/>
        <w:jc w:val="both"/>
        <w:rPr>
          <w:rFonts w:hint="eastAsia"/>
        </w:rPr>
      </w:pPr>
      <w:r>
        <w:t>跨领域知识图谱也是一个前景看好的方向。现实中的学习问题往往不局限于单一学科，许多复杂问题本身就带有跨学科特征。跨领域知识图谱可以把多个学科中的知识整合起来，打破传统学科壁垒，为学习者提供更完整、更有情境感的知识支持。比如，学习环境保护的生物学学生，可能同时需要接触生态学、化学以及公共政策等相关知识，跨领域知识图谱正好能把这些内容联系起来。教师也可以基于这种图谱设计跨学科课程，让学生围绕真实问题展开学习。不过，跨领域知识图谱的建设也面临数据质量、语义异构以及隐私保护等挑战，后续还有很多工作要做。</w:t>
      </w:r>
    </w:p>
    <w:p w14:paraId="0959F388" w14:textId="77777777" w:rsidR="008B3564" w:rsidRDefault="00DA0E94">
      <w:pPr>
        <w:pStyle w:val="2"/>
        <w:spacing w:before="200" w:after="160" w:line="360" w:lineRule="auto"/>
        <w:rPr>
          <w:rFonts w:hint="eastAsia"/>
        </w:rPr>
      </w:pPr>
      <w:r>
        <w:rPr>
          <w:rFonts w:ascii="黑体" w:eastAsia="黑体" w:hAnsi="黑体" w:cs="黑体"/>
          <w:b/>
          <w:bCs/>
          <w:sz w:val="28"/>
          <w:szCs w:val="28"/>
        </w:rPr>
        <w:t>7 结论</w:t>
      </w:r>
    </w:p>
    <w:p w14:paraId="5AE05BE1" w14:textId="77777777" w:rsidR="008B3564" w:rsidRDefault="00DA0E94">
      <w:pPr>
        <w:spacing w:after="160" w:line="420" w:lineRule="auto"/>
        <w:ind w:firstLine="480"/>
        <w:jc w:val="both"/>
        <w:rPr>
          <w:rFonts w:hint="eastAsia"/>
        </w:rPr>
      </w:pPr>
      <w:r>
        <w:t>教育正在进入一个新阶段。知识不再只是被动获取，而是以更加联通、更加动态、更加个性化的方式服务学习者。知识图谱作为推动这一变革的基础技术，展现出不断适应、持续演进并提供定制化学习体验的能力。</w:t>
      </w:r>
    </w:p>
    <w:p w14:paraId="6C31BEC5" w14:textId="77777777" w:rsidR="008B3564" w:rsidRDefault="00DA0E94">
      <w:pPr>
        <w:spacing w:after="160" w:line="420" w:lineRule="auto"/>
        <w:ind w:firstLine="480"/>
        <w:jc w:val="both"/>
        <w:rPr>
          <w:rFonts w:hint="eastAsia"/>
        </w:rPr>
      </w:pPr>
      <w:r>
        <w:t>这次综述梳理了知识图谱在教育领域中的多种应用。围绕自适应与个性化学习、课程设计与规划、概念映射与可视化、语义检索与问答以及其他相关场景，我们总结了知识图谱在教育中的主要作用，也展示了它在支持数据驱动教育方面的潜力。这些应用方向表明，知识图谱正在逐步改变传统教育模式，也在不断增强教师和学习者的</w:t>
      </w:r>
      <w:r>
        <w:lastRenderedPageBreak/>
        <w:t>能力。</w:t>
      </w:r>
    </w:p>
    <w:p w14:paraId="4B708B52" w14:textId="77777777" w:rsidR="008B3564" w:rsidRDefault="00DA0E94">
      <w:pPr>
        <w:spacing w:after="160" w:line="420" w:lineRule="auto"/>
        <w:ind w:firstLine="480"/>
        <w:jc w:val="both"/>
        <w:rPr>
          <w:rFonts w:hint="eastAsia"/>
        </w:rPr>
      </w:pPr>
      <w:r>
        <w:t>通过对相关方法的分析，我们进一步梳理了教育知识图谱在功能设计、知识抽取、知识库类型、资源需求、评价标准以及局限性等方面的特点。研究既反映了这一领域已经取得的进展，也揭示了研究者和实践者仍然面临的现实困难。</w:t>
      </w:r>
    </w:p>
    <w:p w14:paraId="379D9717" w14:textId="77777777" w:rsidR="008B3564" w:rsidRDefault="00DA0E94">
      <w:pPr>
        <w:spacing w:after="160" w:line="420" w:lineRule="auto"/>
        <w:ind w:firstLine="480"/>
        <w:jc w:val="both"/>
        <w:rPr>
          <w:rFonts w:hint="eastAsia"/>
        </w:rPr>
      </w:pPr>
      <w:r>
        <w:t>前面也提到了，教育知识图谱目前存在一系列不足，包括标准化缺失、互操作性不足、数据稀疏、可扩展性压力、语义异构、缺乏实时更新机制、评价方法不完善以及隐私与安全问题等。这些问题如果得不到解决，知识图谱在教育中的大范围应用就很难真正落地。</w:t>
      </w:r>
    </w:p>
    <w:p w14:paraId="33BA2014" w14:textId="77777777" w:rsidR="008B3564" w:rsidRDefault="00DA0E94">
      <w:pPr>
        <w:spacing w:after="160" w:line="420" w:lineRule="auto"/>
        <w:ind w:firstLine="480"/>
        <w:jc w:val="both"/>
        <w:rPr>
          <w:rFonts w:hint="eastAsia"/>
        </w:rPr>
      </w:pPr>
      <w:r>
        <w:t>接下来的路怎么走？人工智能驱动的个性化学习路径、大语言模型与知识图谱的结合、跨领域知识图谱的构建以及实时更新机制的完善，都值得重点关注。与此同时，如何解决前文提出的各种限制和挑战，也将直接影响知识图谱能否在教育领域发挥更大价值。</w:t>
      </w:r>
    </w:p>
    <w:p w14:paraId="066D6720" w14:textId="77777777" w:rsidR="008B3564" w:rsidRDefault="00DA0E94">
      <w:pPr>
        <w:pStyle w:val="1"/>
        <w:spacing w:before="200" w:after="160" w:line="360" w:lineRule="auto"/>
        <w:rPr>
          <w:rFonts w:hint="eastAsia"/>
        </w:rPr>
      </w:pPr>
      <w:r>
        <w:rPr>
          <w:rFonts w:ascii="黑体" w:eastAsia="黑体" w:hAnsi="黑体" w:cs="黑体"/>
          <w:b/>
          <w:bCs/>
          <w:sz w:val="30"/>
          <w:szCs w:val="30"/>
        </w:rPr>
        <w:t>六、参考文献</w:t>
      </w:r>
    </w:p>
    <w:p w14:paraId="2E19F185" w14:textId="77777777" w:rsidR="008B3564" w:rsidRDefault="00DA0E94">
      <w:pPr>
        <w:spacing w:after="160" w:line="420" w:lineRule="auto"/>
        <w:ind w:firstLine="480"/>
        <w:jc w:val="both"/>
        <w:rPr>
          <w:rFonts w:hint="eastAsia"/>
        </w:rPr>
      </w:pPr>
      <w:r>
        <w:t>[1] Abu-Salih B, Alotaibi S. A systematic literature review of knowledge graph construction and application in education[J]. Heliyon, 2024, 10(3): e25383.</w:t>
      </w:r>
    </w:p>
    <w:p w14:paraId="34534C51" w14:textId="77777777" w:rsidR="008B3564" w:rsidRDefault="00DA0E94">
      <w:pPr>
        <w:spacing w:after="160" w:line="420" w:lineRule="auto"/>
        <w:ind w:firstLine="480"/>
        <w:jc w:val="both"/>
        <w:rPr>
          <w:rFonts w:hint="eastAsia"/>
        </w:rPr>
      </w:pPr>
      <w:r>
        <w:t>[2] DOI: https://doi.org/10.1016/j.heliyon.2024.e25383</w:t>
      </w:r>
    </w:p>
    <w:sectPr w:rsidR="008B356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49CF" w14:textId="77777777" w:rsidR="00F70BBD" w:rsidRDefault="00F70BBD">
      <w:pPr>
        <w:rPr>
          <w:rFonts w:hint="eastAsia"/>
        </w:rPr>
      </w:pPr>
      <w:r>
        <w:separator/>
      </w:r>
    </w:p>
  </w:endnote>
  <w:endnote w:type="continuationSeparator" w:id="0">
    <w:p w14:paraId="09EA2F40" w14:textId="77777777" w:rsidR="00F70BBD" w:rsidRDefault="00F70B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2E1B" w14:textId="77777777" w:rsidR="008B3564" w:rsidRDefault="00DA0E94">
    <w:pPr>
      <w:jc w:val="center"/>
      <w:rPr>
        <w:rFonts w:hint="eastAsia"/>
      </w:rPr>
    </w:pPr>
    <w:r>
      <w:rPr>
        <w:sz w:val="20"/>
        <w:szCs w:val="20"/>
      </w:rPr>
      <w:t xml:space="preserve">第 </w:t>
    </w:r>
    <w:r>
      <w:rPr>
        <w:sz w:val="20"/>
        <w:szCs w:val="20"/>
      </w:rPr>
      <w:fldChar w:fldCharType="begin"/>
    </w:r>
    <w:r>
      <w:rPr>
        <w:sz w:val="20"/>
        <w:szCs w:val="20"/>
      </w:rPr>
      <w:instrText>PAGE</w:instrText>
    </w:r>
    <w:r>
      <w:rPr>
        <w:sz w:val="20"/>
        <w:szCs w:val="20"/>
      </w:rPr>
      <w:fldChar w:fldCharType="separate"/>
    </w:r>
    <w:r w:rsidR="003F34E3">
      <w:rPr>
        <w:rFonts w:hint="eastAsia"/>
        <w:noProof/>
        <w:sz w:val="20"/>
        <w:szCs w:val="20"/>
      </w:rPr>
      <w:t>1</w:t>
    </w:r>
    <w:r>
      <w:rPr>
        <w:sz w:val="20"/>
        <w:szCs w:val="20"/>
      </w:rPr>
      <w:fldChar w:fldCharType="end"/>
    </w:r>
    <w:r>
      <w:rPr>
        <w:sz w:val="20"/>
        <w:szCs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547C" w14:textId="77777777" w:rsidR="00F70BBD" w:rsidRDefault="00F70BBD">
      <w:pPr>
        <w:rPr>
          <w:rFonts w:hint="eastAsia"/>
        </w:rPr>
      </w:pPr>
      <w:r>
        <w:separator/>
      </w:r>
    </w:p>
  </w:footnote>
  <w:footnote w:type="continuationSeparator" w:id="0">
    <w:p w14:paraId="5E54429C" w14:textId="77777777" w:rsidR="00F70BBD" w:rsidRDefault="00F70BB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A3092"/>
    <w:multiLevelType w:val="hybridMultilevel"/>
    <w:tmpl w:val="23CEFEE8"/>
    <w:lvl w:ilvl="0" w:tplc="D67A9044">
      <w:start w:val="1"/>
      <w:numFmt w:val="bullet"/>
      <w:lvlText w:val="●"/>
      <w:lvlJc w:val="left"/>
      <w:pPr>
        <w:ind w:left="720" w:hanging="360"/>
      </w:pPr>
    </w:lvl>
    <w:lvl w:ilvl="1" w:tplc="F29C1176">
      <w:start w:val="1"/>
      <w:numFmt w:val="bullet"/>
      <w:lvlText w:val="○"/>
      <w:lvlJc w:val="left"/>
      <w:pPr>
        <w:ind w:left="1440" w:hanging="360"/>
      </w:pPr>
    </w:lvl>
    <w:lvl w:ilvl="2" w:tplc="2DE2A126">
      <w:start w:val="1"/>
      <w:numFmt w:val="bullet"/>
      <w:lvlText w:val="■"/>
      <w:lvlJc w:val="left"/>
      <w:pPr>
        <w:ind w:left="2160" w:hanging="360"/>
      </w:pPr>
    </w:lvl>
    <w:lvl w:ilvl="3" w:tplc="D52227EC">
      <w:start w:val="1"/>
      <w:numFmt w:val="bullet"/>
      <w:lvlText w:val="●"/>
      <w:lvlJc w:val="left"/>
      <w:pPr>
        <w:ind w:left="2880" w:hanging="360"/>
      </w:pPr>
    </w:lvl>
    <w:lvl w:ilvl="4" w:tplc="F6D63616">
      <w:start w:val="1"/>
      <w:numFmt w:val="bullet"/>
      <w:lvlText w:val="○"/>
      <w:lvlJc w:val="left"/>
      <w:pPr>
        <w:ind w:left="3600" w:hanging="360"/>
      </w:pPr>
    </w:lvl>
    <w:lvl w:ilvl="5" w:tplc="67B639C0">
      <w:start w:val="1"/>
      <w:numFmt w:val="bullet"/>
      <w:lvlText w:val="■"/>
      <w:lvlJc w:val="left"/>
      <w:pPr>
        <w:ind w:left="4320" w:hanging="360"/>
      </w:pPr>
    </w:lvl>
    <w:lvl w:ilvl="6" w:tplc="DB98CE6E">
      <w:start w:val="1"/>
      <w:numFmt w:val="bullet"/>
      <w:lvlText w:val="●"/>
      <w:lvlJc w:val="left"/>
      <w:pPr>
        <w:ind w:left="5040" w:hanging="360"/>
      </w:pPr>
    </w:lvl>
    <w:lvl w:ilvl="7" w:tplc="D1589D3E">
      <w:start w:val="1"/>
      <w:numFmt w:val="bullet"/>
      <w:lvlText w:val="●"/>
      <w:lvlJc w:val="left"/>
      <w:pPr>
        <w:ind w:left="5760" w:hanging="360"/>
      </w:pPr>
    </w:lvl>
    <w:lvl w:ilvl="8" w:tplc="050022F2">
      <w:start w:val="1"/>
      <w:numFmt w:val="bullet"/>
      <w:lvlText w:val="●"/>
      <w:lvlJc w:val="left"/>
      <w:pPr>
        <w:ind w:left="6480" w:hanging="360"/>
      </w:pPr>
    </w:lvl>
  </w:abstractNum>
  <w:num w:numId="1" w16cid:durableId="1401437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564"/>
    <w:rsid w:val="001C13BF"/>
    <w:rsid w:val="003F34E3"/>
    <w:rsid w:val="005E0238"/>
    <w:rsid w:val="008B3564"/>
    <w:rsid w:val="00C42851"/>
    <w:rsid w:val="00DA0E94"/>
    <w:rsid w:val="00F70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E0019"/>
  <w15:docId w15:val="{55D33C04-44DC-4A68-BA14-1FC8185FE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4643</Words>
  <Characters>4970</Characters>
  <Application>Microsoft Office Word</Application>
  <DocSecurity>0</DocSecurity>
  <Lines>160</Lines>
  <Paragraphs>89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 zaza</cp:lastModifiedBy>
  <cp:revision>3</cp:revision>
  <dcterms:created xsi:type="dcterms:W3CDTF">2026-04-27T01:25:00Z</dcterms:created>
  <dcterms:modified xsi:type="dcterms:W3CDTF">2026-04-29T03:15:00Z</dcterms:modified>
</cp:coreProperties>
</file>