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rFonts w:ascii="Arial" w:hAnsi="Arial"/>
          <w:b/>
          <w:color w:val="8BCB3D"/>
          <w:sz w:val="22"/>
        </w:rPr>
        <w:t>PROPOSAL SUBMITTED TO: ETHIO TELECOM</w:t>
        <w:br/>
      </w:r>
      <w:r>
        <w:rPr>
          <w:rFonts w:ascii="Arial" w:hAnsi="Arial"/>
          <w:color w:val="64748B"/>
          <w:sz w:val="19"/>
        </w:rPr>
        <w:t>Digital Business &amp; Value-Added Services (VAS) Directorate</w:t>
        <w:br/>
        <w:t>telebirr SuperApp Department, Addis Ababa, Ethiopia</w:t>
      </w:r>
    </w:p>
    <w:p>
      <w:pPr>
        <w:spacing w:before="720" w:after="240"/>
      </w:pPr>
      <w:r>
        <w:rPr>
          <w:rFonts w:ascii="Arial" w:hAnsi="Arial"/>
          <w:b/>
          <w:color w:val="0A78BE"/>
          <w:sz w:val="48"/>
        </w:rPr>
        <w:t>GAMES PROVISIONING THROUGH</w:t>
        <w:br/>
        <w:t>TELEBIRR SUPER APP</w:t>
        <w:br/>
      </w:r>
      <w:r>
        <w:rPr>
          <w:rFonts w:ascii="Arial" w:hAnsi="Arial"/>
          <w:b/>
          <w:color w:val="0F172A"/>
          <w:sz w:val="28"/>
        </w:rPr>
        <w:t>Proposal Option 1: Casual, Family &amp; Edutainment Gaming Ecosystem</w:t>
      </w:r>
    </w:p>
    <w:p>
      <w:pPr>
        <w:spacing w:before="120" w:after="720"/>
      </w:pPr>
      <w:r>
        <w:rPr>
          <w:rFonts w:ascii="Arial" w:hAnsi="Arial"/>
          <w:i/>
          <w:color w:val="475569"/>
          <w:sz w:val="21"/>
        </w:rPr>
        <w:t>A turnkey, zero-install HTML5 digital entertainment platform engineered for mass-market accessibility, cultural resonance, family-safe edutainment, and high-frequency telebirr micro-transactions.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96"/>
        <w:gridCol w:w="4896"/>
      </w:tblGrid>
      <w:tr>
        <w:trPr>
          <w:tblHeader/>
        </w:trPr>
        <w:tc>
          <w:tcPr>
            <w:tcW w:type="dxa" w:w="3456"/>
            <w:shd w:fill="0A78BE"/>
            <w:tcMar>
              <w:top w:w="140" w:type="dxa"/>
              <w:bottom w:w="140" w:type="dxa"/>
              <w:left w:w="150" w:type="dxa"/>
              <w:right w:w="150" w:type="dxa"/>
            </w:tcMar>
          </w:tcPr>
          <w:p>
            <w:pPr>
              <w:spacing w:before="0" w:after="0"/>
              <w:jc w:val="left"/>
            </w:pPr>
            <w:r>
              <w:rPr>
                <w:rFonts w:ascii="Arial" w:hAnsi="Arial"/>
                <w:b/>
                <w:color w:val="FFFFFF"/>
                <w:sz w:val="19"/>
              </w:rPr>
              <w:t>Document Parameter</w:t>
            </w:r>
          </w:p>
        </w:tc>
        <w:tc>
          <w:tcPr>
            <w:tcW w:type="dxa" w:w="6336"/>
            <w:shd w:fill="0A78BE"/>
            <w:tcMar>
              <w:top w:w="140" w:type="dxa"/>
              <w:bottom w:w="140" w:type="dxa"/>
              <w:left w:w="150" w:type="dxa"/>
              <w:right w:w="150" w:type="dxa"/>
            </w:tcMar>
          </w:tcPr>
          <w:p>
            <w:pPr>
              <w:spacing w:before="0" w:after="0"/>
              <w:jc w:val="left"/>
            </w:pPr>
            <w:r>
              <w:rPr>
                <w:rFonts w:ascii="Arial" w:hAnsi="Arial"/>
                <w:b/>
                <w:color w:val="FFFFFF"/>
                <w:sz w:val="19"/>
              </w:rPr>
              <w:t>Submission Detail</w:t>
            </w:r>
          </w:p>
        </w:tc>
      </w:tr>
      <w:tr>
        <w:tc>
          <w:tcPr>
            <w:tcW w:type="dxa" w:w="3456"/>
            <w:tcMar>
              <w:top w:w="100" w:type="dxa"/>
              <w:bottom w:w="100" w:type="dxa"/>
              <w:left w:w="140" w:type="dxa"/>
              <w:right w:w="140" w:type="dxa"/>
            </w:tcMar>
          </w:tcPr>
          <w:p>
            <w:pPr>
              <w:spacing w:before="0" w:after="0" w:line="276" w:lineRule="auto"/>
              <w:jc w:val="left"/>
            </w:pPr>
            <w:r>
              <w:rPr>
                <w:rFonts w:ascii="Arial" w:hAnsi="Arial"/>
                <w:color w:val="1E293B"/>
                <w:sz w:val="18"/>
              </w:rPr>
              <w:t>Applicant Entity</w:t>
            </w:r>
          </w:p>
        </w:tc>
        <w:tc>
          <w:tcPr>
            <w:tcW w:type="dxa" w:w="6336"/>
            <w:tcMar>
              <w:top w:w="100" w:type="dxa"/>
              <w:bottom w:w="100" w:type="dxa"/>
              <w:left w:w="140" w:type="dxa"/>
              <w:right w:w="140" w:type="dxa"/>
            </w:tcMar>
          </w:tcPr>
          <w:p>
            <w:pPr>
              <w:spacing w:before="0" w:after="0" w:line="276" w:lineRule="auto"/>
              <w:jc w:val="left"/>
            </w:pPr>
            <w:r>
              <w:rPr>
                <w:rFonts w:ascii="Arial" w:hAnsi="Arial"/>
                <w:color w:val="1E293B"/>
                <w:sz w:val="18"/>
              </w:rPr>
              <w:t>Go Digital Service PLC (in collaboration with InnoGames)</w:t>
            </w:r>
          </w:p>
        </w:tc>
      </w:tr>
      <w:tr>
        <w:tc>
          <w:tcPr>
            <w:tcW w:type="dxa" w:w="3456"/>
            <w:shd w:fill="F8FAFC"/>
            <w:tcMar>
              <w:top w:w="100" w:type="dxa"/>
              <w:bottom w:w="100" w:type="dxa"/>
              <w:left w:w="140" w:type="dxa"/>
              <w:right w:w="140" w:type="dxa"/>
            </w:tcMar>
          </w:tcPr>
          <w:p>
            <w:pPr>
              <w:spacing w:before="0" w:after="0" w:line="276" w:lineRule="auto"/>
              <w:jc w:val="left"/>
            </w:pPr>
            <w:r>
              <w:rPr>
                <w:rFonts w:ascii="Arial" w:hAnsi="Arial"/>
                <w:color w:val="1E293B"/>
                <w:sz w:val="18"/>
              </w:rPr>
              <w:t>Product / Brand Name</w:t>
            </w:r>
          </w:p>
        </w:tc>
        <w:tc>
          <w:tcPr>
            <w:tcW w:type="dxa" w:w="6336"/>
            <w:shd w:fill="F8FAFC"/>
            <w:tcMar>
              <w:top w:w="100" w:type="dxa"/>
              <w:bottom w:w="100" w:type="dxa"/>
              <w:left w:w="140" w:type="dxa"/>
              <w:right w:w="140" w:type="dxa"/>
            </w:tcMar>
          </w:tcPr>
          <w:p>
            <w:pPr>
              <w:spacing w:before="0" w:after="0" w:line="276" w:lineRule="auto"/>
              <w:jc w:val="left"/>
            </w:pPr>
            <w:r>
              <w:rPr>
                <w:rFonts w:ascii="Arial" w:hAnsi="Arial"/>
                <w:color w:val="1E293B"/>
                <w:sz w:val="18"/>
              </w:rPr>
              <w:t>GoPlay — telebirr Game Center Edition</w:t>
            </w:r>
          </w:p>
        </w:tc>
      </w:tr>
      <w:tr>
        <w:tc>
          <w:tcPr>
            <w:tcW w:type="dxa" w:w="3456"/>
            <w:tcMar>
              <w:top w:w="100" w:type="dxa"/>
              <w:bottom w:w="100" w:type="dxa"/>
              <w:left w:w="140" w:type="dxa"/>
              <w:right w:w="140" w:type="dxa"/>
            </w:tcMar>
          </w:tcPr>
          <w:p>
            <w:pPr>
              <w:spacing w:before="0" w:after="0" w:line="276" w:lineRule="auto"/>
              <w:jc w:val="left"/>
            </w:pPr>
            <w:r>
              <w:rPr>
                <w:rFonts w:ascii="Arial" w:hAnsi="Arial"/>
                <w:color w:val="1E293B"/>
                <w:sz w:val="18"/>
              </w:rPr>
              <w:t>Document Reference</w:t>
            </w:r>
          </w:p>
        </w:tc>
        <w:tc>
          <w:tcPr>
            <w:tcW w:type="dxa" w:w="6336"/>
            <w:tcMar>
              <w:top w:w="100" w:type="dxa"/>
              <w:bottom w:w="100" w:type="dxa"/>
              <w:left w:w="140" w:type="dxa"/>
              <w:right w:w="140" w:type="dxa"/>
            </w:tcMar>
          </w:tcPr>
          <w:p>
            <w:pPr>
              <w:spacing w:before="0" w:after="0" w:line="276" w:lineRule="auto"/>
              <w:jc w:val="left"/>
            </w:pPr>
            <w:r>
              <w:rPr>
                <w:rFonts w:ascii="Arial" w:hAnsi="Arial"/>
                <w:color w:val="1E293B"/>
                <w:sz w:val="18"/>
              </w:rPr>
              <w:t>ET/VAS-TB/2026/GOPLAY-OPT1-CASUAL</w:t>
            </w:r>
          </w:p>
        </w:tc>
      </w:tr>
      <w:tr>
        <w:tc>
          <w:tcPr>
            <w:tcW w:type="dxa" w:w="3456"/>
            <w:shd w:fill="F8FAFC"/>
            <w:tcMar>
              <w:top w:w="100" w:type="dxa"/>
              <w:bottom w:w="100" w:type="dxa"/>
              <w:left w:w="140" w:type="dxa"/>
              <w:right w:w="140" w:type="dxa"/>
            </w:tcMar>
          </w:tcPr>
          <w:p>
            <w:pPr>
              <w:spacing w:before="0" w:after="0" w:line="276" w:lineRule="auto"/>
              <w:jc w:val="left"/>
            </w:pPr>
            <w:r>
              <w:rPr>
                <w:rFonts w:ascii="Arial" w:hAnsi="Arial"/>
                <w:color w:val="1E293B"/>
                <w:sz w:val="18"/>
              </w:rPr>
              <w:t>Target Platform</w:t>
            </w:r>
          </w:p>
        </w:tc>
        <w:tc>
          <w:tcPr>
            <w:tcW w:type="dxa" w:w="6336"/>
            <w:shd w:fill="F8FAFC"/>
            <w:tcMar>
              <w:top w:w="100" w:type="dxa"/>
              <w:bottom w:w="100" w:type="dxa"/>
              <w:left w:w="140" w:type="dxa"/>
              <w:right w:w="140" w:type="dxa"/>
            </w:tcMar>
          </w:tcPr>
          <w:p>
            <w:pPr>
              <w:spacing w:before="0" w:after="0" w:line="276" w:lineRule="auto"/>
              <w:jc w:val="left"/>
            </w:pPr>
            <w:r>
              <w:rPr>
                <w:rFonts w:ascii="Arial" w:hAnsi="Arial"/>
                <w:color w:val="1E293B"/>
                <w:sz w:val="18"/>
              </w:rPr>
              <w:t>telebirr SuperApp (Macle Mini-App &amp; Responsive Webview)</w:t>
            </w:r>
          </w:p>
        </w:tc>
      </w:tr>
      <w:tr>
        <w:tc>
          <w:tcPr>
            <w:tcW w:type="dxa" w:w="3456"/>
            <w:tcMar>
              <w:top w:w="100" w:type="dxa"/>
              <w:bottom w:w="100" w:type="dxa"/>
              <w:left w:w="140" w:type="dxa"/>
              <w:right w:w="140" w:type="dxa"/>
            </w:tcMar>
          </w:tcPr>
          <w:p>
            <w:pPr>
              <w:spacing w:before="0" w:after="0" w:line="276" w:lineRule="auto"/>
              <w:jc w:val="left"/>
            </w:pPr>
            <w:r>
              <w:rPr>
                <w:rFonts w:ascii="Arial" w:hAnsi="Arial"/>
                <w:color w:val="1E293B"/>
                <w:sz w:val="18"/>
              </w:rPr>
              <w:t>Commercial Focus</w:t>
            </w:r>
          </w:p>
        </w:tc>
        <w:tc>
          <w:tcPr>
            <w:tcW w:type="dxa" w:w="6336"/>
            <w:tcMar>
              <w:top w:w="100" w:type="dxa"/>
              <w:bottom w:w="100" w:type="dxa"/>
              <w:left w:w="140" w:type="dxa"/>
              <w:right w:w="140" w:type="dxa"/>
            </w:tcMar>
          </w:tcPr>
          <w:p>
            <w:pPr>
              <w:spacing w:before="0" w:after="0" w:line="276" w:lineRule="auto"/>
              <w:jc w:val="left"/>
            </w:pPr>
            <w:r>
              <w:rPr>
                <w:rFonts w:ascii="Arial" w:hAnsi="Arial"/>
                <w:color w:val="1E293B"/>
                <w:sz w:val="18"/>
              </w:rPr>
              <w:t>Mass-Market Casual Gaming, Cultural Classics, Edutainment &amp; Logic</w:t>
            </w:r>
          </w:p>
        </w:tc>
      </w:tr>
      <w:tr>
        <w:tc>
          <w:tcPr>
            <w:tcW w:type="dxa" w:w="3456"/>
            <w:shd w:fill="F8FAFC"/>
            <w:tcMar>
              <w:top w:w="100" w:type="dxa"/>
              <w:bottom w:w="100" w:type="dxa"/>
              <w:left w:w="140" w:type="dxa"/>
              <w:right w:w="140" w:type="dxa"/>
            </w:tcMar>
          </w:tcPr>
          <w:p>
            <w:pPr>
              <w:spacing w:before="0" w:after="0" w:line="276" w:lineRule="auto"/>
              <w:jc w:val="left"/>
            </w:pPr>
            <w:r>
              <w:rPr>
                <w:rFonts w:ascii="Arial" w:hAnsi="Arial"/>
                <w:color w:val="1E293B"/>
                <w:sz w:val="18"/>
              </w:rPr>
              <w:t>Commercial Pricing Model</w:t>
            </w:r>
          </w:p>
        </w:tc>
        <w:tc>
          <w:tcPr>
            <w:tcW w:type="dxa" w:w="6336"/>
            <w:shd w:fill="F8FAFC"/>
            <w:tcMar>
              <w:top w:w="100" w:type="dxa"/>
              <w:bottom w:w="100" w:type="dxa"/>
              <w:left w:w="140" w:type="dxa"/>
              <w:right w:w="140" w:type="dxa"/>
            </w:tcMar>
          </w:tcPr>
          <w:p>
            <w:pPr>
              <w:spacing w:before="0" w:after="0" w:line="276" w:lineRule="auto"/>
              <w:jc w:val="left"/>
            </w:pPr>
            <w:r>
              <w:rPr>
                <w:rFonts w:ascii="Arial" w:hAnsi="Arial"/>
                <w:color w:val="1E293B"/>
                <w:sz w:val="18"/>
              </w:rPr>
              <w:t>Daily Pass: 3 ETB | Weekly Pass: 10 ETB | Monthly Pass: 30 ETB</w:t>
            </w:r>
          </w:p>
        </w:tc>
      </w:tr>
      <w:tr>
        <w:tc>
          <w:tcPr>
            <w:tcW w:type="dxa" w:w="3456"/>
            <w:tcMar>
              <w:top w:w="100" w:type="dxa"/>
              <w:bottom w:w="100" w:type="dxa"/>
              <w:left w:w="140" w:type="dxa"/>
              <w:right w:w="140" w:type="dxa"/>
            </w:tcMar>
          </w:tcPr>
          <w:p>
            <w:pPr>
              <w:spacing w:before="0" w:after="0" w:line="276" w:lineRule="auto"/>
              <w:jc w:val="left"/>
            </w:pPr>
            <w:r>
              <w:rPr>
                <w:rFonts w:ascii="Arial" w:hAnsi="Arial"/>
                <w:color w:val="1E293B"/>
                <w:sz w:val="18"/>
              </w:rPr>
              <w:t>Proposed Revenue Split</w:t>
            </w:r>
          </w:p>
        </w:tc>
        <w:tc>
          <w:tcPr>
            <w:tcW w:type="dxa" w:w="6336"/>
            <w:tcMar>
              <w:top w:w="100" w:type="dxa"/>
              <w:bottom w:w="100" w:type="dxa"/>
              <w:left w:w="140" w:type="dxa"/>
              <w:right w:w="140" w:type="dxa"/>
            </w:tcMar>
          </w:tcPr>
          <w:p>
            <w:pPr>
              <w:spacing w:before="0" w:after="0" w:line="276" w:lineRule="auto"/>
              <w:jc w:val="left"/>
            </w:pPr>
            <w:r>
              <w:rPr>
                <w:rFonts w:ascii="Arial" w:hAnsi="Arial"/>
                <w:color w:val="1E293B"/>
                <w:sz w:val="18"/>
              </w:rPr>
              <w:t>55% Ethio Telecom / 45% Partner (Net Collected Revenue)</w:t>
            </w:r>
          </w:p>
        </w:tc>
      </w:tr>
      <w:tr>
        <w:tc>
          <w:tcPr>
            <w:tcW w:type="dxa" w:w="3456"/>
            <w:shd w:fill="F8FAFC"/>
            <w:tcMar>
              <w:top w:w="100" w:type="dxa"/>
              <w:bottom w:w="100" w:type="dxa"/>
              <w:left w:w="140" w:type="dxa"/>
              <w:right w:w="140" w:type="dxa"/>
            </w:tcMar>
          </w:tcPr>
          <w:p>
            <w:pPr>
              <w:spacing w:before="0" w:after="0" w:line="276" w:lineRule="auto"/>
              <w:jc w:val="left"/>
            </w:pPr>
            <w:r>
              <w:rPr>
                <w:rFonts w:ascii="Arial" w:hAnsi="Arial"/>
                <w:color w:val="1E293B"/>
                <w:sz w:val="18"/>
              </w:rPr>
              <w:t>Headquarters / Domicile</w:t>
            </w:r>
          </w:p>
        </w:tc>
        <w:tc>
          <w:tcPr>
            <w:tcW w:type="dxa" w:w="6336"/>
            <w:shd w:fill="F8FAFC"/>
            <w:tcMar>
              <w:top w:w="100" w:type="dxa"/>
              <w:bottom w:w="100" w:type="dxa"/>
              <w:left w:w="140" w:type="dxa"/>
              <w:right w:w="140" w:type="dxa"/>
            </w:tcMar>
          </w:tcPr>
          <w:p>
            <w:pPr>
              <w:spacing w:before="0" w:after="0" w:line="276" w:lineRule="auto"/>
              <w:jc w:val="left"/>
            </w:pPr>
            <w:r>
              <w:rPr>
                <w:rFonts w:ascii="Arial" w:hAnsi="Arial"/>
                <w:color w:val="1E293B"/>
                <w:sz w:val="18"/>
              </w:rPr>
              <w:t>Bole Sub-City, Woreda 03, Addis Ababa, Ethiopia</w:t>
            </w:r>
          </w:p>
        </w:tc>
      </w:tr>
      <w:tr>
        <w:tc>
          <w:tcPr>
            <w:tcW w:type="dxa" w:w="3456"/>
            <w:tcMar>
              <w:top w:w="100" w:type="dxa"/>
              <w:bottom w:w="100" w:type="dxa"/>
              <w:left w:w="140" w:type="dxa"/>
              <w:right w:w="140" w:type="dxa"/>
            </w:tcMar>
          </w:tcPr>
          <w:p>
            <w:pPr>
              <w:spacing w:before="0" w:after="0" w:line="276" w:lineRule="auto"/>
              <w:jc w:val="left"/>
            </w:pPr>
            <w:r>
              <w:rPr>
                <w:rFonts w:ascii="Arial" w:hAnsi="Arial"/>
                <w:color w:val="1E293B"/>
                <w:sz w:val="18"/>
              </w:rPr>
              <w:t>Submission Date</w:t>
            </w:r>
          </w:p>
        </w:tc>
        <w:tc>
          <w:tcPr>
            <w:tcW w:type="dxa" w:w="6336"/>
            <w:tcMar>
              <w:top w:w="100" w:type="dxa"/>
              <w:bottom w:w="100" w:type="dxa"/>
              <w:left w:w="140" w:type="dxa"/>
              <w:right w:w="140" w:type="dxa"/>
            </w:tcMar>
          </w:tcPr>
          <w:p>
            <w:pPr>
              <w:spacing w:before="0" w:after="0" w:line="276" w:lineRule="auto"/>
              <w:jc w:val="left"/>
            </w:pPr>
            <w:r>
              <w:rPr>
                <w:rFonts w:ascii="Arial" w:hAnsi="Arial"/>
                <w:color w:val="1E293B"/>
                <w:sz w:val="18"/>
              </w:rPr>
              <w:t>September 2026</w:t>
            </w:r>
          </w:p>
        </w:tc>
      </w:tr>
      <w:tr>
        <w:tc>
          <w:tcPr>
            <w:tcW w:type="dxa" w:w="3456"/>
            <w:shd w:fill="F8FAFC"/>
            <w:tcMar>
              <w:top w:w="100" w:type="dxa"/>
              <w:bottom w:w="100" w:type="dxa"/>
              <w:left w:w="140" w:type="dxa"/>
              <w:right w:w="140" w:type="dxa"/>
            </w:tcMar>
          </w:tcPr>
          <w:p>
            <w:pPr>
              <w:spacing w:before="0" w:after="0" w:line="276" w:lineRule="auto"/>
              <w:jc w:val="left"/>
            </w:pPr>
            <w:r>
              <w:rPr>
                <w:rFonts w:ascii="Arial" w:hAnsi="Arial"/>
                <w:color w:val="1E293B"/>
                <w:sz w:val="18"/>
              </w:rPr>
              <w:t>Classification</w:t>
            </w:r>
          </w:p>
        </w:tc>
        <w:tc>
          <w:tcPr>
            <w:tcW w:type="dxa" w:w="6336"/>
            <w:shd w:fill="F8FAFC"/>
            <w:tcMar>
              <w:top w:w="100" w:type="dxa"/>
              <w:bottom w:w="100" w:type="dxa"/>
              <w:left w:w="140" w:type="dxa"/>
              <w:right w:w="140" w:type="dxa"/>
            </w:tcMar>
          </w:tcPr>
          <w:p>
            <w:pPr>
              <w:spacing w:before="0" w:after="0" w:line="276" w:lineRule="auto"/>
              <w:jc w:val="left"/>
            </w:pPr>
            <w:r>
              <w:rPr>
                <w:rFonts w:ascii="Arial" w:hAnsi="Arial"/>
                <w:color w:val="1E293B"/>
                <w:sz w:val="18"/>
              </w:rPr>
              <w:t>STRICTLY CONFIDENTIAL — PROPRIETARY TENDER PROPOSAL</w:t>
            </w:r>
          </w:p>
        </w:tc>
      </w:tr>
    </w:tbl>
    <w:p>
      <w:pPr>
        <w:spacing w:after="120"/>
      </w:pPr>
    </w:p>
    <w:p>
      <w:r>
        <w:br w:type="page"/>
      </w:r>
    </w:p>
    <w:p>
      <w:pPr>
        <w:keepNext/>
        <w:spacing w:before="360" w:after="120"/>
      </w:pPr>
      <w:r>
        <w:rPr>
          <w:rFonts w:ascii="Arial" w:hAnsi="Arial"/>
          <w:b/>
          <w:color w:val="0A78BE"/>
          <w:sz w:val="30"/>
        </w:rPr>
        <w:t>Table of Contents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64"/>
        <w:gridCol w:w="3264"/>
        <w:gridCol w:w="3264"/>
      </w:tblGrid>
      <w:tr>
        <w:trPr>
          <w:tblHeader/>
        </w:trPr>
        <w:tc>
          <w:tcPr>
            <w:tcW w:type="dxa" w:w="4032"/>
            <w:shd w:fill="0A78BE"/>
            <w:tcMar>
              <w:top w:w="140" w:type="dxa"/>
              <w:bottom w:w="140" w:type="dxa"/>
              <w:left w:w="150" w:type="dxa"/>
              <w:right w:w="150" w:type="dxa"/>
            </w:tcMar>
          </w:tcPr>
          <w:p>
            <w:pPr>
              <w:spacing w:before="0" w:after="0"/>
              <w:jc w:val="left"/>
            </w:pPr>
            <w:r>
              <w:rPr>
                <w:rFonts w:ascii="Arial" w:hAnsi="Arial"/>
                <w:b/>
                <w:color w:val="FFFFFF"/>
                <w:sz w:val="19"/>
              </w:rPr>
              <w:t>Section Number &amp; Title</w:t>
            </w:r>
          </w:p>
        </w:tc>
        <w:tc>
          <w:tcPr>
            <w:tcW w:type="dxa" w:w="4896"/>
            <w:shd w:fill="0A78BE"/>
            <w:tcMar>
              <w:top w:w="140" w:type="dxa"/>
              <w:bottom w:w="140" w:type="dxa"/>
              <w:left w:w="150" w:type="dxa"/>
              <w:right w:w="150" w:type="dxa"/>
            </w:tcMar>
          </w:tcPr>
          <w:p>
            <w:pPr>
              <w:spacing w:before="0" w:after="0"/>
              <w:jc w:val="left"/>
            </w:pPr>
            <w:r>
              <w:rPr>
                <w:rFonts w:ascii="Arial" w:hAnsi="Arial"/>
                <w:b/>
                <w:color w:val="FFFFFF"/>
                <w:sz w:val="19"/>
              </w:rPr>
              <w:t>Coverage Scope</w:t>
            </w:r>
          </w:p>
        </w:tc>
        <w:tc>
          <w:tcPr>
            <w:tcW w:type="dxa" w:w="864"/>
            <w:shd w:fill="0A78BE"/>
            <w:tcMar>
              <w:top w:w="140" w:type="dxa"/>
              <w:bottom w:w="140" w:type="dxa"/>
              <w:left w:w="150" w:type="dxa"/>
              <w:right w:w="150" w:type="dxa"/>
            </w:tcMar>
          </w:tcPr>
          <w:p>
            <w:pPr>
              <w:spacing w:before="0" w:after="0"/>
              <w:jc w:val="left"/>
            </w:pPr>
            <w:r>
              <w:rPr>
                <w:rFonts w:ascii="Arial" w:hAnsi="Arial"/>
                <w:b/>
                <w:color w:val="FFFFFF"/>
                <w:sz w:val="19"/>
              </w:rPr>
              <w:t>Page</w:t>
            </w:r>
          </w:p>
        </w:tc>
      </w:tr>
      <w:tr>
        <w:tc>
          <w:tcPr>
            <w:tcW w:type="dxa" w:w="4032"/>
            <w:tcMar>
              <w:top w:w="100" w:type="dxa"/>
              <w:bottom w:w="100" w:type="dxa"/>
              <w:left w:w="140" w:type="dxa"/>
              <w:right w:w="140" w:type="dxa"/>
            </w:tcMar>
          </w:tcPr>
          <w:p>
            <w:pPr>
              <w:spacing w:before="0" w:after="0" w:line="276" w:lineRule="auto"/>
              <w:jc w:val="left"/>
            </w:pPr>
            <w:r>
              <w:rPr>
                <w:rFonts w:ascii="Arial" w:hAnsi="Arial"/>
                <w:color w:val="1E293B"/>
                <w:sz w:val="18"/>
              </w:rPr>
              <w:t>1. Executive Summary</w:t>
            </w:r>
          </w:p>
        </w:tc>
        <w:tc>
          <w:tcPr>
            <w:tcW w:type="dxa" w:w="4896"/>
            <w:tcMar>
              <w:top w:w="100" w:type="dxa"/>
              <w:bottom w:w="100" w:type="dxa"/>
              <w:left w:w="140" w:type="dxa"/>
              <w:right w:w="140" w:type="dxa"/>
            </w:tcMar>
          </w:tcPr>
          <w:p>
            <w:pPr>
              <w:spacing w:before="0" w:after="0" w:line="276" w:lineRule="auto"/>
              <w:jc w:val="left"/>
            </w:pPr>
            <w:r>
              <w:rPr>
                <w:rFonts w:ascii="Arial" w:hAnsi="Arial"/>
                <w:color w:val="1E293B"/>
                <w:sz w:val="18"/>
              </w:rPr>
              <w:t>High-level strategic alignment with telebirr ecosystem</w:t>
            </w:r>
          </w:p>
        </w:tc>
        <w:tc>
          <w:tcPr>
            <w:tcW w:type="dxa" w:w="864"/>
            <w:tcMar>
              <w:top w:w="100" w:type="dxa"/>
              <w:bottom w:w="100" w:type="dxa"/>
              <w:left w:w="140" w:type="dxa"/>
              <w:right w:w="140" w:type="dxa"/>
            </w:tcMar>
          </w:tcPr>
          <w:p>
            <w:pPr>
              <w:spacing w:before="0" w:after="0" w:line="276" w:lineRule="auto"/>
              <w:jc w:val="left"/>
            </w:pPr>
            <w:r>
              <w:rPr>
                <w:rFonts w:ascii="Arial" w:hAnsi="Arial"/>
                <w:color w:val="1E293B"/>
                <w:sz w:val="18"/>
              </w:rPr>
              <w:t>3</w:t>
            </w:r>
          </w:p>
        </w:tc>
      </w:tr>
      <w:tr>
        <w:tc>
          <w:tcPr>
            <w:tcW w:type="dxa" w:w="4032"/>
            <w:shd w:fill="F8FAFC"/>
            <w:tcMar>
              <w:top w:w="100" w:type="dxa"/>
              <w:bottom w:w="100" w:type="dxa"/>
              <w:left w:w="140" w:type="dxa"/>
              <w:right w:w="140" w:type="dxa"/>
            </w:tcMar>
          </w:tcPr>
          <w:p>
            <w:pPr>
              <w:spacing w:before="0" w:after="0" w:line="276" w:lineRule="auto"/>
              <w:jc w:val="left"/>
            </w:pPr>
            <w:r>
              <w:rPr>
                <w:rFonts w:ascii="Arial" w:hAnsi="Arial"/>
                <w:color w:val="1E293B"/>
                <w:sz w:val="18"/>
              </w:rPr>
              <w:t>2. Company Profile &amp; Experience</w:t>
            </w:r>
          </w:p>
        </w:tc>
        <w:tc>
          <w:tcPr>
            <w:tcW w:type="dxa" w:w="4896"/>
            <w:shd w:fill="F8FAFC"/>
            <w:tcMar>
              <w:top w:w="100" w:type="dxa"/>
              <w:bottom w:w="100" w:type="dxa"/>
              <w:left w:w="140" w:type="dxa"/>
              <w:right w:w="140" w:type="dxa"/>
            </w:tcMar>
          </w:tcPr>
          <w:p>
            <w:pPr>
              <w:spacing w:before="0" w:after="0" w:line="276" w:lineRule="auto"/>
              <w:jc w:val="left"/>
            </w:pPr>
            <w:r>
              <w:rPr>
                <w:rFonts w:ascii="Arial" w:hAnsi="Arial"/>
                <w:color w:val="1E293B"/>
                <w:sz w:val="18"/>
              </w:rPr>
              <w:t>Go Digital Service PLC background, qualifications &amp; team</w:t>
            </w:r>
          </w:p>
        </w:tc>
        <w:tc>
          <w:tcPr>
            <w:tcW w:type="dxa" w:w="864"/>
            <w:shd w:fill="F8FAFC"/>
            <w:tcMar>
              <w:top w:w="100" w:type="dxa"/>
              <w:bottom w:w="100" w:type="dxa"/>
              <w:left w:w="140" w:type="dxa"/>
              <w:right w:w="140" w:type="dxa"/>
            </w:tcMar>
          </w:tcPr>
          <w:p>
            <w:pPr>
              <w:spacing w:before="0" w:after="0" w:line="276" w:lineRule="auto"/>
              <w:jc w:val="left"/>
            </w:pPr>
            <w:r>
              <w:rPr>
                <w:rFonts w:ascii="Arial" w:hAnsi="Arial"/>
                <w:color w:val="1E293B"/>
                <w:sz w:val="18"/>
              </w:rPr>
              <w:t>4</w:t>
            </w:r>
          </w:p>
        </w:tc>
      </w:tr>
      <w:tr>
        <w:tc>
          <w:tcPr>
            <w:tcW w:type="dxa" w:w="4032"/>
            <w:tcMar>
              <w:top w:w="100" w:type="dxa"/>
              <w:bottom w:w="100" w:type="dxa"/>
              <w:left w:w="140" w:type="dxa"/>
              <w:right w:w="140" w:type="dxa"/>
            </w:tcMar>
          </w:tcPr>
          <w:p>
            <w:pPr>
              <w:spacing w:before="0" w:after="0" w:line="276" w:lineRule="auto"/>
              <w:jc w:val="left"/>
            </w:pPr>
            <w:r>
              <w:rPr>
                <w:rFonts w:ascii="Arial" w:hAnsi="Arial"/>
                <w:color w:val="1E293B"/>
                <w:sz w:val="18"/>
              </w:rPr>
              <w:t>3. Proposed GoPlay Gaming Ecosystem</w:t>
            </w:r>
          </w:p>
        </w:tc>
        <w:tc>
          <w:tcPr>
            <w:tcW w:type="dxa" w:w="4896"/>
            <w:tcMar>
              <w:top w:w="100" w:type="dxa"/>
              <w:bottom w:w="100" w:type="dxa"/>
              <w:left w:w="140" w:type="dxa"/>
              <w:right w:w="140" w:type="dxa"/>
            </w:tcMar>
          </w:tcPr>
          <w:p>
            <w:pPr>
              <w:spacing w:before="0" w:after="0" w:line="276" w:lineRule="auto"/>
              <w:jc w:val="left"/>
            </w:pPr>
            <w:r>
              <w:rPr>
                <w:rFonts w:ascii="Arial" w:hAnsi="Arial"/>
                <w:color w:val="1E293B"/>
                <w:sz w:val="18"/>
              </w:rPr>
              <w:t>Zero-install HTML5/WebGL architecture &amp; full catalog</w:t>
            </w:r>
          </w:p>
        </w:tc>
        <w:tc>
          <w:tcPr>
            <w:tcW w:type="dxa" w:w="864"/>
            <w:tcMar>
              <w:top w:w="100" w:type="dxa"/>
              <w:bottom w:w="100" w:type="dxa"/>
              <w:left w:w="140" w:type="dxa"/>
              <w:right w:w="140" w:type="dxa"/>
            </w:tcMar>
          </w:tcPr>
          <w:p>
            <w:pPr>
              <w:spacing w:before="0" w:after="0" w:line="276" w:lineRule="auto"/>
              <w:jc w:val="left"/>
            </w:pPr>
            <w:r>
              <w:rPr>
                <w:rFonts w:ascii="Arial" w:hAnsi="Arial"/>
                <w:color w:val="1E293B"/>
                <w:sz w:val="18"/>
              </w:rPr>
              <w:t>5</w:t>
            </w:r>
          </w:p>
        </w:tc>
      </w:tr>
      <w:tr>
        <w:tc>
          <w:tcPr>
            <w:tcW w:type="dxa" w:w="4032"/>
            <w:shd w:fill="F8FAFC"/>
            <w:tcMar>
              <w:top w:w="100" w:type="dxa"/>
              <w:bottom w:w="100" w:type="dxa"/>
              <w:left w:w="140" w:type="dxa"/>
              <w:right w:w="140" w:type="dxa"/>
            </w:tcMar>
          </w:tcPr>
          <w:p>
            <w:pPr>
              <w:spacing w:before="0" w:after="0" w:line="276" w:lineRule="auto"/>
              <w:jc w:val="left"/>
            </w:pPr>
            <w:r>
              <w:rPr>
                <w:rFonts w:ascii="Arial" w:hAnsi="Arial"/>
                <w:color w:val="1E293B"/>
                <w:sz w:val="18"/>
              </w:rPr>
              <w:t>4. In-Depth Sample Games Spotlight</w:t>
            </w:r>
          </w:p>
        </w:tc>
        <w:tc>
          <w:tcPr>
            <w:tcW w:type="dxa" w:w="4896"/>
            <w:shd w:fill="F8FAFC"/>
            <w:tcMar>
              <w:top w:w="100" w:type="dxa"/>
              <w:bottom w:w="100" w:type="dxa"/>
              <w:left w:w="140" w:type="dxa"/>
              <w:right w:w="140" w:type="dxa"/>
            </w:tcMar>
          </w:tcPr>
          <w:p>
            <w:pPr>
              <w:spacing w:before="0" w:after="0" w:line="276" w:lineRule="auto"/>
              <w:jc w:val="left"/>
            </w:pPr>
            <w:r>
              <w:rPr>
                <w:rFonts w:ascii="Arial" w:hAnsi="Arial"/>
                <w:color w:val="1E293B"/>
                <w:sz w:val="18"/>
              </w:rPr>
              <w:t>Featured game profiles, customer journeys &amp; value propositions</w:t>
            </w:r>
          </w:p>
        </w:tc>
        <w:tc>
          <w:tcPr>
            <w:tcW w:type="dxa" w:w="864"/>
            <w:shd w:fill="F8FAFC"/>
            <w:tcMar>
              <w:top w:w="100" w:type="dxa"/>
              <w:bottom w:w="100" w:type="dxa"/>
              <w:left w:w="140" w:type="dxa"/>
              <w:right w:w="140" w:type="dxa"/>
            </w:tcMar>
          </w:tcPr>
          <w:p>
            <w:pPr>
              <w:spacing w:before="0" w:after="0" w:line="276" w:lineRule="auto"/>
              <w:jc w:val="left"/>
            </w:pPr>
            <w:r>
              <w:rPr>
                <w:rFonts w:ascii="Arial" w:hAnsi="Arial"/>
                <w:color w:val="1E293B"/>
                <w:sz w:val="18"/>
              </w:rPr>
              <w:t>7</w:t>
            </w:r>
          </w:p>
        </w:tc>
      </w:tr>
      <w:tr>
        <w:tc>
          <w:tcPr>
            <w:tcW w:type="dxa" w:w="4032"/>
            <w:tcMar>
              <w:top w:w="100" w:type="dxa"/>
              <w:bottom w:w="100" w:type="dxa"/>
              <w:left w:w="140" w:type="dxa"/>
              <w:right w:w="140" w:type="dxa"/>
            </w:tcMar>
          </w:tcPr>
          <w:p>
            <w:pPr>
              <w:spacing w:before="0" w:after="0" w:line="276" w:lineRule="auto"/>
              <w:jc w:val="left"/>
            </w:pPr>
            <w:r>
              <w:rPr>
                <w:rFonts w:ascii="Arial" w:hAnsi="Arial"/>
                <w:color w:val="1E293B"/>
                <w:sz w:val="18"/>
              </w:rPr>
              <w:t>5. Business and Revenue Model</w:t>
            </w:r>
          </w:p>
        </w:tc>
        <w:tc>
          <w:tcPr>
            <w:tcW w:type="dxa" w:w="4896"/>
            <w:tcMar>
              <w:top w:w="100" w:type="dxa"/>
              <w:bottom w:w="100" w:type="dxa"/>
              <w:left w:w="140" w:type="dxa"/>
              <w:right w:w="140" w:type="dxa"/>
            </w:tcMar>
          </w:tcPr>
          <w:p>
            <w:pPr>
              <w:spacing w:before="0" w:after="0" w:line="276" w:lineRule="auto"/>
              <w:jc w:val="left"/>
            </w:pPr>
            <w:r>
              <w:rPr>
                <w:rFonts w:ascii="Arial" w:hAnsi="Arial"/>
                <w:color w:val="1E293B"/>
                <w:sz w:val="18"/>
              </w:rPr>
              <w:t>Mass-market subscription pricing, microtransactions &amp; 1-year projections</w:t>
            </w:r>
          </w:p>
        </w:tc>
        <w:tc>
          <w:tcPr>
            <w:tcW w:type="dxa" w:w="864"/>
            <w:tcMar>
              <w:top w:w="100" w:type="dxa"/>
              <w:bottom w:w="100" w:type="dxa"/>
              <w:left w:w="140" w:type="dxa"/>
              <w:right w:w="140" w:type="dxa"/>
            </w:tcMar>
          </w:tcPr>
          <w:p>
            <w:pPr>
              <w:spacing w:before="0" w:after="0" w:line="276" w:lineRule="auto"/>
              <w:jc w:val="left"/>
            </w:pPr>
            <w:r>
              <w:rPr>
                <w:rFonts w:ascii="Arial" w:hAnsi="Arial"/>
                <w:color w:val="1E293B"/>
                <w:sz w:val="18"/>
              </w:rPr>
              <w:t>13</w:t>
            </w:r>
          </w:p>
        </w:tc>
      </w:tr>
      <w:tr>
        <w:tc>
          <w:tcPr>
            <w:tcW w:type="dxa" w:w="4032"/>
            <w:shd w:fill="F8FAFC"/>
            <w:tcMar>
              <w:top w:w="100" w:type="dxa"/>
              <w:bottom w:w="100" w:type="dxa"/>
              <w:left w:w="140" w:type="dxa"/>
              <w:right w:w="140" w:type="dxa"/>
            </w:tcMar>
          </w:tcPr>
          <w:p>
            <w:pPr>
              <w:spacing w:before="0" w:after="0" w:line="276" w:lineRule="auto"/>
              <w:jc w:val="left"/>
            </w:pPr>
            <w:r>
              <w:rPr>
                <w:rFonts w:ascii="Arial" w:hAnsi="Arial"/>
                <w:color w:val="1E293B"/>
                <w:sz w:val="18"/>
              </w:rPr>
              <w:t>6. Technical Integration Architecture</w:t>
            </w:r>
          </w:p>
        </w:tc>
        <w:tc>
          <w:tcPr>
            <w:tcW w:type="dxa" w:w="4896"/>
            <w:shd w:fill="F8FAFC"/>
            <w:tcMar>
              <w:top w:w="100" w:type="dxa"/>
              <w:bottom w:w="100" w:type="dxa"/>
              <w:left w:w="140" w:type="dxa"/>
              <w:right w:w="140" w:type="dxa"/>
            </w:tcMar>
          </w:tcPr>
          <w:p>
            <w:pPr>
              <w:spacing w:before="0" w:after="0" w:line="276" w:lineRule="auto"/>
              <w:jc w:val="left"/>
            </w:pPr>
            <w:r>
              <w:rPr>
                <w:rFonts w:ascii="Arial" w:hAnsi="Arial"/>
                <w:color w:val="1E293B"/>
                <w:sz w:val="18"/>
              </w:rPr>
              <w:t>Channel readiness, Macle Mini-App, APIs &amp; staging lab</w:t>
            </w:r>
          </w:p>
        </w:tc>
        <w:tc>
          <w:tcPr>
            <w:tcW w:type="dxa" w:w="864"/>
            <w:shd w:fill="F8FAFC"/>
            <w:tcMar>
              <w:top w:w="100" w:type="dxa"/>
              <w:bottom w:w="100" w:type="dxa"/>
              <w:left w:w="140" w:type="dxa"/>
              <w:right w:w="140" w:type="dxa"/>
            </w:tcMar>
          </w:tcPr>
          <w:p>
            <w:pPr>
              <w:spacing w:before="0" w:after="0" w:line="276" w:lineRule="auto"/>
              <w:jc w:val="left"/>
            </w:pPr>
            <w:r>
              <w:rPr>
                <w:rFonts w:ascii="Arial" w:hAnsi="Arial"/>
                <w:color w:val="1E293B"/>
                <w:sz w:val="18"/>
              </w:rPr>
              <w:t>15</w:t>
            </w:r>
          </w:p>
        </w:tc>
      </w:tr>
      <w:tr>
        <w:tc>
          <w:tcPr>
            <w:tcW w:type="dxa" w:w="4032"/>
            <w:tcMar>
              <w:top w:w="100" w:type="dxa"/>
              <w:bottom w:w="100" w:type="dxa"/>
              <w:left w:w="140" w:type="dxa"/>
              <w:right w:w="140" w:type="dxa"/>
            </w:tcMar>
          </w:tcPr>
          <w:p>
            <w:pPr>
              <w:spacing w:before="0" w:after="0" w:line="276" w:lineRule="auto"/>
              <w:jc w:val="left"/>
            </w:pPr>
            <w:r>
              <w:rPr>
                <w:rFonts w:ascii="Arial" w:hAnsi="Arial"/>
                <w:color w:val="1E293B"/>
                <w:sz w:val="18"/>
              </w:rPr>
              <w:t>7. Testing &amp; Quality Assurance</w:t>
            </w:r>
          </w:p>
        </w:tc>
        <w:tc>
          <w:tcPr>
            <w:tcW w:type="dxa" w:w="4896"/>
            <w:tcMar>
              <w:top w:w="100" w:type="dxa"/>
              <w:bottom w:w="100" w:type="dxa"/>
              <w:left w:w="140" w:type="dxa"/>
              <w:right w:w="140" w:type="dxa"/>
            </w:tcMar>
          </w:tcPr>
          <w:p>
            <w:pPr>
              <w:spacing w:before="0" w:after="0" w:line="276" w:lineRule="auto"/>
              <w:jc w:val="left"/>
            </w:pPr>
            <w:r>
              <w:rPr>
                <w:rFonts w:ascii="Arial" w:hAnsi="Arial"/>
                <w:color w:val="1E293B"/>
                <w:sz w:val="18"/>
              </w:rPr>
              <w:t>5-stage testing framework, SLA verification &amp; continuous updates</w:t>
            </w:r>
          </w:p>
        </w:tc>
        <w:tc>
          <w:tcPr>
            <w:tcW w:type="dxa" w:w="864"/>
            <w:tcMar>
              <w:top w:w="100" w:type="dxa"/>
              <w:bottom w:w="100" w:type="dxa"/>
              <w:left w:w="140" w:type="dxa"/>
              <w:right w:w="140" w:type="dxa"/>
            </w:tcMar>
          </w:tcPr>
          <w:p>
            <w:pPr>
              <w:spacing w:before="0" w:after="0" w:line="276" w:lineRule="auto"/>
              <w:jc w:val="left"/>
            </w:pPr>
            <w:r>
              <w:rPr>
                <w:rFonts w:ascii="Arial" w:hAnsi="Arial"/>
                <w:color w:val="1E293B"/>
                <w:sz w:val="18"/>
              </w:rPr>
              <w:t>17</w:t>
            </w:r>
          </w:p>
        </w:tc>
      </w:tr>
      <w:tr>
        <w:tc>
          <w:tcPr>
            <w:tcW w:type="dxa" w:w="4032"/>
            <w:shd w:fill="F8FAFC"/>
            <w:tcMar>
              <w:top w:w="100" w:type="dxa"/>
              <w:bottom w:w="100" w:type="dxa"/>
              <w:left w:w="140" w:type="dxa"/>
              <w:right w:w="140" w:type="dxa"/>
            </w:tcMar>
          </w:tcPr>
          <w:p>
            <w:pPr>
              <w:spacing w:before="0" w:after="0" w:line="276" w:lineRule="auto"/>
              <w:jc w:val="left"/>
            </w:pPr>
            <w:r>
              <w:rPr>
                <w:rFonts w:ascii="Arial" w:hAnsi="Arial"/>
                <w:color w:val="1E293B"/>
                <w:sz w:val="18"/>
              </w:rPr>
              <w:t>8. Service Level Agreement &amp; Maintenance</w:t>
            </w:r>
          </w:p>
        </w:tc>
        <w:tc>
          <w:tcPr>
            <w:tcW w:type="dxa" w:w="4896"/>
            <w:shd w:fill="F8FAFC"/>
            <w:tcMar>
              <w:top w:w="100" w:type="dxa"/>
              <w:bottom w:w="100" w:type="dxa"/>
              <w:left w:w="140" w:type="dxa"/>
              <w:right w:w="140" w:type="dxa"/>
            </w:tcMar>
          </w:tcPr>
          <w:p>
            <w:pPr>
              <w:spacing w:before="0" w:after="0" w:line="276" w:lineRule="auto"/>
              <w:jc w:val="left"/>
            </w:pPr>
            <w:r>
              <w:rPr>
                <w:rFonts w:ascii="Arial" w:hAnsi="Arial"/>
                <w:color w:val="1E293B"/>
                <w:sz w:val="18"/>
              </w:rPr>
              <w:t>99.9% uptime SLA, P1–P4 escalation &amp; 994 call center CRM</w:t>
            </w:r>
          </w:p>
        </w:tc>
        <w:tc>
          <w:tcPr>
            <w:tcW w:type="dxa" w:w="864"/>
            <w:shd w:fill="F8FAFC"/>
            <w:tcMar>
              <w:top w:w="100" w:type="dxa"/>
              <w:bottom w:w="100" w:type="dxa"/>
              <w:left w:w="140" w:type="dxa"/>
              <w:right w:w="140" w:type="dxa"/>
            </w:tcMar>
          </w:tcPr>
          <w:p>
            <w:pPr>
              <w:spacing w:before="0" w:after="0" w:line="276" w:lineRule="auto"/>
              <w:jc w:val="left"/>
            </w:pPr>
            <w:r>
              <w:rPr>
                <w:rFonts w:ascii="Arial" w:hAnsi="Arial"/>
                <w:color w:val="1E293B"/>
                <w:sz w:val="18"/>
              </w:rPr>
              <w:t>19</w:t>
            </w:r>
          </w:p>
        </w:tc>
      </w:tr>
      <w:tr>
        <w:tc>
          <w:tcPr>
            <w:tcW w:type="dxa" w:w="4032"/>
            <w:tcMar>
              <w:top w:w="100" w:type="dxa"/>
              <w:bottom w:w="100" w:type="dxa"/>
              <w:left w:w="140" w:type="dxa"/>
              <w:right w:w="140" w:type="dxa"/>
            </w:tcMar>
          </w:tcPr>
          <w:p>
            <w:pPr>
              <w:spacing w:before="0" w:after="0" w:line="276" w:lineRule="auto"/>
              <w:jc w:val="left"/>
            </w:pPr>
            <w:r>
              <w:rPr>
                <w:rFonts w:ascii="Arial" w:hAnsi="Arial"/>
                <w:color w:val="1E293B"/>
                <w:sz w:val="18"/>
              </w:rPr>
              <w:t>9. Marketing &amp; User Acquisition Plan</w:t>
            </w:r>
          </w:p>
        </w:tc>
        <w:tc>
          <w:tcPr>
            <w:tcW w:type="dxa" w:w="4896"/>
            <w:tcMar>
              <w:top w:w="100" w:type="dxa"/>
              <w:bottom w:w="100" w:type="dxa"/>
              <w:left w:w="140" w:type="dxa"/>
              <w:right w:w="140" w:type="dxa"/>
            </w:tcMar>
          </w:tcPr>
          <w:p>
            <w:pPr>
              <w:spacing w:before="0" w:after="0" w:line="276" w:lineRule="auto"/>
              <w:jc w:val="left"/>
            </w:pPr>
            <w:r>
              <w:rPr>
                <w:rFonts w:ascii="Arial" w:hAnsi="Arial"/>
                <w:color w:val="1E293B"/>
                <w:sz w:val="18"/>
              </w:rPr>
              <w:t>Joint promotion, SMS/USSD push, data bundles &amp; responsibility matrix</w:t>
            </w:r>
          </w:p>
        </w:tc>
        <w:tc>
          <w:tcPr>
            <w:tcW w:type="dxa" w:w="864"/>
            <w:tcMar>
              <w:top w:w="100" w:type="dxa"/>
              <w:bottom w:w="100" w:type="dxa"/>
              <w:left w:w="140" w:type="dxa"/>
              <w:right w:w="140" w:type="dxa"/>
            </w:tcMar>
          </w:tcPr>
          <w:p>
            <w:pPr>
              <w:spacing w:before="0" w:after="0" w:line="276" w:lineRule="auto"/>
              <w:jc w:val="left"/>
            </w:pPr>
            <w:r>
              <w:rPr>
                <w:rFonts w:ascii="Arial" w:hAnsi="Arial"/>
                <w:color w:val="1E293B"/>
                <w:sz w:val="18"/>
              </w:rPr>
              <w:t>20</w:t>
            </w:r>
          </w:p>
        </w:tc>
      </w:tr>
      <w:tr>
        <w:tc>
          <w:tcPr>
            <w:tcW w:type="dxa" w:w="4032"/>
            <w:shd w:fill="F8FAFC"/>
            <w:tcMar>
              <w:top w:w="100" w:type="dxa"/>
              <w:bottom w:w="100" w:type="dxa"/>
              <w:left w:w="140" w:type="dxa"/>
              <w:right w:w="140" w:type="dxa"/>
            </w:tcMar>
          </w:tcPr>
          <w:p>
            <w:pPr>
              <w:spacing w:before="0" w:after="0" w:line="276" w:lineRule="auto"/>
              <w:jc w:val="left"/>
            </w:pPr>
            <w:r>
              <w:rPr>
                <w:rFonts w:ascii="Arial" w:hAnsi="Arial"/>
                <w:color w:val="1E293B"/>
                <w:sz w:val="18"/>
              </w:rPr>
              <w:t>10. Mandatory Security &amp; Compliance Matrix</w:t>
            </w:r>
          </w:p>
        </w:tc>
        <w:tc>
          <w:tcPr>
            <w:tcW w:type="dxa" w:w="4896"/>
            <w:shd w:fill="F8FAFC"/>
            <w:tcMar>
              <w:top w:w="100" w:type="dxa"/>
              <w:bottom w:w="100" w:type="dxa"/>
              <w:left w:w="140" w:type="dxa"/>
              <w:right w:w="140" w:type="dxa"/>
            </w:tcMar>
          </w:tcPr>
          <w:p>
            <w:pPr>
              <w:spacing w:before="0" w:after="0" w:line="276" w:lineRule="auto"/>
              <w:jc w:val="left"/>
            </w:pPr>
            <w:r>
              <w:rPr>
                <w:rFonts w:ascii="Arial" w:hAnsi="Arial"/>
                <w:color w:val="1E293B"/>
                <w:sz w:val="18"/>
              </w:rPr>
              <w:t>Affirmative compliance response to Ethio Telecom GP1.1–GP8.3</w:t>
            </w:r>
          </w:p>
        </w:tc>
        <w:tc>
          <w:tcPr>
            <w:tcW w:type="dxa" w:w="864"/>
            <w:shd w:fill="F8FAFC"/>
            <w:tcMar>
              <w:top w:w="100" w:type="dxa"/>
              <w:bottom w:w="100" w:type="dxa"/>
              <w:left w:w="140" w:type="dxa"/>
              <w:right w:w="140" w:type="dxa"/>
            </w:tcMar>
          </w:tcPr>
          <w:p>
            <w:pPr>
              <w:spacing w:before="0" w:after="0" w:line="276" w:lineRule="auto"/>
              <w:jc w:val="left"/>
            </w:pPr>
            <w:r>
              <w:rPr>
                <w:rFonts w:ascii="Arial" w:hAnsi="Arial"/>
                <w:color w:val="1E293B"/>
                <w:sz w:val="18"/>
              </w:rPr>
              <w:t>22</w:t>
            </w:r>
          </w:p>
        </w:tc>
      </w:tr>
      <w:tr>
        <w:tc>
          <w:tcPr>
            <w:tcW w:type="dxa" w:w="4032"/>
            <w:tcMar>
              <w:top w:w="100" w:type="dxa"/>
              <w:bottom w:w="100" w:type="dxa"/>
              <w:left w:w="140" w:type="dxa"/>
              <w:right w:w="140" w:type="dxa"/>
            </w:tcMar>
          </w:tcPr>
          <w:p>
            <w:pPr>
              <w:spacing w:before="0" w:after="0" w:line="276" w:lineRule="auto"/>
              <w:jc w:val="left"/>
            </w:pPr>
            <w:r>
              <w:rPr>
                <w:rFonts w:ascii="Arial" w:hAnsi="Arial"/>
                <w:color w:val="1E293B"/>
                <w:sz w:val="18"/>
              </w:rPr>
              <w:t>11. Legal &amp; Regulatory Checklist</w:t>
            </w:r>
          </w:p>
        </w:tc>
        <w:tc>
          <w:tcPr>
            <w:tcW w:type="dxa" w:w="4896"/>
            <w:tcMar>
              <w:top w:w="100" w:type="dxa"/>
              <w:bottom w:w="100" w:type="dxa"/>
              <w:left w:w="140" w:type="dxa"/>
              <w:right w:w="140" w:type="dxa"/>
            </w:tcMar>
          </w:tcPr>
          <w:p>
            <w:pPr>
              <w:spacing w:before="0" w:after="0" w:line="276" w:lineRule="auto"/>
              <w:jc w:val="left"/>
            </w:pPr>
            <w:r>
              <w:rPr>
                <w:rFonts w:ascii="Arial" w:hAnsi="Arial"/>
                <w:color w:val="1E293B"/>
                <w:sz w:val="18"/>
              </w:rPr>
              <w:t>Certified licenses, TIN, VAT, INSA clearance &amp; ethical pledge</w:t>
            </w:r>
          </w:p>
        </w:tc>
        <w:tc>
          <w:tcPr>
            <w:tcW w:type="dxa" w:w="864"/>
            <w:tcMar>
              <w:top w:w="100" w:type="dxa"/>
              <w:bottom w:w="100" w:type="dxa"/>
              <w:left w:w="140" w:type="dxa"/>
              <w:right w:w="140" w:type="dxa"/>
            </w:tcMar>
          </w:tcPr>
          <w:p>
            <w:pPr>
              <w:spacing w:before="0" w:after="0" w:line="276" w:lineRule="auto"/>
              <w:jc w:val="left"/>
            </w:pPr>
            <w:r>
              <w:rPr>
                <w:rFonts w:ascii="Arial" w:hAnsi="Arial"/>
                <w:color w:val="1E293B"/>
                <w:sz w:val="18"/>
              </w:rPr>
              <w:t>24</w:t>
            </w:r>
          </w:p>
        </w:tc>
      </w:tr>
      <w:tr>
        <w:tc>
          <w:tcPr>
            <w:tcW w:type="dxa" w:w="4032"/>
            <w:shd w:fill="F8FAFC"/>
            <w:tcMar>
              <w:top w:w="100" w:type="dxa"/>
              <w:bottom w:w="100" w:type="dxa"/>
              <w:left w:w="140" w:type="dxa"/>
              <w:right w:w="140" w:type="dxa"/>
            </w:tcMar>
          </w:tcPr>
          <w:p>
            <w:pPr>
              <w:spacing w:before="0" w:after="0" w:line="276" w:lineRule="auto"/>
              <w:jc w:val="left"/>
            </w:pPr>
            <w:r>
              <w:rPr>
                <w:rFonts w:ascii="Arial" w:hAnsi="Arial"/>
                <w:color w:val="1E293B"/>
                <w:sz w:val="18"/>
              </w:rPr>
              <w:t>12. Conclusion &amp; Commercial Request</w:t>
            </w:r>
          </w:p>
        </w:tc>
        <w:tc>
          <w:tcPr>
            <w:tcW w:type="dxa" w:w="4896"/>
            <w:shd w:fill="F8FAFC"/>
            <w:tcMar>
              <w:top w:w="100" w:type="dxa"/>
              <w:bottom w:w="100" w:type="dxa"/>
              <w:left w:w="140" w:type="dxa"/>
              <w:right w:w="140" w:type="dxa"/>
            </w:tcMar>
          </w:tcPr>
          <w:p>
            <w:pPr>
              <w:spacing w:before="0" w:after="0" w:line="276" w:lineRule="auto"/>
              <w:jc w:val="left"/>
            </w:pPr>
            <w:r>
              <w:rPr>
                <w:rFonts w:ascii="Arial" w:hAnsi="Arial"/>
                <w:color w:val="1E293B"/>
                <w:sz w:val="18"/>
              </w:rPr>
              <w:t>Executive summary of mutual value and next steps</w:t>
            </w:r>
          </w:p>
        </w:tc>
        <w:tc>
          <w:tcPr>
            <w:tcW w:type="dxa" w:w="864"/>
            <w:shd w:fill="F8FAFC"/>
            <w:tcMar>
              <w:top w:w="100" w:type="dxa"/>
              <w:bottom w:w="100" w:type="dxa"/>
              <w:left w:w="140" w:type="dxa"/>
              <w:right w:w="140" w:type="dxa"/>
            </w:tcMar>
          </w:tcPr>
          <w:p>
            <w:pPr>
              <w:spacing w:before="0" w:after="0" w:line="276" w:lineRule="auto"/>
              <w:jc w:val="left"/>
            </w:pPr>
            <w:r>
              <w:rPr>
                <w:rFonts w:ascii="Arial" w:hAnsi="Arial"/>
                <w:color w:val="1E293B"/>
                <w:sz w:val="18"/>
              </w:rPr>
              <w:t>25</w:t>
            </w:r>
          </w:p>
        </w:tc>
      </w:tr>
    </w:tbl>
    <w:p>
      <w:pPr>
        <w:spacing w:after="120"/>
      </w:pPr>
    </w:p>
    <w:p>
      <w:r>
        <w:br w:type="page"/>
      </w:r>
    </w:p>
    <w:p>
      <w:pPr>
        <w:keepNext/>
        <w:spacing w:before="360" w:after="120"/>
      </w:pPr>
      <w:r>
        <w:rPr>
          <w:rFonts w:ascii="Arial" w:hAnsi="Arial"/>
          <w:b/>
          <w:color w:val="0A78BE"/>
          <w:sz w:val="30"/>
        </w:rPr>
        <w:t>1. Executive Summary</w:t>
      </w:r>
    </w:p>
    <w:p>
      <w:pPr>
        <w:spacing w:before="40" w:after="80" w:line="276" w:lineRule="auto"/>
      </w:pPr>
      <w:r>
        <w:rPr>
          <w:rFonts w:ascii="Arial" w:hAnsi="Arial"/>
          <w:color w:val="334155"/>
          <w:sz w:val="19"/>
        </w:rPr>
        <w:t>Ethio Telecom is aggressively establishing the telebirr SuperApp as the paramount digital lifestyle and financial super-ecosystem in Ethiopia. Today, telebirr serves as an indispensable channel where tens of millions of citizens communicate, transact, access utility payments, and conduct commerce. To achieve the next frontier of customer retention, daily active usage (DAU), and non-voice revenue growth, Ethio Telecom requires premier entertainment partners capable of introducing high-quality, accessible digital experiences that integrate seamlessly into the telebirr SuperApp Game Center.</w:t>
      </w:r>
    </w:p>
    <w:p>
      <w:pPr>
        <w:spacing w:before="40" w:after="80" w:line="276" w:lineRule="auto"/>
      </w:pPr>
      <w:r>
        <w:rPr>
          <w:rFonts w:ascii="Arial" w:hAnsi="Arial"/>
          <w:color w:val="334155"/>
          <w:sz w:val="19"/>
        </w:rPr>
        <w:t>Go Digital Service PLC, in close technology partnership with InnoGames, is pleased to submit Proposal Option 1: The GoPlay Casual, Family &amp; Edutainment Gaming Ecosystem. Purpose-built for mass-market Ethiopian consumers, this proposal delivers an instantly accessible, zero-install gaming portal designed to maximize platform stickiness, cultivate daily habitual visits, and unlock substantial recurring digital revenue without imposing heavy mobile data demands or storage hurdles on user devices.</w:t>
      </w:r>
    </w:p>
    <w:tbl>
      <w:tblPr>
        <w:tblW w:type="auto" w:w="0"/>
        <w:jc w:val="center"/>
        <w:tblLayout w:type="fixed"/>
        <w:tblLook w:firstColumn="1" w:firstRow="1" w:lastColumn="0" w:lastRow="0" w:noHBand="0" w:noVBand="1" w:val="04A0"/>
      </w:tblPr>
      <w:tblGrid>
        <w:gridCol w:w="9792"/>
      </w:tblGrid>
      <w:tr>
        <w:tc>
          <w:tcPr>
            <w:tcW w:type="dxa" w:w="9792"/>
            <w:shd w:fill="F0F7FF"/>
            <w:tcMar>
              <w:top w:w="140" w:type="dxa"/>
              <w:bottom w:w="140" w:type="dxa"/>
              <w:left w:w="200" w:type="dxa"/>
              <w:right w:w="180" w:type="dxa"/>
            </w:tcMar>
            <w:tcBorders>
              <w:left w:val="single" w:sz="24" w:space="0" w:color="0A78BE"/>
              <w:top w:val="none"/>
              <w:right w:val="none"/>
              <w:bottom w:val="none"/>
            </w:tcBorders>
          </w:tcPr>
          <w:p>
            <w:pPr>
              <w:spacing w:before="40" w:after="40" w:line="276" w:lineRule="auto"/>
            </w:pPr>
            <w:r>
              <w:rPr>
                <w:rFonts w:ascii="Arial" w:hAnsi="Arial"/>
                <w:b/>
                <w:color w:val="0A78BE"/>
                <w:sz w:val="21"/>
              </w:rPr>
              <w:t>Executive Strategic Vision</w:t>
              <w:br/>
            </w:r>
            <w:r>
              <w:rPr>
                <w:rFonts w:ascii="Arial" w:hAnsi="Arial"/>
                <w:i/>
                <w:color w:val="334155"/>
                <w:sz w:val="20"/>
              </w:rPr>
              <w:t>"Our objective is to transform telebirr into the everyday digital playground of Ethiopia, providing millions of citizens with wholesome, intellectually stimulating, and culturally resonant entertainment that drives high-frequency wallet usage and long-term brand loyalty."</w:t>
            </w:r>
          </w:p>
        </w:tc>
      </w:tr>
    </w:tbl>
    <w:p>
      <w:pPr>
        <w:spacing w:after="80"/>
      </w:pPr>
    </w:p>
    <w:p>
      <w:pPr>
        <w:keepNext/>
        <w:spacing w:before="280" w:after="80"/>
      </w:pPr>
      <w:r>
        <w:rPr>
          <w:rFonts w:ascii="Arial" w:hAnsi="Arial"/>
          <w:b/>
          <w:color w:val="0F172A"/>
          <w:sz w:val="24"/>
        </w:rPr>
        <w:t>The Five Strategic Pillars of Proposal Option 1</w:t>
      </w:r>
    </w:p>
    <w:p>
      <w:pPr>
        <w:pStyle w:val="ListBullet"/>
        <w:spacing w:before="20" w:after="60" w:line="276" w:lineRule="auto"/>
      </w:pPr>
      <w:r>
        <w:rPr>
          <w:rFonts w:ascii="Arial" w:hAnsi="Arial"/>
          <w:b/>
          <w:color w:val="0F172A"/>
          <w:sz w:val="19"/>
        </w:rPr>
        <w:t>1. End-to-End Zero-Install Gaming Ecosystem:</w:t>
      </w:r>
      <w:r>
        <w:rPr>
          <w:rFonts w:ascii="Arial" w:hAnsi="Arial"/>
          <w:color w:val="334155"/>
          <w:sz w:val="19"/>
        </w:rPr>
        <w:t xml:space="preserve"> Complete library of lightweight HTML5 and WebGL games operating on a pure zero-install architecture. Games launch in under two seconds within telebirr webview or Macle Mini-App without routing users to third-party app stores.</w:t>
      </w:r>
    </w:p>
    <w:p>
      <w:pPr>
        <w:pStyle w:val="ListBullet"/>
        <w:spacing w:before="20" w:after="60" w:line="276" w:lineRule="auto"/>
      </w:pPr>
      <w:r>
        <w:rPr>
          <w:rFonts w:ascii="Arial" w:hAnsi="Arial"/>
          <w:b/>
          <w:color w:val="0F172A"/>
          <w:sz w:val="19"/>
        </w:rPr>
        <w:t>2. Deep telebirr Integration for Frictionless Monetization:</w:t>
      </w:r>
      <w:r>
        <w:rPr>
          <w:rFonts w:ascii="Arial" w:hAnsi="Arial"/>
          <w:color w:val="334155"/>
          <w:sz w:val="19"/>
        </w:rPr>
        <w:t xml:space="preserve"> Highly affordable, mass-market tariffs modeled directly on successful Ethiopian VAS benchmarks: Daily Pass (3 ETB), Weekly Pass (10 ETB), and Monthly Pass (30 ETB), alongside 2 ETB micro-play options, generating predictable recurring revenue.</w:t>
      </w:r>
    </w:p>
    <w:p>
      <w:pPr>
        <w:pStyle w:val="ListBullet"/>
        <w:spacing w:before="20" w:after="60" w:line="276" w:lineRule="auto"/>
      </w:pPr>
      <w:r>
        <w:rPr>
          <w:rFonts w:ascii="Arial" w:hAnsi="Arial"/>
          <w:b/>
          <w:color w:val="0F172A"/>
          <w:sz w:val="19"/>
        </w:rPr>
        <w:t>3. High-Engagement Family &amp; Edutainment Experiences:</w:t>
      </w:r>
      <w:r>
        <w:rPr>
          <w:rFonts w:ascii="Arial" w:hAnsi="Arial"/>
          <w:color w:val="334155"/>
          <w:sz w:val="19"/>
        </w:rPr>
        <w:t xml:space="preserve"> Carefully curated selection of relaxing puzzles, spatial logic, arithmetic challenges (Jenny's Math Puzzle), and authentic Ethiopian cultural titles (such as Ethiopian Dama / ዳማ and Ethiopian civilization history in Word Legend) that appeal to students, families, and professionals.</w:t>
      </w:r>
    </w:p>
    <w:p>
      <w:pPr>
        <w:pStyle w:val="ListBullet"/>
        <w:spacing w:before="20" w:after="60" w:line="276" w:lineRule="auto"/>
      </w:pPr>
      <w:r>
        <w:rPr>
          <w:rFonts w:ascii="Arial" w:hAnsi="Arial"/>
          <w:b/>
          <w:color w:val="0F172A"/>
          <w:sz w:val="19"/>
        </w:rPr>
        <w:t>4. Telecom-Grade Platform Reliability &amp; Performance:</w:t>
      </w:r>
      <w:r>
        <w:rPr>
          <w:rFonts w:ascii="Arial" w:hAnsi="Arial"/>
          <w:color w:val="334155"/>
          <w:sz w:val="19"/>
        </w:rPr>
        <w:t xml:space="preserve"> Production-ready cloud infrastructure built on Fastify (Node.js LTS), Redis in-memory session management, and PostgreSQL. Guaranteed 99.9% uptime SLA, sub-150ms API latency, and automated TLS 1.3 cryptographic validation.</w:t>
      </w:r>
    </w:p>
    <w:p>
      <w:pPr>
        <w:pStyle w:val="ListBullet"/>
        <w:spacing w:before="20" w:after="60" w:line="276" w:lineRule="auto"/>
      </w:pPr>
      <w:r>
        <w:rPr>
          <w:rFonts w:ascii="Arial" w:hAnsi="Arial"/>
          <w:b/>
          <w:color w:val="0F172A"/>
          <w:sz w:val="19"/>
        </w:rPr>
        <w:t>5. Cultural Authenticity &amp; Strict Ethical Compliance:</w:t>
      </w:r>
      <w:r>
        <w:rPr>
          <w:rFonts w:ascii="Arial" w:hAnsi="Arial"/>
          <w:color w:val="334155"/>
          <w:sz w:val="19"/>
        </w:rPr>
        <w:t xml:space="preserve"> Deep domestic market expertise, native language support (Amharic, Afaan Oromoo, Tigrinya, English), 100% data sovereignty hosted locally, and a legally binding warranty guaranteeing an ethical, family-safe, zero-gambling environment.</w:t>
      </w:r>
    </w:p>
    <w:p>
      <w:pPr>
        <w:keepNext/>
        <w:spacing w:before="360" w:after="120"/>
      </w:pPr>
      <w:r>
        <w:rPr>
          <w:rFonts w:ascii="Arial" w:hAnsi="Arial"/>
          <w:b/>
          <w:color w:val="0A78BE"/>
          <w:sz w:val="30"/>
        </w:rPr>
        <w:t>2. Company Profile &amp; Experience</w:t>
      </w:r>
    </w:p>
    <w:p>
      <w:pPr>
        <w:spacing w:before="40" w:after="80" w:line="276" w:lineRule="auto"/>
      </w:pPr>
      <w:r>
        <w:rPr>
          <w:rFonts w:ascii="Arial" w:hAnsi="Arial"/>
          <w:color w:val="334155"/>
          <w:sz w:val="19"/>
        </w:rPr>
        <w:t>Go Digital Service PLC is a leading Ethiopian digital technology, software engineering, and value-added services enterprise permanently domiciled and headquartered in Addis Ababa, Ethiopia. Established to champion digital inclusion, lifestyle modernization, and high-volume carrier integrations, Go Digital Service PLC specializes in developing and deploying carrier-grade software platforms, mobile entertainment ecosystems, and frictionless fintech micropayment gateways.</w:t>
      </w:r>
    </w:p>
    <w:p>
      <w:pPr>
        <w:keepNext/>
        <w:spacing w:before="280" w:after="80"/>
      </w:pPr>
      <w:r>
        <w:rPr>
          <w:rFonts w:ascii="Arial" w:hAnsi="Arial"/>
          <w:b/>
          <w:color w:val="0F172A"/>
          <w:sz w:val="24"/>
        </w:rPr>
        <w:t>2.1 Corporate and Statutory Registration Details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96"/>
        <w:gridCol w:w="4896"/>
      </w:tblGrid>
      <w:tr>
        <w:trPr>
          <w:tblHeader/>
        </w:trPr>
        <w:tc>
          <w:tcPr>
            <w:tcW w:type="dxa" w:w="3456"/>
            <w:shd w:fill="0A78BE"/>
            <w:tcMar>
              <w:top w:w="140" w:type="dxa"/>
              <w:bottom w:w="140" w:type="dxa"/>
              <w:left w:w="150" w:type="dxa"/>
              <w:right w:w="150" w:type="dxa"/>
            </w:tcMar>
          </w:tcPr>
          <w:p>
            <w:pPr>
              <w:spacing w:before="0" w:after="0"/>
              <w:jc w:val="left"/>
            </w:pPr>
            <w:r>
              <w:rPr>
                <w:rFonts w:ascii="Arial" w:hAnsi="Arial"/>
                <w:b/>
                <w:color w:val="FFFFFF"/>
                <w:sz w:val="19"/>
              </w:rPr>
              <w:t>Registration Parameter</w:t>
            </w:r>
          </w:p>
        </w:tc>
        <w:tc>
          <w:tcPr>
            <w:tcW w:type="dxa" w:w="6336"/>
            <w:shd w:fill="0A78BE"/>
            <w:tcMar>
              <w:top w:w="140" w:type="dxa"/>
              <w:bottom w:w="140" w:type="dxa"/>
              <w:left w:w="150" w:type="dxa"/>
              <w:right w:w="150" w:type="dxa"/>
            </w:tcMar>
          </w:tcPr>
          <w:p>
            <w:pPr>
              <w:spacing w:before="0" w:after="0"/>
              <w:jc w:val="left"/>
            </w:pPr>
            <w:r>
              <w:rPr>
                <w:rFonts w:ascii="Arial" w:hAnsi="Arial"/>
                <w:b/>
                <w:color w:val="FFFFFF"/>
                <w:sz w:val="19"/>
              </w:rPr>
              <w:t>Verified Statutory Detail</w:t>
            </w:r>
          </w:p>
        </w:tc>
      </w:tr>
      <w:tr>
        <w:tc>
          <w:tcPr>
            <w:tcW w:type="dxa" w:w="3456"/>
            <w:tcMar>
              <w:top w:w="100" w:type="dxa"/>
              <w:bottom w:w="100" w:type="dxa"/>
              <w:left w:w="140" w:type="dxa"/>
              <w:right w:w="140" w:type="dxa"/>
            </w:tcMar>
          </w:tcPr>
          <w:p>
            <w:pPr>
              <w:spacing w:before="0" w:after="0" w:line="276" w:lineRule="auto"/>
              <w:jc w:val="left"/>
            </w:pPr>
            <w:r>
              <w:rPr>
                <w:rFonts w:ascii="Arial" w:hAnsi="Arial"/>
                <w:color w:val="1E293B"/>
                <w:sz w:val="18"/>
              </w:rPr>
              <w:t>Official Registered Name</w:t>
            </w:r>
          </w:p>
        </w:tc>
        <w:tc>
          <w:tcPr>
            <w:tcW w:type="dxa" w:w="6336"/>
            <w:tcMar>
              <w:top w:w="100" w:type="dxa"/>
              <w:bottom w:w="100" w:type="dxa"/>
              <w:left w:w="140" w:type="dxa"/>
              <w:right w:w="140" w:type="dxa"/>
            </w:tcMar>
          </w:tcPr>
          <w:p>
            <w:pPr>
              <w:spacing w:before="0" w:after="0" w:line="276" w:lineRule="auto"/>
              <w:jc w:val="left"/>
            </w:pPr>
            <w:r>
              <w:rPr>
                <w:rFonts w:ascii="Arial" w:hAnsi="Arial"/>
                <w:color w:val="1E293B"/>
                <w:sz w:val="18"/>
              </w:rPr>
              <w:t>Go Digital Service PLC</w:t>
            </w:r>
          </w:p>
        </w:tc>
      </w:tr>
      <w:tr>
        <w:tc>
          <w:tcPr>
            <w:tcW w:type="dxa" w:w="3456"/>
            <w:shd w:fill="F8FAFC"/>
            <w:tcMar>
              <w:top w:w="100" w:type="dxa"/>
              <w:bottom w:w="100" w:type="dxa"/>
              <w:left w:w="140" w:type="dxa"/>
              <w:right w:w="140" w:type="dxa"/>
            </w:tcMar>
          </w:tcPr>
          <w:p>
            <w:pPr>
              <w:spacing w:before="0" w:after="0" w:line="276" w:lineRule="auto"/>
              <w:jc w:val="left"/>
            </w:pPr>
            <w:r>
              <w:rPr>
                <w:rFonts w:ascii="Arial" w:hAnsi="Arial"/>
                <w:color w:val="1E293B"/>
                <w:sz w:val="18"/>
              </w:rPr>
              <w:t>Trading &amp; Brand Name</w:t>
            </w:r>
          </w:p>
        </w:tc>
        <w:tc>
          <w:tcPr>
            <w:tcW w:type="dxa" w:w="6336"/>
            <w:shd w:fill="F8FAFC"/>
            <w:tcMar>
              <w:top w:w="100" w:type="dxa"/>
              <w:bottom w:w="100" w:type="dxa"/>
              <w:left w:w="140" w:type="dxa"/>
              <w:right w:w="140" w:type="dxa"/>
            </w:tcMar>
          </w:tcPr>
          <w:p>
            <w:pPr>
              <w:spacing w:before="0" w:after="0" w:line="276" w:lineRule="auto"/>
              <w:jc w:val="left"/>
            </w:pPr>
            <w:r>
              <w:rPr>
                <w:rFonts w:ascii="Arial" w:hAnsi="Arial"/>
                <w:color w:val="1E293B"/>
                <w:sz w:val="18"/>
              </w:rPr>
              <w:t>GoPlay</w:t>
            </w:r>
          </w:p>
        </w:tc>
      </w:tr>
      <w:tr>
        <w:tc>
          <w:tcPr>
            <w:tcW w:type="dxa" w:w="3456"/>
            <w:tcMar>
              <w:top w:w="100" w:type="dxa"/>
              <w:bottom w:w="100" w:type="dxa"/>
              <w:left w:w="140" w:type="dxa"/>
              <w:right w:w="140" w:type="dxa"/>
            </w:tcMar>
          </w:tcPr>
          <w:p>
            <w:pPr>
              <w:spacing w:before="0" w:after="0" w:line="276" w:lineRule="auto"/>
              <w:jc w:val="left"/>
            </w:pPr>
            <w:r>
              <w:rPr>
                <w:rFonts w:ascii="Arial" w:hAnsi="Arial"/>
                <w:color w:val="1E293B"/>
                <w:sz w:val="18"/>
              </w:rPr>
              <w:t>Legal Form</w:t>
            </w:r>
          </w:p>
        </w:tc>
        <w:tc>
          <w:tcPr>
            <w:tcW w:type="dxa" w:w="6336"/>
            <w:tcMar>
              <w:top w:w="100" w:type="dxa"/>
              <w:bottom w:w="100" w:type="dxa"/>
              <w:left w:w="140" w:type="dxa"/>
              <w:right w:w="140" w:type="dxa"/>
            </w:tcMar>
          </w:tcPr>
          <w:p>
            <w:pPr>
              <w:spacing w:before="0" w:after="0" w:line="276" w:lineRule="auto"/>
              <w:jc w:val="left"/>
            </w:pPr>
            <w:r>
              <w:rPr>
                <w:rFonts w:ascii="Arial" w:hAnsi="Arial"/>
                <w:color w:val="1E293B"/>
                <w:sz w:val="18"/>
              </w:rPr>
              <w:t>Private Limited Company (PLC) registered under the laws of Ethiopia</w:t>
            </w:r>
          </w:p>
        </w:tc>
      </w:tr>
      <w:tr>
        <w:tc>
          <w:tcPr>
            <w:tcW w:type="dxa" w:w="3456"/>
            <w:shd w:fill="F8FAFC"/>
            <w:tcMar>
              <w:top w:w="100" w:type="dxa"/>
              <w:bottom w:w="100" w:type="dxa"/>
              <w:left w:w="140" w:type="dxa"/>
              <w:right w:w="140" w:type="dxa"/>
            </w:tcMar>
          </w:tcPr>
          <w:p>
            <w:pPr>
              <w:spacing w:before="0" w:after="0" w:line="276" w:lineRule="auto"/>
              <w:jc w:val="left"/>
            </w:pPr>
            <w:r>
              <w:rPr>
                <w:rFonts w:ascii="Arial" w:hAnsi="Arial"/>
                <w:color w:val="1E293B"/>
                <w:sz w:val="18"/>
              </w:rPr>
              <w:t>Head Office Location</w:t>
            </w:r>
          </w:p>
        </w:tc>
        <w:tc>
          <w:tcPr>
            <w:tcW w:type="dxa" w:w="6336"/>
            <w:shd w:fill="F8FAFC"/>
            <w:tcMar>
              <w:top w:w="100" w:type="dxa"/>
              <w:bottom w:w="100" w:type="dxa"/>
              <w:left w:w="140" w:type="dxa"/>
              <w:right w:w="140" w:type="dxa"/>
            </w:tcMar>
          </w:tcPr>
          <w:p>
            <w:pPr>
              <w:spacing w:before="0" w:after="0" w:line="276" w:lineRule="auto"/>
              <w:jc w:val="left"/>
            </w:pPr>
            <w:r>
              <w:rPr>
                <w:rFonts w:ascii="Arial" w:hAnsi="Arial"/>
                <w:color w:val="1E293B"/>
                <w:sz w:val="18"/>
              </w:rPr>
              <w:t>Bole Sub-City, Woreda 03, House No. 402/A, Addis Ababa, Ethiopia</w:t>
            </w:r>
          </w:p>
        </w:tc>
      </w:tr>
      <w:tr>
        <w:tc>
          <w:tcPr>
            <w:tcW w:type="dxa" w:w="3456"/>
            <w:tcMar>
              <w:top w:w="100" w:type="dxa"/>
              <w:bottom w:w="100" w:type="dxa"/>
              <w:left w:w="140" w:type="dxa"/>
              <w:right w:w="140" w:type="dxa"/>
            </w:tcMar>
          </w:tcPr>
          <w:p>
            <w:pPr>
              <w:spacing w:before="0" w:after="0" w:line="276" w:lineRule="auto"/>
              <w:jc w:val="left"/>
            </w:pPr>
            <w:r>
              <w:rPr>
                <w:rFonts w:ascii="Arial" w:hAnsi="Arial"/>
                <w:color w:val="1E293B"/>
                <w:sz w:val="18"/>
              </w:rPr>
              <w:t>Commercial Registration No.</w:t>
            </w:r>
          </w:p>
        </w:tc>
        <w:tc>
          <w:tcPr>
            <w:tcW w:type="dxa" w:w="6336"/>
            <w:tcMar>
              <w:top w:w="100" w:type="dxa"/>
              <w:bottom w:w="100" w:type="dxa"/>
              <w:left w:w="140" w:type="dxa"/>
              <w:right w:w="140" w:type="dxa"/>
            </w:tcMar>
          </w:tcPr>
          <w:p>
            <w:pPr>
              <w:spacing w:before="0" w:after="0" w:line="276" w:lineRule="auto"/>
              <w:jc w:val="left"/>
            </w:pPr>
            <w:r>
              <w:rPr>
                <w:rFonts w:ascii="Arial" w:hAnsi="Arial"/>
                <w:color w:val="1E293B"/>
                <w:sz w:val="18"/>
              </w:rPr>
              <w:t>AACATB/2/0245101/2024 (Ministry of Trade &amp; Regional Integration)</w:t>
            </w:r>
          </w:p>
        </w:tc>
      </w:tr>
      <w:tr>
        <w:tc>
          <w:tcPr>
            <w:tcW w:type="dxa" w:w="3456"/>
            <w:shd w:fill="F8FAFC"/>
            <w:tcMar>
              <w:top w:w="100" w:type="dxa"/>
              <w:bottom w:w="100" w:type="dxa"/>
              <w:left w:w="140" w:type="dxa"/>
              <w:right w:w="140" w:type="dxa"/>
            </w:tcMar>
          </w:tcPr>
          <w:p>
            <w:pPr>
              <w:spacing w:before="0" w:after="0" w:line="276" w:lineRule="auto"/>
              <w:jc w:val="left"/>
            </w:pPr>
            <w:r>
              <w:rPr>
                <w:rFonts w:ascii="Arial" w:hAnsi="Arial"/>
                <w:color w:val="1E293B"/>
                <w:sz w:val="18"/>
              </w:rPr>
              <w:t>Renewed Trade License</w:t>
            </w:r>
          </w:p>
        </w:tc>
        <w:tc>
          <w:tcPr>
            <w:tcW w:type="dxa" w:w="6336"/>
            <w:shd w:fill="F8FAFC"/>
            <w:tcMar>
              <w:top w:w="100" w:type="dxa"/>
              <w:bottom w:w="100" w:type="dxa"/>
              <w:left w:w="140" w:type="dxa"/>
              <w:right w:w="140" w:type="dxa"/>
            </w:tcMar>
          </w:tcPr>
          <w:p>
            <w:pPr>
              <w:spacing w:before="0" w:after="0" w:line="276" w:lineRule="auto"/>
              <w:jc w:val="left"/>
            </w:pPr>
            <w:r>
              <w:rPr>
                <w:rFonts w:ascii="Arial" w:hAnsi="Arial"/>
                <w:color w:val="1E293B"/>
                <w:sz w:val="18"/>
              </w:rPr>
              <w:t>Active &amp; Certified for Ethiopian Fiscal Year (Digital &amp; VAS Services)</w:t>
            </w:r>
          </w:p>
        </w:tc>
      </w:tr>
      <w:tr>
        <w:tc>
          <w:tcPr>
            <w:tcW w:type="dxa" w:w="3456"/>
            <w:tcMar>
              <w:top w:w="100" w:type="dxa"/>
              <w:bottom w:w="100" w:type="dxa"/>
              <w:left w:w="140" w:type="dxa"/>
              <w:right w:w="140" w:type="dxa"/>
            </w:tcMar>
          </w:tcPr>
          <w:p>
            <w:pPr>
              <w:spacing w:before="0" w:after="0" w:line="276" w:lineRule="auto"/>
              <w:jc w:val="left"/>
            </w:pPr>
            <w:r>
              <w:rPr>
                <w:rFonts w:ascii="Arial" w:hAnsi="Arial"/>
                <w:color w:val="1E293B"/>
                <w:sz w:val="18"/>
              </w:rPr>
              <w:t>Taxpayer Identification (TIN)</w:t>
            </w:r>
          </w:p>
        </w:tc>
        <w:tc>
          <w:tcPr>
            <w:tcW w:type="dxa" w:w="6336"/>
            <w:tcMar>
              <w:top w:w="100" w:type="dxa"/>
              <w:bottom w:w="100" w:type="dxa"/>
              <w:left w:w="140" w:type="dxa"/>
              <w:right w:w="140" w:type="dxa"/>
            </w:tcMar>
          </w:tcPr>
          <w:p>
            <w:pPr>
              <w:spacing w:before="0" w:after="0" w:line="276" w:lineRule="auto"/>
              <w:jc w:val="left"/>
            </w:pPr>
            <w:r>
              <w:rPr>
                <w:rFonts w:ascii="Arial" w:hAnsi="Arial"/>
                <w:color w:val="1E293B"/>
                <w:sz w:val="18"/>
              </w:rPr>
              <w:t>0102191145 (Ministry of Revenues)</w:t>
            </w:r>
          </w:p>
        </w:tc>
      </w:tr>
      <w:tr>
        <w:tc>
          <w:tcPr>
            <w:tcW w:type="dxa" w:w="3456"/>
            <w:shd w:fill="F8FAFC"/>
            <w:tcMar>
              <w:top w:w="100" w:type="dxa"/>
              <w:bottom w:w="100" w:type="dxa"/>
              <w:left w:w="140" w:type="dxa"/>
              <w:right w:w="140" w:type="dxa"/>
            </w:tcMar>
          </w:tcPr>
          <w:p>
            <w:pPr>
              <w:spacing w:before="0" w:after="0" w:line="276" w:lineRule="auto"/>
              <w:jc w:val="left"/>
            </w:pPr>
            <w:r>
              <w:rPr>
                <w:rFonts w:ascii="Arial" w:hAnsi="Arial"/>
                <w:color w:val="1E293B"/>
                <w:sz w:val="18"/>
              </w:rPr>
              <w:t>VAT Registration Certificate</w:t>
            </w:r>
          </w:p>
        </w:tc>
        <w:tc>
          <w:tcPr>
            <w:tcW w:type="dxa" w:w="6336"/>
            <w:shd w:fill="F8FAFC"/>
            <w:tcMar>
              <w:top w:w="100" w:type="dxa"/>
              <w:bottom w:w="100" w:type="dxa"/>
              <w:left w:w="140" w:type="dxa"/>
              <w:right w:w="140" w:type="dxa"/>
            </w:tcMar>
          </w:tcPr>
          <w:p>
            <w:pPr>
              <w:spacing w:before="0" w:after="0" w:line="276" w:lineRule="auto"/>
              <w:jc w:val="left"/>
            </w:pPr>
            <w:r>
              <w:rPr>
                <w:rFonts w:ascii="Arial" w:hAnsi="Arial"/>
                <w:color w:val="1E293B"/>
                <w:sz w:val="18"/>
              </w:rPr>
              <w:t>Active Registered Taxpayer, VAT No. 198273645</w:t>
            </w:r>
          </w:p>
        </w:tc>
      </w:tr>
      <w:tr>
        <w:tc>
          <w:tcPr>
            <w:tcW w:type="dxa" w:w="3456"/>
            <w:tcMar>
              <w:top w:w="100" w:type="dxa"/>
              <w:bottom w:w="100" w:type="dxa"/>
              <w:left w:w="140" w:type="dxa"/>
              <w:right w:w="140" w:type="dxa"/>
            </w:tcMar>
          </w:tcPr>
          <w:p>
            <w:pPr>
              <w:spacing w:before="0" w:after="0" w:line="276" w:lineRule="auto"/>
              <w:jc w:val="left"/>
            </w:pPr>
            <w:r>
              <w:rPr>
                <w:rFonts w:ascii="Arial" w:hAnsi="Arial"/>
                <w:color w:val="1E293B"/>
                <w:sz w:val="18"/>
              </w:rPr>
              <w:t>INSA Security Authorization</w:t>
            </w:r>
          </w:p>
        </w:tc>
        <w:tc>
          <w:tcPr>
            <w:tcW w:type="dxa" w:w="6336"/>
            <w:tcMar>
              <w:top w:w="100" w:type="dxa"/>
              <w:bottom w:w="100" w:type="dxa"/>
              <w:left w:w="140" w:type="dxa"/>
              <w:right w:w="140" w:type="dxa"/>
            </w:tcMar>
          </w:tcPr>
          <w:p>
            <w:pPr>
              <w:spacing w:before="0" w:after="0" w:line="276" w:lineRule="auto"/>
              <w:jc w:val="left"/>
            </w:pPr>
            <w:r>
              <w:rPr>
                <w:rFonts w:ascii="Arial" w:hAnsi="Arial"/>
                <w:color w:val="1E293B"/>
                <w:sz w:val="18"/>
              </w:rPr>
              <w:t>Certified Compliance Audit for telebirr Staging &amp; Gateway Connectivity</w:t>
            </w:r>
          </w:p>
        </w:tc>
      </w:tr>
      <w:tr>
        <w:tc>
          <w:tcPr>
            <w:tcW w:type="dxa" w:w="3456"/>
            <w:shd w:fill="F8FAFC"/>
            <w:tcMar>
              <w:top w:w="100" w:type="dxa"/>
              <w:bottom w:w="100" w:type="dxa"/>
              <w:left w:w="140" w:type="dxa"/>
              <w:right w:w="140" w:type="dxa"/>
            </w:tcMar>
          </w:tcPr>
          <w:p>
            <w:pPr>
              <w:spacing w:before="0" w:after="0" w:line="276" w:lineRule="auto"/>
              <w:jc w:val="left"/>
            </w:pPr>
            <w:r>
              <w:rPr>
                <w:rFonts w:ascii="Arial" w:hAnsi="Arial"/>
                <w:color w:val="1E293B"/>
                <w:sz w:val="18"/>
              </w:rPr>
              <w:t>Technical Staging Lab</w:t>
            </w:r>
          </w:p>
        </w:tc>
        <w:tc>
          <w:tcPr>
            <w:tcW w:type="dxa" w:w="6336"/>
            <w:shd w:fill="F8FAFC"/>
            <w:tcMar>
              <w:top w:w="100" w:type="dxa"/>
              <w:bottom w:w="100" w:type="dxa"/>
              <w:left w:w="140" w:type="dxa"/>
              <w:right w:w="140" w:type="dxa"/>
            </w:tcMar>
          </w:tcPr>
          <w:p>
            <w:pPr>
              <w:spacing w:before="0" w:after="0" w:line="276" w:lineRule="auto"/>
              <w:jc w:val="left"/>
            </w:pPr>
            <w:r>
              <w:rPr>
                <w:rFonts w:ascii="Arial" w:hAnsi="Arial"/>
                <w:color w:val="1E293B"/>
                <w:sz w:val="18"/>
              </w:rPr>
              <w:t>https://staging.goplay.innopulseplatform.com | Staging Lab, Bole, Addis Ababa</w:t>
            </w:r>
          </w:p>
        </w:tc>
      </w:tr>
      <w:tr>
        <w:tc>
          <w:tcPr>
            <w:tcW w:type="dxa" w:w="3456"/>
            <w:tcMar>
              <w:top w:w="100" w:type="dxa"/>
              <w:bottom w:w="100" w:type="dxa"/>
              <w:left w:w="140" w:type="dxa"/>
              <w:right w:w="140" w:type="dxa"/>
            </w:tcMar>
          </w:tcPr>
          <w:p>
            <w:pPr>
              <w:spacing w:before="0" w:after="0" w:line="276" w:lineRule="auto"/>
              <w:jc w:val="left"/>
            </w:pPr>
            <w:r>
              <w:rPr>
                <w:rFonts w:ascii="Arial" w:hAnsi="Arial"/>
                <w:color w:val="1E293B"/>
                <w:sz w:val="18"/>
              </w:rPr>
              <w:t>Executive Contact Person</w:t>
            </w:r>
          </w:p>
        </w:tc>
        <w:tc>
          <w:tcPr>
            <w:tcW w:type="dxa" w:w="6336"/>
            <w:tcMar>
              <w:top w:w="100" w:type="dxa"/>
              <w:bottom w:w="100" w:type="dxa"/>
              <w:left w:w="140" w:type="dxa"/>
              <w:right w:w="140" w:type="dxa"/>
            </w:tcMar>
          </w:tcPr>
          <w:p>
            <w:pPr>
              <w:spacing w:before="0" w:after="0" w:line="276" w:lineRule="auto"/>
              <w:jc w:val="left"/>
            </w:pPr>
            <w:r>
              <w:rPr>
                <w:rFonts w:ascii="Arial" w:hAnsi="Arial"/>
                <w:color w:val="1E293B"/>
                <w:sz w:val="18"/>
              </w:rPr>
              <w:t>Managing Director, Go Digital Service PLC</w:t>
            </w:r>
          </w:p>
        </w:tc>
      </w:tr>
      <w:tr>
        <w:tc>
          <w:tcPr>
            <w:tcW w:type="dxa" w:w="3456"/>
            <w:shd w:fill="F8FAFC"/>
            <w:tcMar>
              <w:top w:w="100" w:type="dxa"/>
              <w:bottom w:w="100" w:type="dxa"/>
              <w:left w:w="140" w:type="dxa"/>
              <w:right w:w="140" w:type="dxa"/>
            </w:tcMar>
          </w:tcPr>
          <w:p>
            <w:pPr>
              <w:spacing w:before="0" w:after="0" w:line="276" w:lineRule="auto"/>
              <w:jc w:val="left"/>
            </w:pPr>
            <w:r>
              <w:rPr>
                <w:rFonts w:ascii="Arial" w:hAnsi="Arial"/>
                <w:color w:val="1E293B"/>
                <w:sz w:val="18"/>
              </w:rPr>
              <w:t>Direct Telephone &amp; Email</w:t>
            </w:r>
          </w:p>
        </w:tc>
        <w:tc>
          <w:tcPr>
            <w:tcW w:type="dxa" w:w="6336"/>
            <w:shd w:fill="F8FAFC"/>
            <w:tcMar>
              <w:top w:w="100" w:type="dxa"/>
              <w:bottom w:w="100" w:type="dxa"/>
              <w:left w:w="140" w:type="dxa"/>
              <w:right w:w="140" w:type="dxa"/>
            </w:tcMar>
          </w:tcPr>
          <w:p>
            <w:pPr>
              <w:spacing w:before="0" w:after="0" w:line="276" w:lineRule="auto"/>
              <w:jc w:val="left"/>
            </w:pPr>
            <w:r>
              <w:rPr>
                <w:rFonts w:ascii="Arial" w:hAnsi="Arial"/>
                <w:color w:val="1E293B"/>
                <w:sz w:val="18"/>
              </w:rPr>
              <w:t>+251 91 123 4567 | info@godigital.et / proposals@goplay.et</w:t>
            </w:r>
          </w:p>
        </w:tc>
      </w:tr>
    </w:tbl>
    <w:p>
      <w:pPr>
        <w:spacing w:after="120"/>
      </w:pPr>
    </w:p>
    <w:p>
      <w:pPr>
        <w:keepNext/>
        <w:spacing w:before="280" w:after="80"/>
      </w:pPr>
      <w:r>
        <w:rPr>
          <w:rFonts w:ascii="Arial" w:hAnsi="Arial"/>
          <w:b/>
          <w:color w:val="0F172A"/>
          <w:sz w:val="24"/>
        </w:rPr>
        <w:t>2.2 Core Business and Telecom Competencies</w:t>
      </w:r>
    </w:p>
    <w:p>
      <w:pPr>
        <w:spacing w:before="40" w:after="80" w:line="276" w:lineRule="auto"/>
      </w:pPr>
      <w:r>
        <w:rPr>
          <w:rFonts w:ascii="Arial" w:hAnsi="Arial"/>
          <w:color w:val="334155"/>
          <w:sz w:val="19"/>
        </w:rPr>
        <w:t>Go Digital Service PLC's multidisciplinary team possesses over 12 cumulative years of telecom-grade software engineering, carrier billing orchestration, and digital content distribution across East Africa and the Middle East. Our core competencies encompass:</w:t>
      </w:r>
    </w:p>
    <w:p>
      <w:pPr>
        <w:pStyle w:val="ListBullet"/>
        <w:spacing w:before="20" w:after="60" w:line="276" w:lineRule="auto"/>
      </w:pPr>
      <w:r>
        <w:rPr>
          <w:rFonts w:ascii="Arial" w:hAnsi="Arial"/>
          <w:b/>
          <w:color w:val="0F172A"/>
          <w:sz w:val="19"/>
        </w:rPr>
        <w:t>Telecom Payment Systems &amp; Carrier Direct Billing:</w:t>
      </w:r>
      <w:r>
        <w:rPr>
          <w:rFonts w:ascii="Arial" w:hAnsi="Arial"/>
          <w:color w:val="334155"/>
          <w:sz w:val="19"/>
        </w:rPr>
        <w:t xml:space="preserve"> Architecting automated micropayment engines and RESTful webhook connectors capable of processing over 500,000 daily billing transactions with 99.98% idempotency and zero balance drift.</w:t>
      </w:r>
    </w:p>
    <w:p>
      <w:pPr>
        <w:pStyle w:val="ListBullet"/>
        <w:spacing w:before="20" w:after="60" w:line="276" w:lineRule="auto"/>
      </w:pPr>
      <w:r>
        <w:rPr>
          <w:rFonts w:ascii="Arial" w:hAnsi="Arial"/>
          <w:b/>
          <w:color w:val="0F172A"/>
          <w:sz w:val="19"/>
        </w:rPr>
        <w:t>Zero-Install WebGL &amp; HTML5 Engine Engineering:</w:t>
      </w:r>
      <w:r>
        <w:rPr>
          <w:rFonts w:ascii="Arial" w:hAnsi="Arial"/>
          <w:color w:val="334155"/>
          <w:sz w:val="19"/>
        </w:rPr>
        <w:t xml:space="preserve"> Specialized compression pipelines that package rich graphical 2D and 3D games into ultra-lightweight bundles (&lt; 5MB) engineered to maintain 60 FPS performance across lower-tier Android smartphones and fluctuating 2G/3G/4G bandwidths.</w:t>
      </w:r>
    </w:p>
    <w:p>
      <w:pPr>
        <w:pStyle w:val="ListBullet"/>
        <w:spacing w:before="20" w:after="60" w:line="276" w:lineRule="auto"/>
      </w:pPr>
      <w:r>
        <w:rPr>
          <w:rFonts w:ascii="Arial" w:hAnsi="Arial"/>
          <w:b/>
          <w:color w:val="0F172A"/>
          <w:sz w:val="19"/>
        </w:rPr>
        <w:t>Server-Authoritative Anti-Tamper &amp; Security:</w:t>
      </w:r>
      <w:r>
        <w:rPr>
          <w:rFonts w:ascii="Arial" w:hAnsi="Arial"/>
          <w:color w:val="334155"/>
          <w:sz w:val="19"/>
        </w:rPr>
        <w:t xml:space="preserve"> Server-side score validation, memory tamper prevention, and automated fraud detection algorithms that ensure complete competitive integrity across national leaderboards and reward distributions.</w:t>
      </w:r>
    </w:p>
    <w:p>
      <w:pPr>
        <w:pStyle w:val="ListBullet"/>
        <w:spacing w:before="20" w:after="60" w:line="276" w:lineRule="auto"/>
      </w:pPr>
      <w:r>
        <w:rPr>
          <w:rFonts w:ascii="Arial" w:hAnsi="Arial"/>
          <w:b/>
          <w:color w:val="0F172A"/>
          <w:sz w:val="19"/>
        </w:rPr>
        <w:t>Localized Content Design &amp; Linguistic Adaptation:</w:t>
      </w:r>
      <w:r>
        <w:rPr>
          <w:rFonts w:ascii="Arial" w:hAnsi="Arial"/>
          <w:color w:val="334155"/>
          <w:sz w:val="19"/>
        </w:rPr>
        <w:t xml:space="preserve"> Complete translation, cultural adaptation, and voice/audio localization in Amharic, Afaan Oromoo, Tigrinya, and English, ensuring resonance across every administrative region in Ethiopia.</w:t>
      </w:r>
    </w:p>
    <w:p>
      <w:pPr>
        <w:keepNext/>
        <w:spacing w:before="280" w:after="80"/>
      </w:pPr>
      <w:r>
        <w:rPr>
          <w:rFonts w:ascii="Arial" w:hAnsi="Arial"/>
          <w:b/>
          <w:color w:val="0F172A"/>
          <w:sz w:val="24"/>
        </w:rPr>
        <w:t>2.3 Strategic Partnerships</w:t>
      </w:r>
    </w:p>
    <w:p>
      <w:pPr>
        <w:spacing w:before="40" w:after="80" w:line="276" w:lineRule="auto"/>
      </w:pPr>
      <w:r>
        <w:rPr>
          <w:rFonts w:ascii="Arial" w:hAnsi="Arial"/>
          <w:color w:val="334155"/>
          <w:sz w:val="19"/>
        </w:rPr>
        <w:t>To deliver a sustainable, continuously refreshed entertainment experience, Go Digital Service PLC leverages an established partner network:</w:t>
      </w:r>
    </w:p>
    <w:p>
      <w:pPr>
        <w:pStyle w:val="ListBullet"/>
        <w:spacing w:before="20" w:after="60" w:line="276" w:lineRule="auto"/>
      </w:pPr>
      <w:r>
        <w:rPr>
          <w:rFonts w:ascii="Arial" w:hAnsi="Arial"/>
          <w:b/>
          <w:color w:val="0F172A"/>
          <w:sz w:val="19"/>
        </w:rPr>
        <w:t>Global HTML5 Content Studios:</w:t>
      </w:r>
      <w:r>
        <w:rPr>
          <w:rFonts w:ascii="Arial" w:hAnsi="Arial"/>
          <w:color w:val="334155"/>
          <w:sz w:val="19"/>
        </w:rPr>
        <w:t xml:space="preserve"> Long-term licensing agreements with international game creators providing an active pipeline to scale our catalog from 26 to over 100+ titles.</w:t>
      </w:r>
    </w:p>
    <w:p>
      <w:pPr>
        <w:pStyle w:val="ListBullet"/>
        <w:spacing w:before="20" w:after="60" w:line="276" w:lineRule="auto"/>
      </w:pPr>
      <w:r>
        <w:rPr>
          <w:rFonts w:ascii="Arial" w:hAnsi="Arial"/>
          <w:b/>
          <w:color w:val="0F172A"/>
          <w:sz w:val="19"/>
        </w:rPr>
        <w:t>Ethiopian Creative Ecosystem:</w:t>
      </w:r>
      <w:r>
        <w:rPr>
          <w:rFonts w:ascii="Arial" w:hAnsi="Arial"/>
          <w:color w:val="334155"/>
          <w:sz w:val="19"/>
        </w:rPr>
        <w:t xml:space="preserve"> Active partnerships with local game designers, illustrators, and folklorists to preserve and celebrate Ethiopian heritage.</w:t>
      </w:r>
    </w:p>
    <w:p>
      <w:pPr>
        <w:pStyle w:val="ListBullet"/>
        <w:spacing w:before="20" w:after="60" w:line="276" w:lineRule="auto"/>
      </w:pPr>
      <w:r>
        <w:rPr>
          <w:rFonts w:ascii="Arial" w:hAnsi="Arial"/>
          <w:b/>
          <w:color w:val="0F172A"/>
          <w:sz w:val="19"/>
        </w:rPr>
        <w:t>Certified Cloud Infrastructure:</w:t>
      </w:r>
      <w:r>
        <w:rPr>
          <w:rFonts w:ascii="Arial" w:hAnsi="Arial"/>
          <w:color w:val="334155"/>
          <w:sz w:val="19"/>
        </w:rPr>
        <w:t xml:space="preserve"> Infrastructure deployments utilizing certified Tier-3 local and regional cloud data centers, ensuring ultra-low latency caching throughout Addis Ababa and regional cities.</w:t>
      </w:r>
    </w:p>
    <w:p>
      <w:r>
        <w:br w:type="page"/>
      </w:r>
    </w:p>
    <w:p>
      <w:pPr>
        <w:keepNext/>
        <w:spacing w:before="360" w:after="120"/>
      </w:pPr>
      <w:r>
        <w:rPr>
          <w:rFonts w:ascii="Arial" w:hAnsi="Arial"/>
          <w:b/>
          <w:color w:val="0A78BE"/>
          <w:sz w:val="30"/>
        </w:rPr>
        <w:t>3. Proposed GoPlay Casual &amp; Edutainment Service</w:t>
      </w:r>
    </w:p>
    <w:p>
      <w:pPr>
        <w:spacing w:before="40" w:after="80" w:line="276" w:lineRule="auto"/>
      </w:pPr>
      <w:r>
        <w:rPr>
          <w:rFonts w:ascii="Arial" w:hAnsi="Arial"/>
          <w:color w:val="334155"/>
          <w:sz w:val="19"/>
        </w:rPr>
        <w:t>The proposed service is branded as GoPlay — telebirr Game Center Edition. GoPlay is an expansive, zero-install digital entertainment portal offering a curated production catalog of 26 lightweight, family-friendly, and culturally aligned games. All games are playable directly within the telebirr SuperApp webview or via telebirr's native Macle MiniApp framework, requiring zero downloads from Google Play or the Apple App Store.</w:t>
      </w:r>
    </w:p>
    <w:p>
      <w:pPr>
        <w:keepNext/>
        <w:spacing w:before="280" w:after="80"/>
      </w:pPr>
      <w:r>
        <w:rPr>
          <w:rFonts w:ascii="Arial" w:hAnsi="Arial"/>
          <w:b/>
          <w:color w:val="0F172A"/>
          <w:sz w:val="24"/>
        </w:rPr>
        <w:t>3.1 Technology Foundation: Zero-Install Instant Play</w:t>
      </w:r>
    </w:p>
    <w:p>
      <w:pPr>
        <w:spacing w:before="40" w:after="80" w:line="276" w:lineRule="auto"/>
      </w:pPr>
      <w:r>
        <w:rPr>
          <w:rFonts w:ascii="Arial" w:hAnsi="Arial"/>
          <w:color w:val="334155"/>
          <w:sz w:val="19"/>
        </w:rPr>
        <w:t>A major challenge in mobile application distribution across Ethiopia is device storage constraints and the cost of mobile data required to download heavy native game APKs (often 50MB to 500MB). GoPlay completely eliminates this barrier by utilizing modern HTML5 and WebGL technologies. Every title is delivered as an ultra-compact package (average size 2.5MB to 4.5MB) that streams directly into memory, allowing users to start playing within 2 seconds of tapping an icon.</w:t>
      </w:r>
    </w:p>
    <w:tbl>
      <w:tblPr>
        <w:tblW w:type="auto" w:w="0"/>
        <w:jc w:val="center"/>
        <w:tblLayout w:type="fixed"/>
        <w:tblLook w:firstColumn="1" w:firstRow="1" w:lastColumn="0" w:lastRow="0" w:noHBand="0" w:noVBand="1" w:val="04A0"/>
      </w:tblPr>
      <w:tblGrid>
        <w:gridCol w:w="9792"/>
      </w:tblGrid>
      <w:tr>
        <w:tc>
          <w:tcPr>
            <w:tcW w:type="dxa" w:w="9792"/>
            <w:shd w:fill="F4FBF0"/>
            <w:tcMar>
              <w:top w:w="140" w:type="dxa"/>
              <w:bottom w:w="140" w:type="dxa"/>
              <w:left w:w="200" w:type="dxa"/>
              <w:right w:w="180" w:type="dxa"/>
            </w:tcMar>
            <w:tcBorders>
              <w:left w:val="single" w:sz="24" w:space="0" w:color="8BCB3D"/>
              <w:top w:val="none"/>
              <w:right w:val="none"/>
              <w:bottom w:val="none"/>
            </w:tcBorders>
          </w:tcPr>
          <w:p>
            <w:pPr>
              <w:spacing w:before="40" w:after="40" w:line="276" w:lineRule="auto"/>
            </w:pPr>
            <w:r>
              <w:rPr>
                <w:rFonts w:ascii="Arial" w:hAnsi="Arial"/>
                <w:b/>
                <w:color w:val="8BCB3D"/>
                <w:sz w:val="21"/>
              </w:rPr>
              <w:t>Key Advantages of Zero-Install HTML5 Architecture</w:t>
              <w:br/>
            </w:r>
            <w:r>
              <w:rPr>
                <w:rFonts w:ascii="Arial" w:hAnsi="Arial"/>
                <w:i/>
                <w:color w:val="334155"/>
                <w:sz w:val="20"/>
              </w:rPr>
              <w:t>• Instant Launch: Zero friction, no APK download, no installation wait time.</w:t>
              <w:br/>
              <w:t>• Minimal Data Consumption: Sub-5MB bundle size ensures accessible gameplay over standard 3G/4G networks.</w:t>
              <w:br/>
              <w:t>• Universal Device Compatibility: Runs flawlessly on entry-level Android devices (1GB RAM) up to flagship smartphones.</w:t>
              <w:br/>
              <w:t>• Automatic Updates: Games are updated dynamically on the cloud server without requiring telebirr app updates.</w:t>
            </w:r>
          </w:p>
        </w:tc>
      </w:tr>
    </w:tbl>
    <w:p>
      <w:pPr>
        <w:spacing w:after="80"/>
      </w:pPr>
    </w:p>
    <w:p>
      <w:pPr>
        <w:keepNext/>
        <w:spacing w:before="280" w:after="80"/>
      </w:pPr>
      <w:r>
        <w:rPr>
          <w:rFonts w:ascii="Arial" w:hAnsi="Arial"/>
          <w:b/>
          <w:color w:val="0F172A"/>
          <w:sz w:val="24"/>
        </w:rPr>
        <w:t>3.2 Comprehensive 26-Game Production Catalog</w:t>
      </w:r>
    </w:p>
    <w:p>
      <w:pPr>
        <w:spacing w:before="40" w:after="80" w:line="276" w:lineRule="auto"/>
      </w:pPr>
      <w:r>
        <w:rPr>
          <w:rFonts w:ascii="Arial" w:hAnsi="Arial"/>
          <w:color w:val="334155"/>
          <w:sz w:val="19"/>
        </w:rPr>
        <w:t>Every game in the GoPlay catalog has undergone rigorous quality assurance, performance optimization, and cultural compliance verification. Below is the complete catalog classification across six core casual genres: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rPr>
          <w:tblHeader/>
        </w:trPr>
        <w:tc>
          <w:tcPr>
            <w:tcW w:type="dxa" w:w="576"/>
            <w:shd w:fill="0A78BE"/>
            <w:tcMar>
              <w:top w:w="140" w:type="dxa"/>
              <w:bottom w:w="140" w:type="dxa"/>
              <w:left w:w="150" w:type="dxa"/>
              <w:right w:w="150" w:type="dxa"/>
            </w:tcMar>
          </w:tcPr>
          <w:p>
            <w:pPr>
              <w:spacing w:before="0" w:after="0"/>
              <w:jc w:val="left"/>
            </w:pPr>
            <w:r>
              <w:rPr>
                <w:rFonts w:ascii="Arial" w:hAnsi="Arial"/>
                <w:b/>
                <w:color w:val="FFFFFF"/>
                <w:sz w:val="19"/>
              </w:rPr>
              <w:t>No.</w:t>
            </w:r>
          </w:p>
        </w:tc>
        <w:tc>
          <w:tcPr>
            <w:tcW w:type="dxa" w:w="2304"/>
            <w:shd w:fill="0A78BE"/>
            <w:tcMar>
              <w:top w:w="140" w:type="dxa"/>
              <w:bottom w:w="140" w:type="dxa"/>
              <w:left w:w="150" w:type="dxa"/>
              <w:right w:w="150" w:type="dxa"/>
            </w:tcMar>
          </w:tcPr>
          <w:p>
            <w:pPr>
              <w:spacing w:before="0" w:after="0"/>
              <w:jc w:val="left"/>
            </w:pPr>
            <w:r>
              <w:rPr>
                <w:rFonts w:ascii="Arial" w:hAnsi="Arial"/>
                <w:b/>
                <w:color w:val="FFFFFF"/>
                <w:sz w:val="19"/>
              </w:rPr>
              <w:t>Game Title</w:t>
            </w:r>
          </w:p>
        </w:tc>
        <w:tc>
          <w:tcPr>
            <w:tcW w:type="dxa" w:w="1728"/>
            <w:shd w:fill="0A78BE"/>
            <w:tcMar>
              <w:top w:w="140" w:type="dxa"/>
              <w:bottom w:w="140" w:type="dxa"/>
              <w:left w:w="150" w:type="dxa"/>
              <w:right w:w="150" w:type="dxa"/>
            </w:tcMar>
          </w:tcPr>
          <w:p>
            <w:pPr>
              <w:spacing w:before="0" w:after="0"/>
              <w:jc w:val="left"/>
            </w:pPr>
            <w:r>
              <w:rPr>
                <w:rFonts w:ascii="Arial" w:hAnsi="Arial"/>
                <w:b/>
                <w:color w:val="FFFFFF"/>
                <w:sz w:val="19"/>
              </w:rPr>
              <w:t>Genre / Category</w:t>
            </w:r>
          </w:p>
        </w:tc>
        <w:tc>
          <w:tcPr>
            <w:tcW w:type="dxa" w:w="1584"/>
            <w:shd w:fill="0A78BE"/>
            <w:tcMar>
              <w:top w:w="140" w:type="dxa"/>
              <w:bottom w:w="140" w:type="dxa"/>
              <w:left w:w="150" w:type="dxa"/>
              <w:right w:w="150" w:type="dxa"/>
            </w:tcMar>
          </w:tcPr>
          <w:p>
            <w:pPr>
              <w:spacing w:before="0" w:after="0"/>
              <w:jc w:val="left"/>
            </w:pPr>
            <w:r>
              <w:rPr>
                <w:rFonts w:ascii="Arial" w:hAnsi="Arial"/>
                <w:b/>
                <w:color w:val="FFFFFF"/>
                <w:sz w:val="19"/>
              </w:rPr>
              <w:t>Access Tier</w:t>
            </w:r>
          </w:p>
        </w:tc>
        <w:tc>
          <w:tcPr>
            <w:tcW w:type="dxa" w:w="3600"/>
            <w:shd w:fill="0A78BE"/>
            <w:tcMar>
              <w:top w:w="140" w:type="dxa"/>
              <w:bottom w:w="140" w:type="dxa"/>
              <w:left w:w="150" w:type="dxa"/>
              <w:right w:w="150" w:type="dxa"/>
            </w:tcMar>
          </w:tcPr>
          <w:p>
            <w:pPr>
              <w:spacing w:before="0" w:after="0"/>
              <w:jc w:val="left"/>
            </w:pPr>
            <w:r>
              <w:rPr>
                <w:rFonts w:ascii="Arial" w:hAnsi="Arial"/>
                <w:b/>
                <w:color w:val="FFFFFF"/>
                <w:sz w:val="19"/>
              </w:rPr>
              <w:t>Core Gameplay &amp; Educational / Reflex Mechanics</w:t>
            </w:r>
          </w:p>
        </w:tc>
      </w:tr>
      <w:tr>
        <w:tc>
          <w:tcPr>
            <w:tcW w:type="dxa" w:w="576"/>
            <w:tcMar>
              <w:top w:w="100" w:type="dxa"/>
              <w:bottom w:w="100" w:type="dxa"/>
              <w:left w:w="140" w:type="dxa"/>
              <w:right w:w="140" w:type="dxa"/>
            </w:tcMar>
          </w:tcPr>
          <w:p>
            <w:pPr>
              <w:spacing w:before="0" w:after="0" w:line="276" w:lineRule="auto"/>
              <w:jc w:val="left"/>
            </w:pPr>
            <w:r>
              <w:rPr>
                <w:rFonts w:ascii="Arial" w:hAnsi="Arial"/>
                <w:color w:val="1E293B"/>
                <w:sz w:val="18"/>
              </w:rPr>
              <w:t>1</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Ethiopian Dama (ዳማ)</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Traditional Board</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Free / Coins / VIP</w:t>
            </w:r>
          </w:p>
        </w:tc>
        <w:tc>
          <w:tcPr>
            <w:tcW w:type="dxa" w:w="3600"/>
            <w:tcMar>
              <w:top w:w="100" w:type="dxa"/>
              <w:bottom w:w="100" w:type="dxa"/>
              <w:left w:w="140" w:type="dxa"/>
              <w:right w:w="140" w:type="dxa"/>
            </w:tcMar>
          </w:tcPr>
          <w:p>
            <w:pPr>
              <w:spacing w:before="0" w:after="0" w:line="276" w:lineRule="auto"/>
              <w:jc w:val="left"/>
            </w:pPr>
            <w:r>
              <w:rPr>
                <w:rFonts w:ascii="Arial" w:hAnsi="Arial"/>
                <w:color w:val="1E293B"/>
                <w:sz w:val="18"/>
              </w:rPr>
              <w:t>Authentic Ethiopian checkers with cultural rules, AI, and pass-and-play.</w:t>
            </w:r>
          </w:p>
        </w:tc>
      </w:tr>
      <w:tr>
        <w:tc>
          <w:tcPr>
            <w:tcW w:type="dxa" w:w="576"/>
            <w:shd w:fill="F8FAFC"/>
            <w:tcMar>
              <w:top w:w="100" w:type="dxa"/>
              <w:bottom w:w="100" w:type="dxa"/>
              <w:left w:w="140" w:type="dxa"/>
              <w:right w:w="140" w:type="dxa"/>
            </w:tcMar>
          </w:tcPr>
          <w:p>
            <w:pPr>
              <w:spacing w:before="0" w:after="0" w:line="276" w:lineRule="auto"/>
              <w:jc w:val="left"/>
            </w:pPr>
            <w:r>
              <w:rPr>
                <w:rFonts w:ascii="Arial" w:hAnsi="Arial"/>
                <w:color w:val="1E293B"/>
                <w:sz w:val="18"/>
              </w:rPr>
              <w:t>2</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Jenny's Math Puzzle</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Edutainment / Logic</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Free / VIP Pass</w:t>
            </w:r>
          </w:p>
        </w:tc>
        <w:tc>
          <w:tcPr>
            <w:tcW w:type="dxa" w:w="3600"/>
            <w:shd w:fill="F8FAFC"/>
            <w:tcMar>
              <w:top w:w="100" w:type="dxa"/>
              <w:bottom w:w="100" w:type="dxa"/>
              <w:left w:w="140" w:type="dxa"/>
              <w:right w:w="140" w:type="dxa"/>
            </w:tcMar>
          </w:tcPr>
          <w:p>
            <w:pPr>
              <w:spacing w:before="0" w:after="0" w:line="276" w:lineRule="auto"/>
              <w:jc w:val="left"/>
            </w:pPr>
            <w:r>
              <w:rPr>
                <w:rFonts w:ascii="Arial" w:hAnsi="Arial"/>
                <w:color w:val="1E293B"/>
                <w:sz w:val="18"/>
              </w:rPr>
              <w:t>Arithmetic challenges, logic patterns, and equation solving for all ages.</w:t>
            </w:r>
          </w:p>
        </w:tc>
      </w:tr>
      <w:tr>
        <w:tc>
          <w:tcPr>
            <w:tcW w:type="dxa" w:w="576"/>
            <w:tcMar>
              <w:top w:w="100" w:type="dxa"/>
              <w:bottom w:w="100" w:type="dxa"/>
              <w:left w:w="140" w:type="dxa"/>
              <w:right w:w="140" w:type="dxa"/>
            </w:tcMar>
          </w:tcPr>
          <w:p>
            <w:pPr>
              <w:spacing w:before="0" w:after="0" w:line="276" w:lineRule="auto"/>
              <w:jc w:val="left"/>
            </w:pPr>
            <w:r>
              <w:rPr>
                <w:rFonts w:ascii="Arial" w:hAnsi="Arial"/>
                <w:color w:val="1E293B"/>
                <w:sz w:val="18"/>
              </w:rPr>
              <w:t>3</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Word Legend</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History Trivia</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Free / Coins / VIP</w:t>
            </w:r>
          </w:p>
        </w:tc>
        <w:tc>
          <w:tcPr>
            <w:tcW w:type="dxa" w:w="3600"/>
            <w:tcMar>
              <w:top w:w="100" w:type="dxa"/>
              <w:bottom w:w="100" w:type="dxa"/>
              <w:left w:w="140" w:type="dxa"/>
              <w:right w:w="140" w:type="dxa"/>
            </w:tcMar>
          </w:tcPr>
          <w:p>
            <w:pPr>
              <w:spacing w:before="0" w:after="0" w:line="276" w:lineRule="auto"/>
              <w:jc w:val="left"/>
            </w:pPr>
            <w:r>
              <w:rPr>
                <w:rFonts w:ascii="Arial" w:hAnsi="Arial"/>
                <w:color w:val="1E293B"/>
                <w:sz w:val="18"/>
              </w:rPr>
              <w:t>Ethiopian civilization trivia (Axum, Lalibela, Gondar) and word quests.</w:t>
            </w:r>
          </w:p>
        </w:tc>
      </w:tr>
      <w:tr>
        <w:tc>
          <w:tcPr>
            <w:tcW w:type="dxa" w:w="576"/>
            <w:shd w:fill="F8FAFC"/>
            <w:tcMar>
              <w:top w:w="100" w:type="dxa"/>
              <w:bottom w:w="100" w:type="dxa"/>
              <w:left w:w="140" w:type="dxa"/>
              <w:right w:w="140" w:type="dxa"/>
            </w:tcMar>
          </w:tcPr>
          <w:p>
            <w:pPr>
              <w:spacing w:before="0" w:after="0" w:line="276" w:lineRule="auto"/>
              <w:jc w:val="left"/>
            </w:pPr>
            <w:r>
              <w:rPr>
                <w:rFonts w:ascii="Arial" w:hAnsi="Arial"/>
                <w:color w:val="1E293B"/>
                <w:sz w:val="18"/>
              </w:rPr>
              <w:t>4</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Royal Water Sort</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Liquid Logic</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Free / Ads / VIP</w:t>
            </w:r>
          </w:p>
        </w:tc>
        <w:tc>
          <w:tcPr>
            <w:tcW w:type="dxa" w:w="3600"/>
            <w:shd w:fill="F8FAFC"/>
            <w:tcMar>
              <w:top w:w="100" w:type="dxa"/>
              <w:bottom w:w="100" w:type="dxa"/>
              <w:left w:w="140" w:type="dxa"/>
              <w:right w:w="140" w:type="dxa"/>
            </w:tcMar>
          </w:tcPr>
          <w:p>
            <w:pPr>
              <w:spacing w:before="0" w:after="0" w:line="276" w:lineRule="auto"/>
              <w:jc w:val="left"/>
            </w:pPr>
            <w:r>
              <w:rPr>
                <w:rFonts w:ascii="Arial" w:hAnsi="Arial"/>
                <w:color w:val="1E293B"/>
                <w:sz w:val="18"/>
              </w:rPr>
              <w:t>3D crystal vial color-sorting puzzle promoting patience and planning.</w:t>
            </w:r>
          </w:p>
        </w:tc>
      </w:tr>
      <w:tr>
        <w:tc>
          <w:tcPr>
            <w:tcW w:type="dxa" w:w="576"/>
            <w:tcMar>
              <w:top w:w="100" w:type="dxa"/>
              <w:bottom w:w="100" w:type="dxa"/>
              <w:left w:w="140" w:type="dxa"/>
              <w:right w:w="140" w:type="dxa"/>
            </w:tcMar>
          </w:tcPr>
          <w:p>
            <w:pPr>
              <w:spacing w:before="0" w:after="0" w:line="276" w:lineRule="auto"/>
              <w:jc w:val="left"/>
            </w:pPr>
            <w:r>
              <w:rPr>
                <w:rFonts w:ascii="Arial" w:hAnsi="Arial"/>
                <w:color w:val="1E293B"/>
                <w:sz w:val="18"/>
              </w:rPr>
              <w:t>5</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Candy Crush / Blast</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Match-3 Casual</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Free / Coins / VIP</w:t>
            </w:r>
          </w:p>
        </w:tc>
        <w:tc>
          <w:tcPr>
            <w:tcW w:type="dxa" w:w="3600"/>
            <w:tcMar>
              <w:top w:w="100" w:type="dxa"/>
              <w:bottom w:w="100" w:type="dxa"/>
              <w:left w:w="140" w:type="dxa"/>
              <w:right w:w="140" w:type="dxa"/>
            </w:tcMar>
          </w:tcPr>
          <w:p>
            <w:pPr>
              <w:spacing w:before="0" w:after="0" w:line="276" w:lineRule="auto"/>
              <w:jc w:val="left"/>
            </w:pPr>
            <w:r>
              <w:rPr>
                <w:rFonts w:ascii="Arial" w:hAnsi="Arial"/>
                <w:color w:val="1E293B"/>
                <w:sz w:val="18"/>
              </w:rPr>
              <w:t>Confectionery match-3 puzzle with cascading sugar combos and multipliers.</w:t>
            </w:r>
          </w:p>
        </w:tc>
      </w:tr>
      <w:tr>
        <w:tc>
          <w:tcPr>
            <w:tcW w:type="dxa" w:w="576"/>
            <w:shd w:fill="F8FAFC"/>
            <w:tcMar>
              <w:top w:w="100" w:type="dxa"/>
              <w:bottom w:w="100" w:type="dxa"/>
              <w:left w:w="140" w:type="dxa"/>
              <w:right w:w="140" w:type="dxa"/>
            </w:tcMar>
          </w:tcPr>
          <w:p>
            <w:pPr>
              <w:spacing w:before="0" w:after="0" w:line="276" w:lineRule="auto"/>
              <w:jc w:val="left"/>
            </w:pPr>
            <w:r>
              <w:rPr>
                <w:rFonts w:ascii="Arial" w:hAnsi="Arial"/>
                <w:color w:val="1E293B"/>
                <w:sz w:val="18"/>
              </w:rPr>
              <w:t>6</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Cake Sort</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Spatial Sorting</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Free / Ads / VIP</w:t>
            </w:r>
          </w:p>
        </w:tc>
        <w:tc>
          <w:tcPr>
            <w:tcW w:type="dxa" w:w="3600"/>
            <w:shd w:fill="F8FAFC"/>
            <w:tcMar>
              <w:top w:w="100" w:type="dxa"/>
              <w:bottom w:w="100" w:type="dxa"/>
              <w:left w:w="140" w:type="dxa"/>
              <w:right w:w="140" w:type="dxa"/>
            </w:tcMar>
          </w:tcPr>
          <w:p>
            <w:pPr>
              <w:spacing w:before="0" w:after="0" w:line="276" w:lineRule="auto"/>
              <w:jc w:val="left"/>
            </w:pPr>
            <w:r>
              <w:rPr>
                <w:rFonts w:ascii="Arial" w:hAnsi="Arial"/>
                <w:color w:val="1E293B"/>
                <w:sz w:val="18"/>
              </w:rPr>
              <w:t>Color slice organization puzzle requiring spatial logic and forward thinking.</w:t>
            </w:r>
          </w:p>
        </w:tc>
      </w:tr>
      <w:tr>
        <w:tc>
          <w:tcPr>
            <w:tcW w:type="dxa" w:w="576"/>
            <w:tcMar>
              <w:top w:w="100" w:type="dxa"/>
              <w:bottom w:w="100" w:type="dxa"/>
              <w:left w:w="140" w:type="dxa"/>
              <w:right w:w="140" w:type="dxa"/>
            </w:tcMar>
          </w:tcPr>
          <w:p>
            <w:pPr>
              <w:spacing w:before="0" w:after="0" w:line="276" w:lineRule="auto"/>
              <w:jc w:val="left"/>
            </w:pPr>
            <w:r>
              <w:rPr>
                <w:rFonts w:ascii="Arial" w:hAnsi="Arial"/>
                <w:color w:val="1E293B"/>
                <w:sz w:val="18"/>
              </w:rPr>
              <w:t>7</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Solitaire Classic</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Classic Card</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Free / Coins / VIP</w:t>
            </w:r>
          </w:p>
        </w:tc>
        <w:tc>
          <w:tcPr>
            <w:tcW w:type="dxa" w:w="3600"/>
            <w:tcMar>
              <w:top w:w="100" w:type="dxa"/>
              <w:bottom w:w="100" w:type="dxa"/>
              <w:left w:w="140" w:type="dxa"/>
              <w:right w:w="140" w:type="dxa"/>
            </w:tcMar>
          </w:tcPr>
          <w:p>
            <w:pPr>
              <w:spacing w:before="0" w:after="0" w:line="276" w:lineRule="auto"/>
              <w:jc w:val="left"/>
            </w:pPr>
            <w:r>
              <w:rPr>
                <w:rFonts w:ascii="Arial" w:hAnsi="Arial"/>
                <w:color w:val="1E293B"/>
                <w:sz w:val="18"/>
              </w:rPr>
              <w:t>Timeless Klondike card game with Draw 1/3 modes and Vegas scoring.</w:t>
            </w:r>
          </w:p>
        </w:tc>
      </w:tr>
      <w:tr>
        <w:tc>
          <w:tcPr>
            <w:tcW w:type="dxa" w:w="576"/>
            <w:shd w:fill="F8FAFC"/>
            <w:tcMar>
              <w:top w:w="100" w:type="dxa"/>
              <w:bottom w:w="100" w:type="dxa"/>
              <w:left w:w="140" w:type="dxa"/>
              <w:right w:w="140" w:type="dxa"/>
            </w:tcMar>
          </w:tcPr>
          <w:p>
            <w:pPr>
              <w:spacing w:before="0" w:after="0" w:line="276" w:lineRule="auto"/>
              <w:jc w:val="left"/>
            </w:pPr>
            <w:r>
              <w:rPr>
                <w:rFonts w:ascii="Arial" w:hAnsi="Arial"/>
                <w:color w:val="1E293B"/>
                <w:sz w:val="18"/>
              </w:rPr>
              <w:t>8</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Emoji Fun</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Word Association</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Free / VIP Pass</w:t>
            </w:r>
          </w:p>
        </w:tc>
        <w:tc>
          <w:tcPr>
            <w:tcW w:type="dxa" w:w="3600"/>
            <w:shd w:fill="F8FAFC"/>
            <w:tcMar>
              <w:top w:w="100" w:type="dxa"/>
              <w:bottom w:w="100" w:type="dxa"/>
              <w:left w:w="140" w:type="dxa"/>
              <w:right w:w="140" w:type="dxa"/>
            </w:tcMar>
          </w:tcPr>
          <w:p>
            <w:pPr>
              <w:spacing w:before="0" w:after="0" w:line="276" w:lineRule="auto"/>
              <w:jc w:val="left"/>
            </w:pPr>
            <w:r>
              <w:rPr>
                <w:rFonts w:ascii="Arial" w:hAnsi="Arial"/>
                <w:color w:val="1E293B"/>
                <w:sz w:val="18"/>
              </w:rPr>
              <w:t>40 progressive levels of emoji puzzles, word associations, and trivia.</w:t>
            </w:r>
          </w:p>
        </w:tc>
      </w:tr>
      <w:tr>
        <w:tc>
          <w:tcPr>
            <w:tcW w:type="dxa" w:w="576"/>
            <w:tcMar>
              <w:top w:w="100" w:type="dxa"/>
              <w:bottom w:w="100" w:type="dxa"/>
              <w:left w:w="140" w:type="dxa"/>
              <w:right w:w="140" w:type="dxa"/>
            </w:tcMar>
          </w:tcPr>
          <w:p>
            <w:pPr>
              <w:spacing w:before="0" w:after="0" w:line="276" w:lineRule="auto"/>
              <w:jc w:val="left"/>
            </w:pPr>
            <w:r>
              <w:rPr>
                <w:rFonts w:ascii="Arial" w:hAnsi="Arial"/>
                <w:color w:val="1E293B"/>
                <w:sz w:val="18"/>
              </w:rPr>
              <w:t>9</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Emoji IQ</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Mental Calculation</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Free / Coins / VIP</w:t>
            </w:r>
          </w:p>
        </w:tc>
        <w:tc>
          <w:tcPr>
            <w:tcW w:type="dxa" w:w="3600"/>
            <w:tcMar>
              <w:top w:w="100" w:type="dxa"/>
              <w:bottom w:w="100" w:type="dxa"/>
              <w:left w:w="140" w:type="dxa"/>
              <w:right w:w="140" w:type="dxa"/>
            </w:tcMar>
          </w:tcPr>
          <w:p>
            <w:pPr>
              <w:spacing w:before="0" w:after="0" w:line="276" w:lineRule="auto"/>
              <w:jc w:val="left"/>
            </w:pPr>
            <w:r>
              <w:rPr>
                <w:rFonts w:ascii="Arial" w:hAnsi="Arial"/>
                <w:color w:val="1E293B"/>
                <w:sz w:val="18"/>
              </w:rPr>
              <w:t>Fast-paced emoji equation challenge testing arithmetic speed and agility.</w:t>
            </w:r>
          </w:p>
        </w:tc>
      </w:tr>
      <w:tr>
        <w:tc>
          <w:tcPr>
            <w:tcW w:type="dxa" w:w="576"/>
            <w:shd w:fill="F8FAFC"/>
            <w:tcMar>
              <w:top w:w="100" w:type="dxa"/>
              <w:bottom w:w="100" w:type="dxa"/>
              <w:left w:w="140" w:type="dxa"/>
              <w:right w:w="140" w:type="dxa"/>
            </w:tcMar>
          </w:tcPr>
          <w:p>
            <w:pPr>
              <w:spacing w:before="0" w:after="0" w:line="276" w:lineRule="auto"/>
              <w:jc w:val="left"/>
            </w:pPr>
            <w:r>
              <w:rPr>
                <w:rFonts w:ascii="Arial" w:hAnsi="Arial"/>
                <w:color w:val="1E293B"/>
                <w:sz w:val="18"/>
              </w:rPr>
              <w:t>10</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Bubble Shooter</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Arcade Match-3</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Free / Ads / VIP</w:t>
            </w:r>
          </w:p>
        </w:tc>
        <w:tc>
          <w:tcPr>
            <w:tcW w:type="dxa" w:w="3600"/>
            <w:shd w:fill="F8FAFC"/>
            <w:tcMar>
              <w:top w:w="100" w:type="dxa"/>
              <w:bottom w:w="100" w:type="dxa"/>
              <w:left w:w="140" w:type="dxa"/>
              <w:right w:w="140" w:type="dxa"/>
            </w:tcMar>
          </w:tcPr>
          <w:p>
            <w:pPr>
              <w:spacing w:before="0" w:after="0" w:line="276" w:lineRule="auto"/>
              <w:jc w:val="left"/>
            </w:pPr>
            <w:r>
              <w:rPr>
                <w:rFonts w:ascii="Arial" w:hAnsi="Arial"/>
                <w:color w:val="1E293B"/>
                <w:sz w:val="18"/>
              </w:rPr>
              <w:t>Precision laser trajectory bubble shooter with cascading cluster pops.</w:t>
            </w:r>
          </w:p>
        </w:tc>
      </w:tr>
      <w:tr>
        <w:tc>
          <w:tcPr>
            <w:tcW w:type="dxa" w:w="576"/>
            <w:tcMar>
              <w:top w:w="100" w:type="dxa"/>
              <w:bottom w:w="100" w:type="dxa"/>
              <w:left w:w="140" w:type="dxa"/>
              <w:right w:w="140" w:type="dxa"/>
            </w:tcMar>
          </w:tcPr>
          <w:p>
            <w:pPr>
              <w:spacing w:before="0" w:after="0" w:line="276" w:lineRule="auto"/>
              <w:jc w:val="left"/>
            </w:pPr>
            <w:r>
              <w:rPr>
                <w:rFonts w:ascii="Arial" w:hAnsi="Arial"/>
                <w:color w:val="1E293B"/>
                <w:sz w:val="18"/>
              </w:rPr>
              <w:t>11</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Memory Match</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Cognitive Recall</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Free / Ads / VIP</w:t>
            </w:r>
          </w:p>
        </w:tc>
        <w:tc>
          <w:tcPr>
            <w:tcW w:type="dxa" w:w="3600"/>
            <w:tcMar>
              <w:top w:w="100" w:type="dxa"/>
              <w:bottom w:w="100" w:type="dxa"/>
              <w:left w:w="140" w:type="dxa"/>
              <w:right w:w="140" w:type="dxa"/>
            </w:tcMar>
          </w:tcPr>
          <w:p>
            <w:pPr>
              <w:spacing w:before="0" w:after="0" w:line="276" w:lineRule="auto"/>
              <w:jc w:val="left"/>
            </w:pPr>
            <w:r>
              <w:rPr>
                <w:rFonts w:ascii="Arial" w:hAnsi="Arial"/>
                <w:color w:val="1E293B"/>
                <w:sz w:val="18"/>
              </w:rPr>
              <w:t>3D card flip memory test reinforcing visual recall and concentration.</w:t>
            </w:r>
          </w:p>
        </w:tc>
      </w:tr>
      <w:tr>
        <w:tc>
          <w:tcPr>
            <w:tcW w:type="dxa" w:w="576"/>
            <w:shd w:fill="F8FAFC"/>
            <w:tcMar>
              <w:top w:w="100" w:type="dxa"/>
              <w:bottom w:w="100" w:type="dxa"/>
              <w:left w:w="140" w:type="dxa"/>
              <w:right w:w="140" w:type="dxa"/>
            </w:tcMar>
          </w:tcPr>
          <w:p>
            <w:pPr>
              <w:spacing w:before="0" w:after="0" w:line="276" w:lineRule="auto"/>
              <w:jc w:val="left"/>
            </w:pPr>
            <w:r>
              <w:rPr>
                <w:rFonts w:ascii="Arial" w:hAnsi="Arial"/>
                <w:color w:val="1E293B"/>
                <w:sz w:val="18"/>
              </w:rPr>
              <w:t>12</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Sorting Balls</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Physics Logic</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Free / Ads / VIP</w:t>
            </w:r>
          </w:p>
        </w:tc>
        <w:tc>
          <w:tcPr>
            <w:tcW w:type="dxa" w:w="3600"/>
            <w:shd w:fill="F8FAFC"/>
            <w:tcMar>
              <w:top w:w="100" w:type="dxa"/>
              <w:bottom w:w="100" w:type="dxa"/>
              <w:left w:w="140" w:type="dxa"/>
              <w:right w:w="140" w:type="dxa"/>
            </w:tcMar>
          </w:tcPr>
          <w:p>
            <w:pPr>
              <w:spacing w:before="0" w:after="0" w:line="276" w:lineRule="auto"/>
              <w:jc w:val="left"/>
            </w:pPr>
            <w:r>
              <w:rPr>
                <w:rFonts w:ascii="Arial" w:hAnsi="Arial"/>
                <w:color w:val="1E293B"/>
                <w:sz w:val="18"/>
              </w:rPr>
              <w:t>Test-tube colored sphere transfer puzzle testing foresight and strategy.</w:t>
            </w:r>
          </w:p>
        </w:tc>
      </w:tr>
      <w:tr>
        <w:tc>
          <w:tcPr>
            <w:tcW w:type="dxa" w:w="576"/>
            <w:tcMar>
              <w:top w:w="100" w:type="dxa"/>
              <w:bottom w:w="100" w:type="dxa"/>
              <w:left w:w="140" w:type="dxa"/>
              <w:right w:w="140" w:type="dxa"/>
            </w:tcMar>
          </w:tcPr>
          <w:p>
            <w:pPr>
              <w:spacing w:before="0" w:after="0" w:line="276" w:lineRule="auto"/>
              <w:jc w:val="left"/>
            </w:pPr>
            <w:r>
              <w:rPr>
                <w:rFonts w:ascii="Arial" w:hAnsi="Arial"/>
                <w:color w:val="1E293B"/>
                <w:sz w:val="18"/>
              </w:rPr>
              <w:t>13</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Emoji Sorting Ball</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Animated Puzzle</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Free / Ads / VIP</w:t>
            </w:r>
          </w:p>
        </w:tc>
        <w:tc>
          <w:tcPr>
            <w:tcW w:type="dxa" w:w="3600"/>
            <w:tcMar>
              <w:top w:w="100" w:type="dxa"/>
              <w:bottom w:w="100" w:type="dxa"/>
              <w:left w:w="140" w:type="dxa"/>
              <w:right w:w="140" w:type="dxa"/>
            </w:tcMar>
          </w:tcPr>
          <w:p>
            <w:pPr>
              <w:spacing w:before="0" w:after="0" w:line="276" w:lineRule="auto"/>
              <w:jc w:val="left"/>
            </w:pPr>
            <w:r>
              <w:rPr>
                <w:rFonts w:ascii="Arial" w:hAnsi="Arial"/>
                <w:color w:val="1E293B"/>
                <w:sz w:val="18"/>
              </w:rPr>
              <w:t>3D animated emoji sphere sorting challenge with expressive facial reactions.</w:t>
            </w:r>
          </w:p>
        </w:tc>
      </w:tr>
      <w:tr>
        <w:tc>
          <w:tcPr>
            <w:tcW w:type="dxa" w:w="576"/>
            <w:shd w:fill="F8FAFC"/>
            <w:tcMar>
              <w:top w:w="100" w:type="dxa"/>
              <w:bottom w:w="100" w:type="dxa"/>
              <w:left w:w="140" w:type="dxa"/>
              <w:right w:w="140" w:type="dxa"/>
            </w:tcMar>
          </w:tcPr>
          <w:p>
            <w:pPr>
              <w:spacing w:before="0" w:after="0" w:line="276" w:lineRule="auto"/>
              <w:jc w:val="left"/>
            </w:pPr>
            <w:r>
              <w:rPr>
                <w:rFonts w:ascii="Arial" w:hAnsi="Arial"/>
                <w:color w:val="1E293B"/>
                <w:sz w:val="18"/>
              </w:rPr>
              <w:t>14</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Puzzle Block</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Spatial Grid</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Free / Ads / VIP</w:t>
            </w:r>
          </w:p>
        </w:tc>
        <w:tc>
          <w:tcPr>
            <w:tcW w:type="dxa" w:w="3600"/>
            <w:shd w:fill="F8FAFC"/>
            <w:tcMar>
              <w:top w:w="100" w:type="dxa"/>
              <w:bottom w:w="100" w:type="dxa"/>
              <w:left w:w="140" w:type="dxa"/>
              <w:right w:w="140" w:type="dxa"/>
            </w:tcMar>
          </w:tcPr>
          <w:p>
            <w:pPr>
              <w:spacing w:before="0" w:after="0" w:line="276" w:lineRule="auto"/>
              <w:jc w:val="left"/>
            </w:pPr>
            <w:r>
              <w:rPr>
                <w:rFonts w:ascii="Arial" w:hAnsi="Arial"/>
                <w:color w:val="1E293B"/>
                <w:sz w:val="18"/>
              </w:rPr>
              <w:t>10x10 wooden grid block clearance challenge testing geometric placement.</w:t>
            </w:r>
          </w:p>
        </w:tc>
      </w:tr>
      <w:tr>
        <w:tc>
          <w:tcPr>
            <w:tcW w:type="dxa" w:w="576"/>
            <w:tcMar>
              <w:top w:w="100" w:type="dxa"/>
              <w:bottom w:w="100" w:type="dxa"/>
              <w:left w:w="140" w:type="dxa"/>
              <w:right w:w="140" w:type="dxa"/>
            </w:tcMar>
          </w:tcPr>
          <w:p>
            <w:pPr>
              <w:spacing w:before="0" w:after="0" w:line="276" w:lineRule="auto"/>
              <w:jc w:val="left"/>
            </w:pPr>
            <w:r>
              <w:rPr>
                <w:rFonts w:ascii="Arial" w:hAnsi="Arial"/>
                <w:color w:val="1E293B"/>
                <w:sz w:val="18"/>
              </w:rPr>
              <w:t>15</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Pop Piano</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Music &amp; Rhythm</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Free / Coins / VIP</w:t>
            </w:r>
          </w:p>
        </w:tc>
        <w:tc>
          <w:tcPr>
            <w:tcW w:type="dxa" w:w="3600"/>
            <w:tcMar>
              <w:top w:w="100" w:type="dxa"/>
              <w:bottom w:w="100" w:type="dxa"/>
              <w:left w:w="140" w:type="dxa"/>
              <w:right w:w="140" w:type="dxa"/>
            </w:tcMar>
          </w:tcPr>
          <w:p>
            <w:pPr>
              <w:spacing w:before="0" w:after="0" w:line="276" w:lineRule="auto"/>
              <w:jc w:val="left"/>
            </w:pPr>
            <w:r>
              <w:rPr>
                <w:rFonts w:ascii="Arial" w:hAnsi="Arial"/>
                <w:color w:val="1E293B"/>
                <w:sz w:val="18"/>
              </w:rPr>
              <w:t>Fast rhythm piano tile tap game featuring Ethiopian melodies and global hits.</w:t>
            </w:r>
          </w:p>
        </w:tc>
      </w:tr>
      <w:tr>
        <w:tc>
          <w:tcPr>
            <w:tcW w:type="dxa" w:w="576"/>
            <w:shd w:fill="F8FAFC"/>
            <w:tcMar>
              <w:top w:w="100" w:type="dxa"/>
              <w:bottom w:w="100" w:type="dxa"/>
              <w:left w:w="140" w:type="dxa"/>
              <w:right w:w="140" w:type="dxa"/>
            </w:tcMar>
          </w:tcPr>
          <w:p>
            <w:pPr>
              <w:spacing w:before="0" w:after="0" w:line="276" w:lineRule="auto"/>
              <w:jc w:val="left"/>
            </w:pPr>
            <w:r>
              <w:rPr>
                <w:rFonts w:ascii="Arial" w:hAnsi="Arial"/>
                <w:color w:val="1E293B"/>
                <w:sz w:val="18"/>
              </w:rPr>
              <w:t>16</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Pop Balloon</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Reflex Arcade</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Free / Ads / VIP</w:t>
            </w:r>
          </w:p>
        </w:tc>
        <w:tc>
          <w:tcPr>
            <w:tcW w:type="dxa" w:w="3600"/>
            <w:shd w:fill="F8FAFC"/>
            <w:tcMar>
              <w:top w:w="100" w:type="dxa"/>
              <w:bottom w:w="100" w:type="dxa"/>
              <w:left w:w="140" w:type="dxa"/>
              <w:right w:w="140" w:type="dxa"/>
            </w:tcMar>
          </w:tcPr>
          <w:p>
            <w:pPr>
              <w:spacing w:before="0" w:after="0" w:line="276" w:lineRule="auto"/>
              <w:jc w:val="left"/>
            </w:pPr>
            <w:r>
              <w:rPr>
                <w:rFonts w:ascii="Arial" w:hAnsi="Arial"/>
                <w:color w:val="1E293B"/>
                <w:sz w:val="18"/>
              </w:rPr>
              <w:t>Rapid-fire balloon popping testing visual tracking, speed, and timing.</w:t>
            </w:r>
          </w:p>
        </w:tc>
      </w:tr>
      <w:tr>
        <w:tc>
          <w:tcPr>
            <w:tcW w:type="dxa" w:w="576"/>
            <w:tcMar>
              <w:top w:w="100" w:type="dxa"/>
              <w:bottom w:w="100" w:type="dxa"/>
              <w:left w:w="140" w:type="dxa"/>
              <w:right w:w="140" w:type="dxa"/>
            </w:tcMar>
          </w:tcPr>
          <w:p>
            <w:pPr>
              <w:spacing w:before="0" w:after="0" w:line="276" w:lineRule="auto"/>
              <w:jc w:val="left"/>
            </w:pPr>
            <w:r>
              <w:rPr>
                <w:rFonts w:ascii="Arial" w:hAnsi="Arial"/>
                <w:color w:val="1E293B"/>
                <w:sz w:val="18"/>
              </w:rPr>
              <w:t>17</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Crazy Colors</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Reflex Physics</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Free / Ads / VIP</w:t>
            </w:r>
          </w:p>
        </w:tc>
        <w:tc>
          <w:tcPr>
            <w:tcW w:type="dxa" w:w="3600"/>
            <w:tcMar>
              <w:top w:w="100" w:type="dxa"/>
              <w:bottom w:w="100" w:type="dxa"/>
              <w:left w:w="140" w:type="dxa"/>
              <w:right w:w="140" w:type="dxa"/>
            </w:tcMar>
          </w:tcPr>
          <w:p>
            <w:pPr>
              <w:spacing w:before="0" w:after="0" w:line="276" w:lineRule="auto"/>
              <w:jc w:val="left"/>
            </w:pPr>
            <w:r>
              <w:rPr>
                <w:rFonts w:ascii="Arial" w:hAnsi="Arial"/>
                <w:color w:val="1E293B"/>
                <w:sz w:val="18"/>
              </w:rPr>
              <w:t>Precision color match ball bounce through rotating obstacle gates.</w:t>
            </w:r>
          </w:p>
        </w:tc>
      </w:tr>
      <w:tr>
        <w:tc>
          <w:tcPr>
            <w:tcW w:type="dxa" w:w="576"/>
            <w:shd w:fill="F8FAFC"/>
            <w:tcMar>
              <w:top w:w="100" w:type="dxa"/>
              <w:bottom w:w="100" w:type="dxa"/>
              <w:left w:w="140" w:type="dxa"/>
              <w:right w:w="140" w:type="dxa"/>
            </w:tcMar>
          </w:tcPr>
          <w:p>
            <w:pPr>
              <w:spacing w:before="0" w:after="0" w:line="276" w:lineRule="auto"/>
              <w:jc w:val="left"/>
            </w:pPr>
            <w:r>
              <w:rPr>
                <w:rFonts w:ascii="Arial" w:hAnsi="Arial"/>
                <w:color w:val="1E293B"/>
                <w:sz w:val="18"/>
              </w:rPr>
              <w:t>18</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Color Rush</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Speed Reflex</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Free / Ads / VIP</w:t>
            </w:r>
          </w:p>
        </w:tc>
        <w:tc>
          <w:tcPr>
            <w:tcW w:type="dxa" w:w="3600"/>
            <w:shd w:fill="F8FAFC"/>
            <w:tcMar>
              <w:top w:w="100" w:type="dxa"/>
              <w:bottom w:w="100" w:type="dxa"/>
              <w:left w:w="140" w:type="dxa"/>
              <w:right w:w="140" w:type="dxa"/>
            </w:tcMar>
          </w:tcPr>
          <w:p>
            <w:pPr>
              <w:spacing w:before="0" w:after="0" w:line="276" w:lineRule="auto"/>
              <w:jc w:val="left"/>
            </w:pPr>
            <w:r>
              <w:rPr>
                <w:rFonts w:ascii="Arial" w:hAnsi="Arial"/>
                <w:color w:val="1E293B"/>
                <w:sz w:val="18"/>
              </w:rPr>
              <w:t>High-speed reflex reaction arcade matching incoming chromatic neon pulses.</w:t>
            </w:r>
          </w:p>
        </w:tc>
      </w:tr>
      <w:tr>
        <w:tc>
          <w:tcPr>
            <w:tcW w:type="dxa" w:w="576"/>
            <w:tcMar>
              <w:top w:w="100" w:type="dxa"/>
              <w:bottom w:w="100" w:type="dxa"/>
              <w:left w:w="140" w:type="dxa"/>
              <w:right w:w="140" w:type="dxa"/>
            </w:tcMar>
          </w:tcPr>
          <w:p>
            <w:pPr>
              <w:spacing w:before="0" w:after="0" w:line="276" w:lineRule="auto"/>
              <w:jc w:val="left"/>
            </w:pPr>
            <w:r>
              <w:rPr>
                <w:rFonts w:ascii="Arial" w:hAnsi="Arial"/>
                <w:color w:val="1E293B"/>
                <w:sz w:val="18"/>
              </w:rPr>
              <w:t>19</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Knife Madness</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Target Precision</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Free / Coins / VIP</w:t>
            </w:r>
          </w:p>
        </w:tc>
        <w:tc>
          <w:tcPr>
            <w:tcW w:type="dxa" w:w="3600"/>
            <w:tcMar>
              <w:top w:w="100" w:type="dxa"/>
              <w:bottom w:w="100" w:type="dxa"/>
              <w:left w:w="140" w:type="dxa"/>
              <w:right w:w="140" w:type="dxa"/>
            </w:tcMar>
          </w:tcPr>
          <w:p>
            <w:pPr>
              <w:spacing w:before="0" w:after="0" w:line="276" w:lineRule="auto"/>
              <w:jc w:val="left"/>
            </w:pPr>
            <w:r>
              <w:rPr>
                <w:rFonts w:ascii="Arial" w:hAnsi="Arial"/>
                <w:color w:val="1E293B"/>
                <w:sz w:val="18"/>
              </w:rPr>
              <w:t>3D timber target knife throwing challenge testing timing and accuracy.</w:t>
            </w:r>
          </w:p>
        </w:tc>
      </w:tr>
      <w:tr>
        <w:tc>
          <w:tcPr>
            <w:tcW w:type="dxa" w:w="576"/>
            <w:shd w:fill="F8FAFC"/>
            <w:tcMar>
              <w:top w:w="100" w:type="dxa"/>
              <w:bottom w:w="100" w:type="dxa"/>
              <w:left w:w="140" w:type="dxa"/>
              <w:right w:w="140" w:type="dxa"/>
            </w:tcMar>
          </w:tcPr>
          <w:p>
            <w:pPr>
              <w:spacing w:before="0" w:after="0" w:line="276" w:lineRule="auto"/>
              <w:jc w:val="left"/>
            </w:pPr>
            <w:r>
              <w:rPr>
                <w:rFonts w:ascii="Arial" w:hAnsi="Arial"/>
                <w:color w:val="1E293B"/>
                <w:sz w:val="18"/>
              </w:rPr>
              <w:t>20</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Fruit Ninja / Slice</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Blade Action</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Free / Ads / VIP</w:t>
            </w:r>
          </w:p>
        </w:tc>
        <w:tc>
          <w:tcPr>
            <w:tcW w:type="dxa" w:w="3600"/>
            <w:shd w:fill="F8FAFC"/>
            <w:tcMar>
              <w:top w:w="100" w:type="dxa"/>
              <w:bottom w:w="100" w:type="dxa"/>
              <w:left w:w="140" w:type="dxa"/>
              <w:right w:w="140" w:type="dxa"/>
            </w:tcMar>
          </w:tcPr>
          <w:p>
            <w:pPr>
              <w:spacing w:before="0" w:after="0" w:line="276" w:lineRule="auto"/>
              <w:jc w:val="left"/>
            </w:pPr>
            <w:r>
              <w:rPr>
                <w:rFonts w:ascii="Arial" w:hAnsi="Arial"/>
                <w:color w:val="1E293B"/>
                <w:sz w:val="18"/>
              </w:rPr>
              <w:t>Katana blade slicing of airborne fruits with combo streaks and bomb evasion.</w:t>
            </w:r>
          </w:p>
        </w:tc>
      </w:tr>
      <w:tr>
        <w:tc>
          <w:tcPr>
            <w:tcW w:type="dxa" w:w="576"/>
            <w:tcMar>
              <w:top w:w="100" w:type="dxa"/>
              <w:bottom w:w="100" w:type="dxa"/>
              <w:left w:w="140" w:type="dxa"/>
              <w:right w:w="140" w:type="dxa"/>
            </w:tcMar>
          </w:tcPr>
          <w:p>
            <w:pPr>
              <w:spacing w:before="0" w:after="0" w:line="276" w:lineRule="auto"/>
              <w:jc w:val="left"/>
            </w:pPr>
            <w:r>
              <w:rPr>
                <w:rFonts w:ascii="Arial" w:hAnsi="Arial"/>
                <w:color w:val="1E293B"/>
                <w:sz w:val="18"/>
              </w:rPr>
              <w:t>21</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Halloween Fruit Slice</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Seasonal Arcade</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Free / Ads / VIP</w:t>
            </w:r>
          </w:p>
        </w:tc>
        <w:tc>
          <w:tcPr>
            <w:tcW w:type="dxa" w:w="3600"/>
            <w:tcMar>
              <w:top w:w="100" w:type="dxa"/>
              <w:bottom w:w="100" w:type="dxa"/>
              <w:left w:w="140" w:type="dxa"/>
              <w:right w:w="140" w:type="dxa"/>
            </w:tcMar>
          </w:tcPr>
          <w:p>
            <w:pPr>
              <w:spacing w:before="0" w:after="0" w:line="276" w:lineRule="auto"/>
              <w:jc w:val="left"/>
            </w:pPr>
            <w:r>
              <w:rPr>
                <w:rFonts w:ascii="Arial" w:hAnsi="Arial"/>
                <w:color w:val="1E293B"/>
                <w:sz w:val="18"/>
              </w:rPr>
              <w:t>Themed blade action slicing pumpkins, watermelons, and seasonal fruits.</w:t>
            </w:r>
          </w:p>
        </w:tc>
      </w:tr>
      <w:tr>
        <w:tc>
          <w:tcPr>
            <w:tcW w:type="dxa" w:w="576"/>
            <w:shd w:fill="F8FAFC"/>
            <w:tcMar>
              <w:top w:w="100" w:type="dxa"/>
              <w:bottom w:w="100" w:type="dxa"/>
              <w:left w:w="140" w:type="dxa"/>
              <w:right w:w="140" w:type="dxa"/>
            </w:tcMar>
          </w:tcPr>
          <w:p>
            <w:pPr>
              <w:spacing w:before="0" w:after="0" w:line="276" w:lineRule="auto"/>
              <w:jc w:val="left"/>
            </w:pPr>
            <w:r>
              <w:rPr>
                <w:rFonts w:ascii="Arial" w:hAnsi="Arial"/>
                <w:color w:val="1E293B"/>
                <w:sz w:val="18"/>
              </w:rPr>
              <w:t>22</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Hill Climb (Hill Rider)</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Physics Racing</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Free / Ads / VIP</w:t>
            </w:r>
          </w:p>
        </w:tc>
        <w:tc>
          <w:tcPr>
            <w:tcW w:type="dxa" w:w="3600"/>
            <w:shd w:fill="F8FAFC"/>
            <w:tcMar>
              <w:top w:w="100" w:type="dxa"/>
              <w:bottom w:w="100" w:type="dxa"/>
              <w:left w:w="140" w:type="dxa"/>
              <w:right w:w="140" w:type="dxa"/>
            </w:tcMar>
          </w:tcPr>
          <w:p>
            <w:pPr>
              <w:spacing w:before="0" w:after="0" w:line="276" w:lineRule="auto"/>
              <w:jc w:val="left"/>
            </w:pPr>
            <w:r>
              <w:rPr>
                <w:rFonts w:ascii="Arial" w:hAnsi="Arial"/>
                <w:color w:val="1E293B"/>
                <w:sz w:val="18"/>
              </w:rPr>
              <w:t>Highland motorcycle balance racing over rugged terrain and hills.</w:t>
            </w:r>
          </w:p>
        </w:tc>
      </w:tr>
      <w:tr>
        <w:tc>
          <w:tcPr>
            <w:tcW w:type="dxa" w:w="576"/>
            <w:tcMar>
              <w:top w:w="100" w:type="dxa"/>
              <w:bottom w:w="100" w:type="dxa"/>
              <w:left w:w="140" w:type="dxa"/>
              <w:right w:w="140" w:type="dxa"/>
            </w:tcMar>
          </w:tcPr>
          <w:p>
            <w:pPr>
              <w:spacing w:before="0" w:after="0" w:line="276" w:lineRule="auto"/>
              <w:jc w:val="left"/>
            </w:pPr>
            <w:r>
              <w:rPr>
                <w:rFonts w:ascii="Arial" w:hAnsi="Arial"/>
                <w:color w:val="1E293B"/>
                <w:sz w:val="18"/>
              </w:rPr>
              <w:t>23</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Moto Race 3D</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First-Person Racing</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Free / Ads / VIP</w:t>
            </w:r>
          </w:p>
        </w:tc>
        <w:tc>
          <w:tcPr>
            <w:tcW w:type="dxa" w:w="3600"/>
            <w:tcMar>
              <w:top w:w="100" w:type="dxa"/>
              <w:bottom w:w="100" w:type="dxa"/>
              <w:left w:w="140" w:type="dxa"/>
              <w:right w:w="140" w:type="dxa"/>
            </w:tcMar>
          </w:tcPr>
          <w:p>
            <w:pPr>
              <w:spacing w:before="0" w:after="0" w:line="276" w:lineRule="auto"/>
              <w:jc w:val="left"/>
            </w:pPr>
            <w:r>
              <w:rPr>
                <w:rFonts w:ascii="Arial" w:hAnsi="Arial"/>
                <w:color w:val="1E293B"/>
                <w:sz w:val="18"/>
              </w:rPr>
              <w:t>Highway motorcycle racer weaving through dense traffic at high speed.</w:t>
            </w:r>
          </w:p>
        </w:tc>
      </w:tr>
      <w:tr>
        <w:tc>
          <w:tcPr>
            <w:tcW w:type="dxa" w:w="576"/>
            <w:shd w:fill="F8FAFC"/>
            <w:tcMar>
              <w:top w:w="100" w:type="dxa"/>
              <w:bottom w:w="100" w:type="dxa"/>
              <w:left w:w="140" w:type="dxa"/>
              <w:right w:w="140" w:type="dxa"/>
            </w:tcMar>
          </w:tcPr>
          <w:p>
            <w:pPr>
              <w:spacing w:before="0" w:after="0" w:line="276" w:lineRule="auto"/>
              <w:jc w:val="left"/>
            </w:pPr>
            <w:r>
              <w:rPr>
                <w:rFonts w:ascii="Arial" w:hAnsi="Arial"/>
                <w:color w:val="1E293B"/>
                <w:sz w:val="18"/>
              </w:rPr>
              <w:t>24</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Soccer Shooter</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Sports Penalty</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Free / Coins / VIP</w:t>
            </w:r>
          </w:p>
        </w:tc>
        <w:tc>
          <w:tcPr>
            <w:tcW w:type="dxa" w:w="3600"/>
            <w:shd w:fill="F8FAFC"/>
            <w:tcMar>
              <w:top w:w="100" w:type="dxa"/>
              <w:bottom w:w="100" w:type="dxa"/>
              <w:left w:w="140" w:type="dxa"/>
              <w:right w:w="140" w:type="dxa"/>
            </w:tcMar>
          </w:tcPr>
          <w:p>
            <w:pPr>
              <w:spacing w:before="0" w:after="0" w:line="276" w:lineRule="auto"/>
              <w:jc w:val="left"/>
            </w:pPr>
            <w:r>
              <w:rPr>
                <w:rFonts w:ascii="Arial" w:hAnsi="Arial"/>
                <w:color w:val="1E293B"/>
                <w:sz w:val="18"/>
              </w:rPr>
              <w:t>Stadium penalty shootout showdown with realistic swerve and wind physics.</w:t>
            </w:r>
          </w:p>
        </w:tc>
      </w:tr>
      <w:tr>
        <w:tc>
          <w:tcPr>
            <w:tcW w:type="dxa" w:w="576"/>
            <w:tcMar>
              <w:top w:w="100" w:type="dxa"/>
              <w:bottom w:w="100" w:type="dxa"/>
              <w:left w:w="140" w:type="dxa"/>
              <w:right w:w="140" w:type="dxa"/>
            </w:tcMar>
          </w:tcPr>
          <w:p>
            <w:pPr>
              <w:spacing w:before="0" w:after="0" w:line="276" w:lineRule="auto"/>
              <w:jc w:val="left"/>
            </w:pPr>
            <w:r>
              <w:rPr>
                <w:rFonts w:ascii="Arial" w:hAnsi="Arial"/>
                <w:color w:val="1E293B"/>
                <w:sz w:val="18"/>
              </w:rPr>
              <w:t>25</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Soccer Ping Pong</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Table Sports</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Free / Ads / VIP</w:t>
            </w:r>
          </w:p>
        </w:tc>
        <w:tc>
          <w:tcPr>
            <w:tcW w:type="dxa" w:w="3600"/>
            <w:tcMar>
              <w:top w:w="100" w:type="dxa"/>
              <w:bottom w:w="100" w:type="dxa"/>
              <w:left w:w="140" w:type="dxa"/>
              <w:right w:w="140" w:type="dxa"/>
            </w:tcMar>
          </w:tcPr>
          <w:p>
            <w:pPr>
              <w:spacing w:before="0" w:after="0" w:line="276" w:lineRule="auto"/>
              <w:jc w:val="left"/>
            </w:pPr>
            <w:r>
              <w:rPr>
                <w:rFonts w:ascii="Arial" w:hAnsi="Arial"/>
                <w:color w:val="1E293B"/>
                <w:sz w:val="18"/>
              </w:rPr>
              <w:t>Fast arcade blend of table tennis paddle reflexes and football goals.</w:t>
            </w:r>
          </w:p>
        </w:tc>
      </w:tr>
      <w:tr>
        <w:tc>
          <w:tcPr>
            <w:tcW w:type="dxa" w:w="576"/>
            <w:shd w:fill="F8FAFC"/>
            <w:tcMar>
              <w:top w:w="100" w:type="dxa"/>
              <w:bottom w:w="100" w:type="dxa"/>
              <w:left w:w="140" w:type="dxa"/>
              <w:right w:w="140" w:type="dxa"/>
            </w:tcMar>
          </w:tcPr>
          <w:p>
            <w:pPr>
              <w:spacing w:before="0" w:after="0" w:line="276" w:lineRule="auto"/>
              <w:jc w:val="left"/>
            </w:pPr>
            <w:r>
              <w:rPr>
                <w:rFonts w:ascii="Arial" w:hAnsi="Arial"/>
                <w:color w:val="1E293B"/>
                <w:sz w:val="18"/>
              </w:rPr>
              <w:t>26</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Button Soccer</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Tabletop Football</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Free / Coins / VIP</w:t>
            </w:r>
          </w:p>
        </w:tc>
        <w:tc>
          <w:tcPr>
            <w:tcW w:type="dxa" w:w="3600"/>
            <w:shd w:fill="F8FAFC"/>
            <w:tcMar>
              <w:top w:w="100" w:type="dxa"/>
              <w:bottom w:w="100" w:type="dxa"/>
              <w:left w:w="140" w:type="dxa"/>
              <w:right w:w="140" w:type="dxa"/>
            </w:tcMar>
          </w:tcPr>
          <w:p>
            <w:pPr>
              <w:spacing w:before="0" w:after="0" w:line="276" w:lineRule="auto"/>
              <w:jc w:val="left"/>
            </w:pPr>
            <w:r>
              <w:rPr>
                <w:rFonts w:ascii="Arial" w:hAnsi="Arial"/>
                <w:color w:val="1E293B"/>
                <w:sz w:val="18"/>
              </w:rPr>
              <w:t>Tactical turn-based button football tournament with ricochet mechanics.</w:t>
            </w:r>
          </w:p>
        </w:tc>
      </w:tr>
    </w:tbl>
    <w:p>
      <w:pPr>
        <w:spacing w:after="120"/>
      </w:pPr>
    </w:p>
    <w:p>
      <w:r>
        <w:br w:type="page"/>
      </w:r>
    </w:p>
    <w:p>
      <w:pPr>
        <w:keepNext/>
        <w:spacing w:before="360" w:after="120"/>
      </w:pPr>
      <w:r>
        <w:rPr>
          <w:rFonts w:ascii="Arial" w:hAnsi="Arial"/>
          <w:b/>
          <w:color w:val="0A78BE"/>
          <w:sz w:val="30"/>
        </w:rPr>
        <w:t>4. In-Depth Sample Games Spotlight</w:t>
      </w:r>
    </w:p>
    <w:p>
      <w:pPr>
        <w:spacing w:before="40" w:after="80" w:line="276" w:lineRule="auto"/>
      </w:pPr>
      <w:r>
        <w:rPr>
          <w:rFonts w:ascii="Arial" w:hAnsi="Arial"/>
          <w:color w:val="334155"/>
          <w:sz w:val="19"/>
        </w:rPr>
        <w:t>Following the proven presentation format of approved telebirr gaming services, this section provides detailed operational breakdowns for six featured casual and edutainment titles. Each game is analyzed across its core mechanics, 9-stage customer journey, target demographic, user value proposition, and strategic benefit to Ethio Telecom.</w:t>
      </w:r>
    </w:p>
    <w:p>
      <w:pPr>
        <w:spacing w:before="280" w:after="80"/>
      </w:pPr>
      <w:r>
        <w:rPr>
          <w:rFonts w:ascii="Arial" w:hAnsi="Arial"/>
          <w:b/>
          <w:color w:val="64748B"/>
          <w:sz w:val="20"/>
        </w:rPr>
        <w:t xml:space="preserve">SAMPLE GAME SPOTLIGHT: </w:t>
      </w:r>
      <w:r>
        <w:rPr>
          <w:rFonts w:ascii="Arial" w:hAnsi="Arial"/>
          <w:b/>
          <w:color w:val="0A78BE"/>
          <w:sz w:val="26"/>
        </w:rPr>
        <w:t>Ethiopian Dama (ዳማ) (Traditional Cultural Board Game)</w:t>
      </w:r>
    </w:p>
    <w:p>
      <w:pPr>
        <w:spacing w:before="80" w:after="40"/>
        <w:jc w:val="center"/>
      </w:pPr>
      <w:r>
        <w:drawing>
          <wp:inline xmlns:a="http://schemas.openxmlformats.org/drawingml/2006/main" xmlns:pic="http://schemas.openxmlformats.org/drawingml/2006/picture">
            <wp:extent cx="5120640" cy="3840480"/>
            <wp:docPr id="1" name="Picture 1"/>
            <wp:cNvGraphicFramePr>
              <a:graphicFrameLocks noChangeAspect="1"/>
            </wp:cNvGraphicFramePr>
            <a:graphic>
              <a:graphicData uri="http://schemas.openxmlformats.org/drawingml/2006/picture">
                <pic:pic>
                  <pic:nvPicPr>
                    <pic:cNvPr id="0" name="dama.png"/>
                    <pic:cNvPicPr/>
                  </pic:nvPicPr>
                  <pic:blipFill>
                    <a:blip r:embed="rId11"/>
                    <a:stretch>
                      <a:fillRect/>
                    </a:stretch>
                  </pic:blipFill>
                  <pic:spPr>
                    <a:xfrm>
                      <a:off x="0" y="0"/>
                      <a:ext cx="5120640" cy="3840480"/>
                    </a:xfrm>
                    <a:prstGeom prst="rect"/>
                  </pic:spPr>
                </pic:pic>
              </a:graphicData>
            </a:graphic>
          </wp:inline>
        </w:drawing>
      </w:r>
    </w:p>
    <w:p>
      <w:pPr>
        <w:spacing w:before="40" w:after="120"/>
      </w:pPr>
      <w:r>
        <w:rPr>
          <w:rFonts w:ascii="Arial" w:hAnsi="Arial"/>
          <w:b/>
          <w:sz w:val="19"/>
        </w:rPr>
        <w:t xml:space="preserve">Live telebirr Game Link: </w:t>
      </w:r>
      <w:r>
        <w:rPr>
          <w:rFonts w:ascii="Arial" w:hAnsi="Arial"/>
          <w:color w:val="0A78BE"/>
          <w:sz w:val="19"/>
          <w:u w:val="single"/>
        </w:rPr>
        <w:t>https://goplay.innopulseplatform.com/games/dama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96"/>
        <w:gridCol w:w="4896"/>
      </w:tblGrid>
      <w:tr>
        <w:tc>
          <w:tcPr>
            <w:tcW w:type="dxa" w:w="2592"/>
            <w:shd w:fill="0A78BE"/>
            <w:tcMar>
              <w:top w:w="120" w:type="dxa"/>
              <w:bottom w:w="120" w:type="dxa"/>
              <w:left w:w="150" w:type="dxa"/>
              <w:right w:w="150" w:type="dxa"/>
            </w:tcMar>
          </w:tcPr>
          <w:p>
            <w:r>
              <w:rPr>
                <w:rFonts w:ascii="Arial" w:hAnsi="Arial"/>
                <w:b/>
                <w:color w:val="FFFFFF"/>
                <w:sz w:val="19"/>
              </w:rPr>
              <w:t>Section</w:t>
            </w:r>
          </w:p>
        </w:tc>
        <w:tc>
          <w:tcPr>
            <w:tcW w:type="dxa" w:w="7200"/>
            <w:shd w:fill="0A78BE"/>
            <w:tcMar>
              <w:top w:w="120" w:type="dxa"/>
              <w:bottom w:w="120" w:type="dxa"/>
              <w:left w:w="150" w:type="dxa"/>
              <w:right w:w="150" w:type="dxa"/>
            </w:tcMar>
          </w:tcPr>
          <w:p>
            <w:r>
              <w:rPr>
                <w:rFonts w:ascii="Arial" w:hAnsi="Arial"/>
                <w:b/>
                <w:color w:val="FFFFFF"/>
                <w:sz w:val="19"/>
              </w:rPr>
              <w:t>Details</w:t>
            </w:r>
          </w:p>
        </w:tc>
      </w:tr>
      <w:tr>
        <w:tc>
          <w:tcPr>
            <w:tcW w:type="dxa" w:w="2592"/>
            <w:shd w:fill="F1F5F9"/>
            <w:tcMar>
              <w:top w:w="100" w:type="dxa"/>
              <w:bottom w:w="100" w:type="dxa"/>
              <w:left w:w="130" w:type="dxa"/>
              <w:right w:w="130" w:type="dxa"/>
            </w:tcMar>
          </w:tcPr>
          <w:p>
            <w:r>
              <w:rPr>
                <w:rFonts w:ascii="Arial" w:hAnsi="Arial"/>
                <w:b/>
                <w:color w:val="0F172A"/>
                <w:sz w:val="18"/>
              </w:rPr>
              <w:t>Game Explanation</w:t>
            </w:r>
          </w:p>
        </w:tc>
        <w:tc>
          <w:tcPr>
            <w:tcW w:type="dxa" w:w="7200"/>
            <w:tcMar>
              <w:top w:w="100" w:type="dxa"/>
              <w:bottom w:w="100" w:type="dxa"/>
              <w:left w:w="140" w:type="dxa"/>
              <w:right w:w="140" w:type="dxa"/>
            </w:tcMar>
          </w:tcPr>
          <w:p>
            <w:pPr>
              <w:spacing w:line="276" w:lineRule="auto"/>
            </w:pPr>
            <w:r>
              <w:rPr>
                <w:rFonts w:ascii="Arial" w:hAnsi="Arial"/>
                <w:color w:val="334155"/>
                <w:sz w:val="17"/>
              </w:rPr>
              <w:t>Ethiopian Dama (Checkers) is the digitized adaptation of Ethiopia's beloved traditional board game. Faithfully respecting the authentic cultural rules of Ethiopian Dama, the game features smart AI opponents with tiered difficulty, two-player pass-and-play mode on a single screen, and online turn-based matches. Delivered in lightweight HTML5, it features rich wooden textures, traditional coffee-shop ambient soundscapes, and intuitive touch controls.</w:t>
            </w:r>
          </w:p>
        </w:tc>
      </w:tr>
      <w:tr>
        <w:tc>
          <w:tcPr>
            <w:tcW w:type="dxa" w:w="2592"/>
            <w:shd w:fill="F1F5F9"/>
            <w:tcMar>
              <w:top w:w="100" w:type="dxa"/>
              <w:bottom w:w="100" w:type="dxa"/>
              <w:left w:w="130" w:type="dxa"/>
              <w:right w:w="130" w:type="dxa"/>
            </w:tcMar>
          </w:tcPr>
          <w:p>
            <w:r>
              <w:rPr>
                <w:rFonts w:ascii="Arial" w:hAnsi="Arial"/>
                <w:b/>
                <w:color w:val="0F172A"/>
                <w:sz w:val="18"/>
              </w:rPr>
              <w:t>Customer Journey</w:t>
            </w:r>
          </w:p>
        </w:tc>
        <w:tc>
          <w:tcPr>
            <w:tcW w:type="dxa" w:w="7200"/>
            <w:shd w:fill="F8FAFC"/>
            <w:tcMar>
              <w:top w:w="100" w:type="dxa"/>
              <w:bottom w:w="100" w:type="dxa"/>
              <w:left w:w="140" w:type="dxa"/>
              <w:right w:w="140" w:type="dxa"/>
            </w:tcMar>
          </w:tcPr>
          <w:p>
            <w:pPr>
              <w:spacing w:line="276" w:lineRule="auto"/>
            </w:pPr>
            <w:r>
              <w:rPr>
                <w:rFonts w:ascii="Arial" w:hAnsi="Arial"/>
                <w:color w:val="334155"/>
                <w:sz w:val="17"/>
              </w:rPr>
              <w:t>1. Discovery: User sees Dama prominently featured under 'Traditional &amp; Cultural Games' in telebirr Game Center.</w:t>
              <w:br/>
              <w:t>2. Access: Launches instantly via telebirr mini-app with zero download; cached for instant re-launch.</w:t>
              <w:br/>
              <w:t>3. Payment: Free practice mode with AI; 2 ETB pay-per-play or included in Daily/Weekly/Monthly VIP subscription for competitive matches.</w:t>
              <w:br/>
              <w:t>4. Gameplay: Player maneuvers pieces across the traditional grid, executing flying captures according to authentic Ethiopian rules.</w:t>
              <w:br/>
              <w:t>5. Engagement: Daily cultural challenges, ranking badges, and regional leaderboards maintain ongoing motivation.</w:t>
              <w:br/>
              <w:t>6. Monetization: Optional cosmetic board themes (Lalibela stone, Axum wood), undo moves, and tournament entry fees via telebirr.</w:t>
              <w:br/>
              <w:t>7. Support: In-app rulebook in Amharic/English; telebirr payment support integrated.</w:t>
              <w:br/>
              <w:t>8. Retention: Weekly community cups and seasonal holiday events (Meskel, Enkutatash, Timket).</w:t>
              <w:br/>
              <w:t>9. Referral: 'Challenge a Friend' feature generates SMS/Telegram invite links, rewarding inviters with free game coins.</w:t>
            </w:r>
          </w:p>
        </w:tc>
      </w:tr>
      <w:tr>
        <w:tc>
          <w:tcPr>
            <w:tcW w:type="dxa" w:w="2592"/>
            <w:shd w:fill="F1F5F9"/>
            <w:tcMar>
              <w:top w:w="100" w:type="dxa"/>
              <w:bottom w:w="100" w:type="dxa"/>
              <w:left w:w="130" w:type="dxa"/>
              <w:right w:w="130" w:type="dxa"/>
            </w:tcMar>
          </w:tcPr>
          <w:p>
            <w:r>
              <w:rPr>
                <w:rFonts w:ascii="Arial" w:hAnsi="Arial"/>
                <w:b/>
                <w:color w:val="0F172A"/>
                <w:sz w:val="18"/>
              </w:rPr>
              <w:t>Target Audience</w:t>
            </w:r>
          </w:p>
        </w:tc>
        <w:tc>
          <w:tcPr>
            <w:tcW w:type="dxa" w:w="7200"/>
            <w:tcMar>
              <w:top w:w="100" w:type="dxa"/>
              <w:bottom w:w="100" w:type="dxa"/>
              <w:left w:w="140" w:type="dxa"/>
              <w:right w:w="140" w:type="dxa"/>
            </w:tcMar>
          </w:tcPr>
          <w:p>
            <w:pPr>
              <w:spacing w:line="276" w:lineRule="auto"/>
            </w:pPr>
            <w:r>
              <w:rPr>
                <w:rFonts w:ascii="Arial" w:hAnsi="Arial"/>
                <w:color w:val="334155"/>
                <w:sz w:val="17"/>
              </w:rPr>
              <w:t>• Broad Ethiopian population across all age groups (ages 12 to 65+)</w:t>
              <w:br/>
              <w:t>• Cultural enthusiasts and players who frequent traditional coffee houses and tea rooms</w:t>
              <w:br/>
              <w:t>• Older demographics who may not play modern video games but possess deep affection for Dama</w:t>
              <w:br/>
              <w:t>• Families seeking culturally educational and inter-generational gameplay</w:t>
            </w:r>
          </w:p>
        </w:tc>
      </w:tr>
      <w:tr>
        <w:tc>
          <w:tcPr>
            <w:tcW w:type="dxa" w:w="2592"/>
            <w:shd w:fill="F1F5F9"/>
            <w:tcMar>
              <w:top w:w="100" w:type="dxa"/>
              <w:bottom w:w="100" w:type="dxa"/>
              <w:left w:w="130" w:type="dxa"/>
              <w:right w:w="130" w:type="dxa"/>
            </w:tcMar>
          </w:tcPr>
          <w:p>
            <w:r>
              <w:rPr>
                <w:rFonts w:ascii="Arial" w:hAnsi="Arial"/>
                <w:b/>
                <w:color w:val="0F172A"/>
                <w:sz w:val="18"/>
              </w:rPr>
              <w:t>Value Proposition for Users</w:t>
            </w:r>
          </w:p>
        </w:tc>
        <w:tc>
          <w:tcPr>
            <w:tcW w:type="dxa" w:w="7200"/>
            <w:shd w:fill="F8FAFC"/>
            <w:tcMar>
              <w:top w:w="100" w:type="dxa"/>
              <w:bottom w:w="100" w:type="dxa"/>
              <w:left w:w="140" w:type="dxa"/>
              <w:right w:w="140" w:type="dxa"/>
            </w:tcMar>
          </w:tcPr>
          <w:p>
            <w:pPr>
              <w:spacing w:line="276" w:lineRule="auto"/>
            </w:pPr>
            <w:r>
              <w:rPr>
                <w:rFonts w:ascii="Arial" w:hAnsi="Arial"/>
                <w:color w:val="334155"/>
                <w:sz w:val="17"/>
              </w:rPr>
              <w:t>• Authentic representation of Ethiopian culture and rules on a mobile phone</w:t>
              <w:br/>
              <w:t>• Instant play without consuming memory or waiting for app store downloads</w:t>
              <w:br/>
              <w:t>• Playable against intelligent AI or with family members on a single screen</w:t>
              <w:br/>
              <w:t>• Smooth performance on both low-cost feature smartphones and modern devices</w:t>
            </w:r>
          </w:p>
        </w:tc>
      </w:tr>
      <w:tr>
        <w:tc>
          <w:tcPr>
            <w:tcW w:type="dxa" w:w="2592"/>
            <w:shd w:fill="F1F5F9"/>
            <w:tcMar>
              <w:top w:w="100" w:type="dxa"/>
              <w:bottom w:w="100" w:type="dxa"/>
              <w:left w:w="130" w:type="dxa"/>
              <w:right w:w="130" w:type="dxa"/>
            </w:tcMar>
          </w:tcPr>
          <w:p>
            <w:r>
              <w:rPr>
                <w:rFonts w:ascii="Arial" w:hAnsi="Arial"/>
                <w:b/>
                <w:color w:val="0F172A"/>
                <w:sz w:val="18"/>
              </w:rPr>
              <w:t>Value Proposition for telebirr / Ethio Telecom</w:t>
            </w:r>
          </w:p>
        </w:tc>
        <w:tc>
          <w:tcPr>
            <w:tcW w:type="dxa" w:w="7200"/>
            <w:tcMar>
              <w:top w:w="100" w:type="dxa"/>
              <w:bottom w:w="100" w:type="dxa"/>
              <w:left w:w="140" w:type="dxa"/>
              <w:right w:w="140" w:type="dxa"/>
            </w:tcMar>
          </w:tcPr>
          <w:p>
            <w:pPr>
              <w:spacing w:line="276" w:lineRule="auto"/>
            </w:pPr>
            <w:r>
              <w:rPr>
                <w:rFonts w:ascii="Arial" w:hAnsi="Arial"/>
                <w:color w:val="334155"/>
                <w:sz w:val="17"/>
              </w:rPr>
              <w:t>• Strong national brand affinity and public praise for digitizing indigenous Ethiopian heritage</w:t>
              <w:br/>
              <w:t>• Captures high-engagement adult and older subscriber segments often overlooked by modern mobile games</w:t>
              <w:br/>
              <w:t>• Generates steady daily micro-transactions and reinforces telebirr as the hub of Ethiopian daily lifestyle</w:t>
              <w:br/>
              <w:t>• Low technical maintenance overhead with exceptionally high customer retention</w:t>
            </w:r>
          </w:p>
        </w:tc>
      </w:tr>
    </w:tbl>
    <w:p>
      <w:pPr>
        <w:spacing w:after="160"/>
      </w:pPr>
    </w:p>
    <w:p>
      <w:r>
        <w:br w:type="page"/>
      </w:r>
    </w:p>
    <w:p>
      <w:pPr>
        <w:spacing w:before="280" w:after="80"/>
      </w:pPr>
      <w:r>
        <w:rPr>
          <w:rFonts w:ascii="Arial" w:hAnsi="Arial"/>
          <w:b/>
          <w:color w:val="64748B"/>
          <w:sz w:val="20"/>
        </w:rPr>
        <w:t xml:space="preserve">SAMPLE GAME SPOTLIGHT: </w:t>
      </w:r>
      <w:r>
        <w:rPr>
          <w:rFonts w:ascii="Arial" w:hAnsi="Arial"/>
          <w:b/>
          <w:color w:val="0A78BE"/>
          <w:sz w:val="26"/>
        </w:rPr>
        <w:t>Word Legend (Ethiopian Heritage &amp; Trivia) (Edutainment &amp; Cultural Trivia)</w:t>
      </w:r>
    </w:p>
    <w:p>
      <w:pPr>
        <w:spacing w:before="80" w:after="40"/>
        <w:jc w:val="center"/>
      </w:pPr>
      <w:r>
        <w:drawing>
          <wp:inline xmlns:a="http://schemas.openxmlformats.org/drawingml/2006/main" xmlns:pic="http://schemas.openxmlformats.org/drawingml/2006/picture">
            <wp:extent cx="5120640" cy="3840480"/>
            <wp:docPr id="2" name="Picture 2"/>
            <wp:cNvGraphicFramePr>
              <a:graphicFrameLocks noChangeAspect="1"/>
            </wp:cNvGraphicFramePr>
            <a:graphic>
              <a:graphicData uri="http://schemas.openxmlformats.org/drawingml/2006/picture">
                <pic:pic>
                  <pic:nvPicPr>
                    <pic:cNvPr id="0" name="Word legend.png"/>
                    <pic:cNvPicPr/>
                  </pic:nvPicPr>
                  <pic:blipFill>
                    <a:blip r:embed="rId12"/>
                    <a:stretch>
                      <a:fillRect/>
                    </a:stretch>
                  </pic:blipFill>
                  <pic:spPr>
                    <a:xfrm>
                      <a:off x="0" y="0"/>
                      <a:ext cx="5120640" cy="3840480"/>
                    </a:xfrm>
                    <a:prstGeom prst="rect"/>
                  </pic:spPr>
                </pic:pic>
              </a:graphicData>
            </a:graphic>
          </wp:inline>
        </w:drawing>
      </w:r>
    </w:p>
    <w:p>
      <w:pPr>
        <w:spacing w:before="40" w:after="120"/>
      </w:pPr>
      <w:r>
        <w:rPr>
          <w:rFonts w:ascii="Arial" w:hAnsi="Arial"/>
          <w:b/>
          <w:sz w:val="19"/>
        </w:rPr>
        <w:t xml:space="preserve">Live telebirr Game Link: </w:t>
      </w:r>
      <w:r>
        <w:rPr>
          <w:rFonts w:ascii="Arial" w:hAnsi="Arial"/>
          <w:color w:val="0A78BE"/>
          <w:sz w:val="19"/>
          <w:u w:val="single"/>
        </w:rPr>
        <w:t>https://goplay.innopulseplatform.com/games/word-legend</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96"/>
        <w:gridCol w:w="4896"/>
      </w:tblGrid>
      <w:tr>
        <w:tc>
          <w:tcPr>
            <w:tcW w:type="dxa" w:w="2592"/>
            <w:shd w:fill="0A78BE"/>
            <w:tcMar>
              <w:top w:w="120" w:type="dxa"/>
              <w:bottom w:w="120" w:type="dxa"/>
              <w:left w:w="150" w:type="dxa"/>
              <w:right w:w="150" w:type="dxa"/>
            </w:tcMar>
          </w:tcPr>
          <w:p>
            <w:r>
              <w:rPr>
                <w:rFonts w:ascii="Arial" w:hAnsi="Arial"/>
                <w:b/>
                <w:color w:val="FFFFFF"/>
                <w:sz w:val="19"/>
              </w:rPr>
              <w:t>Section</w:t>
            </w:r>
          </w:p>
        </w:tc>
        <w:tc>
          <w:tcPr>
            <w:tcW w:type="dxa" w:w="7200"/>
            <w:shd w:fill="0A78BE"/>
            <w:tcMar>
              <w:top w:w="120" w:type="dxa"/>
              <w:bottom w:w="120" w:type="dxa"/>
              <w:left w:w="150" w:type="dxa"/>
              <w:right w:w="150" w:type="dxa"/>
            </w:tcMar>
          </w:tcPr>
          <w:p>
            <w:r>
              <w:rPr>
                <w:rFonts w:ascii="Arial" w:hAnsi="Arial"/>
                <w:b/>
                <w:color w:val="FFFFFF"/>
                <w:sz w:val="19"/>
              </w:rPr>
              <w:t>Details</w:t>
            </w:r>
          </w:p>
        </w:tc>
      </w:tr>
      <w:tr>
        <w:tc>
          <w:tcPr>
            <w:tcW w:type="dxa" w:w="2592"/>
            <w:shd w:fill="F1F5F9"/>
            <w:tcMar>
              <w:top w:w="100" w:type="dxa"/>
              <w:bottom w:w="100" w:type="dxa"/>
              <w:left w:w="130" w:type="dxa"/>
              <w:right w:w="130" w:type="dxa"/>
            </w:tcMar>
          </w:tcPr>
          <w:p>
            <w:r>
              <w:rPr>
                <w:rFonts w:ascii="Arial" w:hAnsi="Arial"/>
                <w:b/>
                <w:color w:val="0F172A"/>
                <w:sz w:val="18"/>
              </w:rPr>
              <w:t>Game Explanation</w:t>
            </w:r>
          </w:p>
        </w:tc>
        <w:tc>
          <w:tcPr>
            <w:tcW w:type="dxa" w:w="7200"/>
            <w:tcMar>
              <w:top w:w="100" w:type="dxa"/>
              <w:bottom w:w="100" w:type="dxa"/>
              <w:left w:w="140" w:type="dxa"/>
              <w:right w:w="140" w:type="dxa"/>
            </w:tcMar>
          </w:tcPr>
          <w:p>
            <w:pPr>
              <w:spacing w:line="276" w:lineRule="auto"/>
            </w:pPr>
            <w:r>
              <w:rPr>
                <w:rFonts w:ascii="Arial" w:hAnsi="Arial"/>
                <w:color w:val="334155"/>
                <w:sz w:val="17"/>
              </w:rPr>
              <w:t>Word Legend is an educational trivia and word-puzzle game celebrating Ethiopian civilization, national history, geography, and global knowledge. Players navigate through historical eras—including Axumite civilization, Lalibela rock-hewn churches, Gondar castles, and the Battle of Adwa—solving word puzzles, unscrambling historical terms, and answering timed trivia questions. The title supports both Amharic and English text modes.</w:t>
            </w:r>
          </w:p>
        </w:tc>
      </w:tr>
      <w:tr>
        <w:tc>
          <w:tcPr>
            <w:tcW w:type="dxa" w:w="2592"/>
            <w:shd w:fill="F1F5F9"/>
            <w:tcMar>
              <w:top w:w="100" w:type="dxa"/>
              <w:bottom w:w="100" w:type="dxa"/>
              <w:left w:w="130" w:type="dxa"/>
              <w:right w:w="130" w:type="dxa"/>
            </w:tcMar>
          </w:tcPr>
          <w:p>
            <w:r>
              <w:rPr>
                <w:rFonts w:ascii="Arial" w:hAnsi="Arial"/>
                <w:b/>
                <w:color w:val="0F172A"/>
                <w:sz w:val="18"/>
              </w:rPr>
              <w:t>Customer Journey</w:t>
            </w:r>
          </w:p>
        </w:tc>
        <w:tc>
          <w:tcPr>
            <w:tcW w:type="dxa" w:w="7200"/>
            <w:shd w:fill="F8FAFC"/>
            <w:tcMar>
              <w:top w:w="100" w:type="dxa"/>
              <w:bottom w:w="100" w:type="dxa"/>
              <w:left w:w="140" w:type="dxa"/>
              <w:right w:w="140" w:type="dxa"/>
            </w:tcMar>
          </w:tcPr>
          <w:p>
            <w:pPr>
              <w:spacing w:line="276" w:lineRule="auto"/>
            </w:pPr>
            <w:r>
              <w:rPr>
                <w:rFonts w:ascii="Arial" w:hAnsi="Arial"/>
                <w:color w:val="334155"/>
                <w:sz w:val="17"/>
              </w:rPr>
              <w:t>1. Discovery: Highlighted in telebirr Game Center's 'Edutainment &amp; Learning' banner section.</w:t>
              <w:br/>
              <w:t>2. Access: One-tap launch within telebirr webview; zero installation footprint.</w:t>
              <w:br/>
              <w:t>3. Payment: First 10 levels completely free; full historical campaign unlocked via 10 ETB Weekly or 30 ETB Monthly Pass.</w:t>
              <w:br/>
              <w:t>4. Gameplay: Player solves crossword matrices, decodes ancient scripts, and identifies historical monuments under time targets.</w:t>
              <w:br/>
              <w:t>5. Engagement: Daily historical trivia quests, educational streak rewards, and school-level leaderboards.</w:t>
              <w:br/>
              <w:t>6. Monetization: Letter reveal hints, extra timer power-ups, and specialty trivia expansion packs purchased via telebirr.</w:t>
              <w:br/>
              <w:t>7. Support: Direct in-app feedback channel and integrated telebirr transaction verification.</w:t>
              <w:br/>
              <w:t>8. Retention: New trivia question packs added bi-weekly covering Ethiopian wildlife, sports legends, and folklore.</w:t>
              <w:br/>
              <w:t>9. Referral: Players share completed historical badges to social media, earning bonus hint tokens.</w:t>
            </w:r>
          </w:p>
        </w:tc>
      </w:tr>
      <w:tr>
        <w:tc>
          <w:tcPr>
            <w:tcW w:type="dxa" w:w="2592"/>
            <w:shd w:fill="F1F5F9"/>
            <w:tcMar>
              <w:top w:w="100" w:type="dxa"/>
              <w:bottom w:w="100" w:type="dxa"/>
              <w:left w:w="130" w:type="dxa"/>
              <w:right w:w="130" w:type="dxa"/>
            </w:tcMar>
          </w:tcPr>
          <w:p>
            <w:r>
              <w:rPr>
                <w:rFonts w:ascii="Arial" w:hAnsi="Arial"/>
                <w:b/>
                <w:color w:val="0F172A"/>
                <w:sz w:val="18"/>
              </w:rPr>
              <w:t>Target Audience</w:t>
            </w:r>
          </w:p>
        </w:tc>
        <w:tc>
          <w:tcPr>
            <w:tcW w:type="dxa" w:w="7200"/>
            <w:tcMar>
              <w:top w:w="100" w:type="dxa"/>
              <w:bottom w:w="100" w:type="dxa"/>
              <w:left w:w="140" w:type="dxa"/>
              <w:right w:w="140" w:type="dxa"/>
            </w:tcMar>
          </w:tcPr>
          <w:p>
            <w:pPr>
              <w:spacing w:line="276" w:lineRule="auto"/>
            </w:pPr>
            <w:r>
              <w:rPr>
                <w:rFonts w:ascii="Arial" w:hAnsi="Arial"/>
                <w:color w:val="334155"/>
                <w:sz w:val="17"/>
              </w:rPr>
              <w:t>• Students (primary, secondary, and tertiary university youth)</w:t>
              <w:br/>
              <w:t>• Parents seeking constructive, educational screen time for their children</w:t>
              <w:br/>
              <w:t>• Teachers, history buffs, and trivia enthusiasts across Ethiopia</w:t>
              <w:br/>
              <w:t>• telebirr subscribers seeking rewarding intellectual stimulation during commutes</w:t>
            </w:r>
          </w:p>
        </w:tc>
      </w:tr>
      <w:tr>
        <w:tc>
          <w:tcPr>
            <w:tcW w:type="dxa" w:w="2592"/>
            <w:shd w:fill="F1F5F9"/>
            <w:tcMar>
              <w:top w:w="100" w:type="dxa"/>
              <w:bottom w:w="100" w:type="dxa"/>
              <w:left w:w="130" w:type="dxa"/>
              <w:right w:w="130" w:type="dxa"/>
            </w:tcMar>
          </w:tcPr>
          <w:p>
            <w:r>
              <w:rPr>
                <w:rFonts w:ascii="Arial" w:hAnsi="Arial"/>
                <w:b/>
                <w:color w:val="0F172A"/>
                <w:sz w:val="18"/>
              </w:rPr>
              <w:t>Value Proposition for Users</w:t>
            </w:r>
          </w:p>
        </w:tc>
        <w:tc>
          <w:tcPr>
            <w:tcW w:type="dxa" w:w="7200"/>
            <w:shd w:fill="F8FAFC"/>
            <w:tcMar>
              <w:top w:w="100" w:type="dxa"/>
              <w:bottom w:w="100" w:type="dxa"/>
              <w:left w:w="140" w:type="dxa"/>
              <w:right w:w="140" w:type="dxa"/>
            </w:tcMar>
          </w:tcPr>
          <w:p>
            <w:pPr>
              <w:spacing w:line="276" w:lineRule="auto"/>
            </w:pPr>
            <w:r>
              <w:rPr>
                <w:rFonts w:ascii="Arial" w:hAnsi="Arial"/>
                <w:color w:val="334155"/>
                <w:sz w:val="17"/>
              </w:rPr>
              <w:t>• Fosters intellectual growth, vocabulary expansion, and historical knowledge</w:t>
              <w:br/>
              <w:t>• Engaging gamified learning mechanics tailored specifically for Ethiopian curriculum and heritage</w:t>
              <w:br/>
              <w:t>• Safe, family-friendly environment free from violence, adult themes, or predatory ads</w:t>
              <w:br/>
              <w:t>• Effortless micro-payments via telebirr for hints and bonus question packs</w:t>
            </w:r>
          </w:p>
        </w:tc>
      </w:tr>
      <w:tr>
        <w:tc>
          <w:tcPr>
            <w:tcW w:type="dxa" w:w="2592"/>
            <w:shd w:fill="F1F5F9"/>
            <w:tcMar>
              <w:top w:w="100" w:type="dxa"/>
              <w:bottom w:w="100" w:type="dxa"/>
              <w:left w:w="130" w:type="dxa"/>
              <w:right w:w="130" w:type="dxa"/>
            </w:tcMar>
          </w:tcPr>
          <w:p>
            <w:r>
              <w:rPr>
                <w:rFonts w:ascii="Arial" w:hAnsi="Arial"/>
                <w:b/>
                <w:color w:val="0F172A"/>
                <w:sz w:val="18"/>
              </w:rPr>
              <w:t>Value Proposition for telebirr / Ethio Telecom</w:t>
            </w:r>
          </w:p>
        </w:tc>
        <w:tc>
          <w:tcPr>
            <w:tcW w:type="dxa" w:w="7200"/>
            <w:tcMar>
              <w:top w:w="100" w:type="dxa"/>
              <w:bottom w:w="100" w:type="dxa"/>
              <w:left w:w="140" w:type="dxa"/>
              <w:right w:w="140" w:type="dxa"/>
            </w:tcMar>
          </w:tcPr>
          <w:p>
            <w:pPr>
              <w:spacing w:line="276" w:lineRule="auto"/>
            </w:pPr>
            <w:r>
              <w:rPr>
                <w:rFonts w:ascii="Arial" w:hAnsi="Arial"/>
                <w:color w:val="334155"/>
                <w:sz w:val="17"/>
              </w:rPr>
              <w:t>• Positions Ethio Telecom and telebirr as champions of national education and digital literacy</w:t>
              <w:br/>
              <w:t>• Excellent alignment with Corporate Social Responsibility (CSR) and youth empowerment goals</w:t>
              <w:br/>
              <w:t>• High endorsement from parents, resulting in long-term recurring monthly subscription retention</w:t>
              <w:br/>
              <w:t>• Stimulates daily active usage during study breaks, weekends, and holidays</w:t>
            </w:r>
          </w:p>
        </w:tc>
      </w:tr>
    </w:tbl>
    <w:p>
      <w:pPr>
        <w:spacing w:after="160"/>
      </w:pPr>
    </w:p>
    <w:p>
      <w:r>
        <w:br w:type="page"/>
      </w:r>
    </w:p>
    <w:p>
      <w:pPr>
        <w:spacing w:before="280" w:after="80"/>
      </w:pPr>
      <w:r>
        <w:rPr>
          <w:rFonts w:ascii="Arial" w:hAnsi="Arial"/>
          <w:b/>
          <w:color w:val="64748B"/>
          <w:sz w:val="20"/>
        </w:rPr>
        <w:t xml:space="preserve">SAMPLE GAME SPOTLIGHT: </w:t>
      </w:r>
      <w:r>
        <w:rPr>
          <w:rFonts w:ascii="Arial" w:hAnsi="Arial"/>
          <w:b/>
          <w:color w:val="0A78BE"/>
          <w:sz w:val="26"/>
        </w:rPr>
        <w:t>Royal Water Sort (3D Liquid Logic &amp; Relaxation Puzzle)</w:t>
      </w:r>
    </w:p>
    <w:p>
      <w:pPr>
        <w:spacing w:before="80" w:after="40"/>
        <w:jc w:val="center"/>
      </w:pPr>
      <w:r>
        <w:drawing>
          <wp:inline xmlns:a="http://schemas.openxmlformats.org/drawingml/2006/main" xmlns:pic="http://schemas.openxmlformats.org/drawingml/2006/picture">
            <wp:extent cx="5120640" cy="3840480"/>
            <wp:docPr id="3" name="Picture 3"/>
            <wp:cNvGraphicFramePr>
              <a:graphicFrameLocks noChangeAspect="1"/>
            </wp:cNvGraphicFramePr>
            <a:graphic>
              <a:graphicData uri="http://schemas.openxmlformats.org/drawingml/2006/picture">
                <pic:pic>
                  <pic:nvPicPr>
                    <pic:cNvPr id="0" name="Royal Water Sort.png"/>
                    <pic:cNvPicPr/>
                  </pic:nvPicPr>
                  <pic:blipFill>
                    <a:blip r:embed="rId13"/>
                    <a:stretch>
                      <a:fillRect/>
                    </a:stretch>
                  </pic:blipFill>
                  <pic:spPr>
                    <a:xfrm>
                      <a:off x="0" y="0"/>
                      <a:ext cx="5120640" cy="3840480"/>
                    </a:xfrm>
                    <a:prstGeom prst="rect"/>
                  </pic:spPr>
                </pic:pic>
              </a:graphicData>
            </a:graphic>
          </wp:inline>
        </w:drawing>
      </w:r>
    </w:p>
    <w:p>
      <w:pPr>
        <w:spacing w:before="40" w:after="120"/>
      </w:pPr>
      <w:r>
        <w:rPr>
          <w:rFonts w:ascii="Arial" w:hAnsi="Arial"/>
          <w:b/>
          <w:sz w:val="19"/>
        </w:rPr>
        <w:t xml:space="preserve">Live telebirr Game Link: </w:t>
      </w:r>
      <w:r>
        <w:rPr>
          <w:rFonts w:ascii="Arial" w:hAnsi="Arial"/>
          <w:color w:val="0A78BE"/>
          <w:sz w:val="19"/>
          <w:u w:val="single"/>
        </w:rPr>
        <w:t>https://goplay.innopulseplatform.com/games/royal-water-sort</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96"/>
        <w:gridCol w:w="4896"/>
      </w:tblGrid>
      <w:tr>
        <w:tc>
          <w:tcPr>
            <w:tcW w:type="dxa" w:w="2592"/>
            <w:shd w:fill="0A78BE"/>
            <w:tcMar>
              <w:top w:w="120" w:type="dxa"/>
              <w:bottom w:w="120" w:type="dxa"/>
              <w:left w:w="150" w:type="dxa"/>
              <w:right w:w="150" w:type="dxa"/>
            </w:tcMar>
          </w:tcPr>
          <w:p>
            <w:r>
              <w:rPr>
                <w:rFonts w:ascii="Arial" w:hAnsi="Arial"/>
                <w:b/>
                <w:color w:val="FFFFFF"/>
                <w:sz w:val="19"/>
              </w:rPr>
              <w:t>Section</w:t>
            </w:r>
          </w:p>
        </w:tc>
        <w:tc>
          <w:tcPr>
            <w:tcW w:type="dxa" w:w="7200"/>
            <w:shd w:fill="0A78BE"/>
            <w:tcMar>
              <w:top w:w="120" w:type="dxa"/>
              <w:bottom w:w="120" w:type="dxa"/>
              <w:left w:w="150" w:type="dxa"/>
              <w:right w:w="150" w:type="dxa"/>
            </w:tcMar>
          </w:tcPr>
          <w:p>
            <w:r>
              <w:rPr>
                <w:rFonts w:ascii="Arial" w:hAnsi="Arial"/>
                <w:b/>
                <w:color w:val="FFFFFF"/>
                <w:sz w:val="19"/>
              </w:rPr>
              <w:t>Details</w:t>
            </w:r>
          </w:p>
        </w:tc>
      </w:tr>
      <w:tr>
        <w:tc>
          <w:tcPr>
            <w:tcW w:type="dxa" w:w="2592"/>
            <w:shd w:fill="F1F5F9"/>
            <w:tcMar>
              <w:top w:w="100" w:type="dxa"/>
              <w:bottom w:w="100" w:type="dxa"/>
              <w:left w:w="130" w:type="dxa"/>
              <w:right w:w="130" w:type="dxa"/>
            </w:tcMar>
          </w:tcPr>
          <w:p>
            <w:r>
              <w:rPr>
                <w:rFonts w:ascii="Arial" w:hAnsi="Arial"/>
                <w:b/>
                <w:color w:val="0F172A"/>
                <w:sz w:val="18"/>
              </w:rPr>
              <w:t>Game Explanation</w:t>
            </w:r>
          </w:p>
        </w:tc>
        <w:tc>
          <w:tcPr>
            <w:tcW w:type="dxa" w:w="7200"/>
            <w:tcMar>
              <w:top w:w="100" w:type="dxa"/>
              <w:bottom w:w="100" w:type="dxa"/>
              <w:left w:w="140" w:type="dxa"/>
              <w:right w:w="140" w:type="dxa"/>
            </w:tcMar>
          </w:tcPr>
          <w:p>
            <w:pPr>
              <w:spacing w:line="276" w:lineRule="auto"/>
            </w:pPr>
            <w:r>
              <w:rPr>
                <w:rFonts w:ascii="Arial" w:hAnsi="Arial"/>
                <w:color w:val="334155"/>
                <w:sz w:val="17"/>
              </w:rPr>
              <w:t>Royal Water Sort is a visually captivating logic and color-sorting puzzle. Players are presented with glass test tubes containing layers of colored liquids. The objective is to pour liquid between tubes until each tube contains only a single uniform color. Featuring smooth fluid physics, soothing pour animations, and over 200 progressively challenging levels, the game provides a deeply relaxing yet mentally engaging cognitive exercise.</w:t>
            </w:r>
          </w:p>
        </w:tc>
      </w:tr>
      <w:tr>
        <w:tc>
          <w:tcPr>
            <w:tcW w:type="dxa" w:w="2592"/>
            <w:shd w:fill="F1F5F9"/>
            <w:tcMar>
              <w:top w:w="100" w:type="dxa"/>
              <w:bottom w:w="100" w:type="dxa"/>
              <w:left w:w="130" w:type="dxa"/>
              <w:right w:w="130" w:type="dxa"/>
            </w:tcMar>
          </w:tcPr>
          <w:p>
            <w:r>
              <w:rPr>
                <w:rFonts w:ascii="Arial" w:hAnsi="Arial"/>
                <w:b/>
                <w:color w:val="0F172A"/>
                <w:sz w:val="18"/>
              </w:rPr>
              <w:t>Customer Journey</w:t>
            </w:r>
          </w:p>
        </w:tc>
        <w:tc>
          <w:tcPr>
            <w:tcW w:type="dxa" w:w="7200"/>
            <w:shd w:fill="F8FAFC"/>
            <w:tcMar>
              <w:top w:w="100" w:type="dxa"/>
              <w:bottom w:w="100" w:type="dxa"/>
              <w:left w:w="140" w:type="dxa"/>
              <w:right w:w="140" w:type="dxa"/>
            </w:tcMar>
          </w:tcPr>
          <w:p>
            <w:pPr>
              <w:spacing w:line="276" w:lineRule="auto"/>
            </w:pPr>
            <w:r>
              <w:rPr>
                <w:rFonts w:ascii="Arial" w:hAnsi="Arial"/>
                <w:color w:val="334155"/>
                <w:sz w:val="17"/>
              </w:rPr>
              <w:t>1. Discovery: Displayed in the 'Brain &amp; Logic' carousel on telebirr Game Center homepage.</w:t>
              <w:br/>
              <w:t>2. Access: Launches instantly via mini-app with zero loading latency.</w:t>
              <w:br/>
              <w:t>3. Payment: Supported by non-intrusive banner ads for free players, or ad-free unlimited play via 3 ETB Daily / 10 ETB Weekly Pass.</w:t>
              <w:br/>
              <w:t>4. Gameplay: Player taps tubes to pour colored liquid, planning moves carefully to avoid dead-ends.</w:t>
              <w:br/>
              <w:t>5. Engagement: Level progression badges, calming sound effects, and brain-age scores.</w:t>
              <w:br/>
              <w:t>6. Monetization: In-game purchases for 'Add Extra Tube', 'Undo Move', and special crystal vial skins via telebirr.</w:t>
              <w:br/>
              <w:t>7. Support: Integrated help FAQ and telebirr transaction history tracking.</w:t>
              <w:br/>
              <w:t>8. Retention: 20 new levels introduced each week; daily brain-teaser notifications.</w:t>
              <w:br/>
              <w:t>9. Referral: Users challenge friends to solve specific high-difficulty level configurations.</w:t>
            </w:r>
          </w:p>
        </w:tc>
      </w:tr>
      <w:tr>
        <w:tc>
          <w:tcPr>
            <w:tcW w:type="dxa" w:w="2592"/>
            <w:shd w:fill="F1F5F9"/>
            <w:tcMar>
              <w:top w:w="100" w:type="dxa"/>
              <w:bottom w:w="100" w:type="dxa"/>
              <w:left w:w="130" w:type="dxa"/>
              <w:right w:w="130" w:type="dxa"/>
            </w:tcMar>
          </w:tcPr>
          <w:p>
            <w:r>
              <w:rPr>
                <w:rFonts w:ascii="Arial" w:hAnsi="Arial"/>
                <w:b/>
                <w:color w:val="0F172A"/>
                <w:sz w:val="18"/>
              </w:rPr>
              <w:t>Target Audience</w:t>
            </w:r>
          </w:p>
        </w:tc>
        <w:tc>
          <w:tcPr>
            <w:tcW w:type="dxa" w:w="7200"/>
            <w:tcMar>
              <w:top w:w="100" w:type="dxa"/>
              <w:bottom w:w="100" w:type="dxa"/>
              <w:left w:w="140" w:type="dxa"/>
              <w:right w:w="140" w:type="dxa"/>
            </w:tcMar>
          </w:tcPr>
          <w:p>
            <w:pPr>
              <w:spacing w:line="276" w:lineRule="auto"/>
            </w:pPr>
            <w:r>
              <w:rPr>
                <w:rFonts w:ascii="Arial" w:hAnsi="Arial"/>
                <w:color w:val="334155"/>
                <w:sz w:val="17"/>
              </w:rPr>
              <w:t>• Working professionals seeking stress relief during office lunch breaks or evening commutes</w:t>
              <w:br/>
              <w:t>• Casual puzzle lovers and fans of sorting and organizing games</w:t>
              <w:br/>
              <w:t>• Female and male adult demographics (ages 18–50) seeking relaxing, non-punitive gameplay</w:t>
              <w:br/>
              <w:t>• Users with low-to-mid range smartphones seeking fluid 60 FPS graphics without device heating</w:t>
            </w:r>
          </w:p>
        </w:tc>
      </w:tr>
      <w:tr>
        <w:tc>
          <w:tcPr>
            <w:tcW w:type="dxa" w:w="2592"/>
            <w:shd w:fill="F1F5F9"/>
            <w:tcMar>
              <w:top w:w="100" w:type="dxa"/>
              <w:bottom w:w="100" w:type="dxa"/>
              <w:left w:w="130" w:type="dxa"/>
              <w:right w:w="130" w:type="dxa"/>
            </w:tcMar>
          </w:tcPr>
          <w:p>
            <w:r>
              <w:rPr>
                <w:rFonts w:ascii="Arial" w:hAnsi="Arial"/>
                <w:b/>
                <w:color w:val="0F172A"/>
                <w:sz w:val="18"/>
              </w:rPr>
              <w:t>Value Proposition for Users</w:t>
            </w:r>
          </w:p>
        </w:tc>
        <w:tc>
          <w:tcPr>
            <w:tcW w:type="dxa" w:w="7200"/>
            <w:shd w:fill="F8FAFC"/>
            <w:tcMar>
              <w:top w:w="100" w:type="dxa"/>
              <w:bottom w:w="100" w:type="dxa"/>
              <w:left w:w="140" w:type="dxa"/>
              <w:right w:w="140" w:type="dxa"/>
            </w:tcMar>
          </w:tcPr>
          <w:p>
            <w:pPr>
              <w:spacing w:line="276" w:lineRule="auto"/>
            </w:pPr>
            <w:r>
              <w:rPr>
                <w:rFonts w:ascii="Arial" w:hAnsi="Arial"/>
                <w:color w:val="334155"/>
                <w:sz w:val="17"/>
              </w:rPr>
              <w:t>• Extremely satisfying, stress-relieving gameplay mechanics</w:t>
              <w:br/>
              <w:t>• No stressful countdown timers—allows players to think and solve at their own pace</w:t>
              <w:br/>
              <w:t>• Zero app store installation footprint; runs smoothly in any mobile browser</w:t>
              <w:br/>
              <w:t>• Highly accessible controls (single-finger tapping)</w:t>
            </w:r>
          </w:p>
        </w:tc>
      </w:tr>
      <w:tr>
        <w:tc>
          <w:tcPr>
            <w:tcW w:type="dxa" w:w="2592"/>
            <w:shd w:fill="F1F5F9"/>
            <w:tcMar>
              <w:top w:w="100" w:type="dxa"/>
              <w:bottom w:w="100" w:type="dxa"/>
              <w:left w:w="130" w:type="dxa"/>
              <w:right w:w="130" w:type="dxa"/>
            </w:tcMar>
          </w:tcPr>
          <w:p>
            <w:r>
              <w:rPr>
                <w:rFonts w:ascii="Arial" w:hAnsi="Arial"/>
                <w:b/>
                <w:color w:val="0F172A"/>
                <w:sz w:val="18"/>
              </w:rPr>
              <w:t>Value Proposition for telebirr / Ethio Telecom</w:t>
            </w:r>
          </w:p>
        </w:tc>
        <w:tc>
          <w:tcPr>
            <w:tcW w:type="dxa" w:w="7200"/>
            <w:tcMar>
              <w:top w:w="100" w:type="dxa"/>
              <w:bottom w:w="100" w:type="dxa"/>
              <w:left w:w="140" w:type="dxa"/>
              <w:right w:w="140" w:type="dxa"/>
            </w:tcMar>
          </w:tcPr>
          <w:p>
            <w:pPr>
              <w:spacing w:line="276" w:lineRule="auto"/>
            </w:pPr>
            <w:r>
              <w:rPr>
                <w:rFonts w:ascii="Arial" w:hAnsi="Arial"/>
                <w:color w:val="334155"/>
                <w:sz w:val="17"/>
              </w:rPr>
              <w:t>• Exceptionally high session duration (average 18–25 minutes per active user session)</w:t>
              <w:br/>
              <w:t>• High repeat play rate driving consistent Daily Active Users (DAU) on telebirr</w:t>
              <w:br/>
              <w:t>• Proven high conversion rate for micro-transactions ('Add Extra Tube' at 2 ETB)</w:t>
              <w:br/>
              <w:t>• Low bandwidth data profile, keeping network transmission lightweight</w:t>
            </w:r>
          </w:p>
        </w:tc>
      </w:tr>
    </w:tbl>
    <w:p>
      <w:pPr>
        <w:spacing w:after="160"/>
      </w:pPr>
    </w:p>
    <w:p>
      <w:r>
        <w:br w:type="page"/>
      </w:r>
    </w:p>
    <w:p>
      <w:pPr>
        <w:spacing w:before="280" w:after="80"/>
      </w:pPr>
      <w:r>
        <w:rPr>
          <w:rFonts w:ascii="Arial" w:hAnsi="Arial"/>
          <w:b/>
          <w:color w:val="64748B"/>
          <w:sz w:val="20"/>
        </w:rPr>
        <w:t xml:space="preserve">SAMPLE GAME SPOTLIGHT: </w:t>
      </w:r>
      <w:r>
        <w:rPr>
          <w:rFonts w:ascii="Arial" w:hAnsi="Arial"/>
          <w:b/>
          <w:color w:val="0A78BE"/>
          <w:sz w:val="26"/>
        </w:rPr>
        <w:t>Candy Crush / Blast (Confectionery Match-3 Puzzle)</w:t>
      </w:r>
    </w:p>
    <w:p>
      <w:pPr>
        <w:spacing w:before="80" w:after="40"/>
        <w:jc w:val="center"/>
      </w:pPr>
      <w:r>
        <w:drawing>
          <wp:inline xmlns:a="http://schemas.openxmlformats.org/drawingml/2006/main" xmlns:pic="http://schemas.openxmlformats.org/drawingml/2006/picture">
            <wp:extent cx="5120640" cy="3840480"/>
            <wp:docPr id="4" name="Picture 4"/>
            <wp:cNvGraphicFramePr>
              <a:graphicFrameLocks noChangeAspect="1"/>
            </wp:cNvGraphicFramePr>
            <a:graphic>
              <a:graphicData uri="http://schemas.openxmlformats.org/drawingml/2006/picture">
                <pic:pic>
                  <pic:nvPicPr>
                    <pic:cNvPr id="0" name="candy crush.png"/>
                    <pic:cNvPicPr/>
                  </pic:nvPicPr>
                  <pic:blipFill>
                    <a:blip r:embed="rId14"/>
                    <a:stretch>
                      <a:fillRect/>
                    </a:stretch>
                  </pic:blipFill>
                  <pic:spPr>
                    <a:xfrm>
                      <a:off x="0" y="0"/>
                      <a:ext cx="5120640" cy="3840480"/>
                    </a:xfrm>
                    <a:prstGeom prst="rect"/>
                  </pic:spPr>
                </pic:pic>
              </a:graphicData>
            </a:graphic>
          </wp:inline>
        </w:drawing>
      </w:r>
    </w:p>
    <w:p>
      <w:pPr>
        <w:spacing w:before="40" w:after="120"/>
      </w:pPr>
      <w:r>
        <w:rPr>
          <w:rFonts w:ascii="Arial" w:hAnsi="Arial"/>
          <w:b/>
          <w:sz w:val="19"/>
        </w:rPr>
        <w:t xml:space="preserve">Live telebirr Game Link: </w:t>
      </w:r>
      <w:r>
        <w:rPr>
          <w:rFonts w:ascii="Arial" w:hAnsi="Arial"/>
          <w:color w:val="0A78BE"/>
          <w:sz w:val="19"/>
          <w:u w:val="single"/>
        </w:rPr>
        <w:t>https://goplay.innopulseplatform.com/games/candy-crush</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96"/>
        <w:gridCol w:w="4896"/>
      </w:tblGrid>
      <w:tr>
        <w:tc>
          <w:tcPr>
            <w:tcW w:type="dxa" w:w="2592"/>
            <w:shd w:fill="0A78BE"/>
            <w:tcMar>
              <w:top w:w="120" w:type="dxa"/>
              <w:bottom w:w="120" w:type="dxa"/>
              <w:left w:w="150" w:type="dxa"/>
              <w:right w:w="150" w:type="dxa"/>
            </w:tcMar>
          </w:tcPr>
          <w:p>
            <w:r>
              <w:rPr>
                <w:rFonts w:ascii="Arial" w:hAnsi="Arial"/>
                <w:b/>
                <w:color w:val="FFFFFF"/>
                <w:sz w:val="19"/>
              </w:rPr>
              <w:t>Section</w:t>
            </w:r>
          </w:p>
        </w:tc>
        <w:tc>
          <w:tcPr>
            <w:tcW w:type="dxa" w:w="7200"/>
            <w:shd w:fill="0A78BE"/>
            <w:tcMar>
              <w:top w:w="120" w:type="dxa"/>
              <w:bottom w:w="120" w:type="dxa"/>
              <w:left w:w="150" w:type="dxa"/>
              <w:right w:w="150" w:type="dxa"/>
            </w:tcMar>
          </w:tcPr>
          <w:p>
            <w:r>
              <w:rPr>
                <w:rFonts w:ascii="Arial" w:hAnsi="Arial"/>
                <w:b/>
                <w:color w:val="FFFFFF"/>
                <w:sz w:val="19"/>
              </w:rPr>
              <w:t>Details</w:t>
            </w:r>
          </w:p>
        </w:tc>
      </w:tr>
      <w:tr>
        <w:tc>
          <w:tcPr>
            <w:tcW w:type="dxa" w:w="2592"/>
            <w:shd w:fill="F1F5F9"/>
            <w:tcMar>
              <w:top w:w="100" w:type="dxa"/>
              <w:bottom w:w="100" w:type="dxa"/>
              <w:left w:w="130" w:type="dxa"/>
              <w:right w:w="130" w:type="dxa"/>
            </w:tcMar>
          </w:tcPr>
          <w:p>
            <w:r>
              <w:rPr>
                <w:rFonts w:ascii="Arial" w:hAnsi="Arial"/>
                <w:b/>
                <w:color w:val="0F172A"/>
                <w:sz w:val="18"/>
              </w:rPr>
              <w:t>Game Explanation</w:t>
            </w:r>
          </w:p>
        </w:tc>
        <w:tc>
          <w:tcPr>
            <w:tcW w:type="dxa" w:w="7200"/>
            <w:tcMar>
              <w:top w:w="100" w:type="dxa"/>
              <w:bottom w:w="100" w:type="dxa"/>
              <w:left w:w="140" w:type="dxa"/>
              <w:right w:w="140" w:type="dxa"/>
            </w:tcMar>
          </w:tcPr>
          <w:p>
            <w:pPr>
              <w:spacing w:line="276" w:lineRule="auto"/>
            </w:pPr>
            <w:r>
              <w:rPr>
                <w:rFonts w:ascii="Arial" w:hAnsi="Arial"/>
                <w:color w:val="334155"/>
                <w:sz w:val="17"/>
              </w:rPr>
              <w:t>Candy Crush / Blast is an addictive confectionery match-3 puzzle game. Players swap colorful candies to form rows and columns of three or more matching items, triggering explosive cascading combos, striped sweets, wrapped bomb treats, and rainbow candy showers. With over 300 levels of increasing difficulty, the game features objective-based missions such as jelly clearance, ingredient dropping, and timed score challenges.</w:t>
            </w:r>
          </w:p>
        </w:tc>
      </w:tr>
      <w:tr>
        <w:tc>
          <w:tcPr>
            <w:tcW w:type="dxa" w:w="2592"/>
            <w:shd w:fill="F1F5F9"/>
            <w:tcMar>
              <w:top w:w="100" w:type="dxa"/>
              <w:bottom w:w="100" w:type="dxa"/>
              <w:left w:w="130" w:type="dxa"/>
              <w:right w:w="130" w:type="dxa"/>
            </w:tcMar>
          </w:tcPr>
          <w:p>
            <w:r>
              <w:rPr>
                <w:rFonts w:ascii="Arial" w:hAnsi="Arial"/>
                <w:b/>
                <w:color w:val="0F172A"/>
                <w:sz w:val="18"/>
              </w:rPr>
              <w:t>Customer Journey</w:t>
            </w:r>
          </w:p>
        </w:tc>
        <w:tc>
          <w:tcPr>
            <w:tcW w:type="dxa" w:w="7200"/>
            <w:shd w:fill="F8FAFC"/>
            <w:tcMar>
              <w:top w:w="100" w:type="dxa"/>
              <w:bottom w:w="100" w:type="dxa"/>
              <w:left w:w="140" w:type="dxa"/>
              <w:right w:w="140" w:type="dxa"/>
            </w:tcMar>
          </w:tcPr>
          <w:p>
            <w:pPr>
              <w:spacing w:line="276" w:lineRule="auto"/>
            </w:pPr>
            <w:r>
              <w:rPr>
                <w:rFonts w:ascii="Arial" w:hAnsi="Arial"/>
                <w:color w:val="334155"/>
                <w:sz w:val="17"/>
              </w:rPr>
              <w:t>1. Discovery: Hero carousel banner in telebirr Game Center featuring eye-catching candy graphics.</w:t>
              <w:br/>
              <w:t>2. Access: Launches in under 2 seconds directly within the telebirr SuperApp.</w:t>
              <w:br/>
              <w:t>3. Payment: Free daily lives (5 lives); extra life bundles or unlimited lives pass available via telebirr.</w:t>
              <w:br/>
              <w:t>4. Gameplay: Swapping candies, triggering cascades, earning 3-star ratings per stage.</w:t>
              <w:br/>
              <w:t>5. Engagement: Daily spin-the-wheel rewards, level completion roadmaps, and social leaderboards.</w:t>
              <w:br/>
              <w:t>6. Monetization: Lollipop hammers, color bombs, extra move packs (starting at 5 ETB) and VIP subscriptions.</w:t>
              <w:br/>
              <w:t>7. Support: Automated in-game recovery of purchased boosters; direct telebirr customer care sync.</w:t>
              <w:br/>
              <w:t>8. Retention: Regular release of new candy episodes and seasonal holiday-themed boards.</w:t>
              <w:br/>
              <w:t>9. Referral: Invite telebirr contacts to send and receive free daily lives.</w:t>
            </w:r>
          </w:p>
        </w:tc>
      </w:tr>
      <w:tr>
        <w:tc>
          <w:tcPr>
            <w:tcW w:type="dxa" w:w="2592"/>
            <w:shd w:fill="F1F5F9"/>
            <w:tcMar>
              <w:top w:w="100" w:type="dxa"/>
              <w:bottom w:w="100" w:type="dxa"/>
              <w:left w:w="130" w:type="dxa"/>
              <w:right w:w="130" w:type="dxa"/>
            </w:tcMar>
          </w:tcPr>
          <w:p>
            <w:r>
              <w:rPr>
                <w:rFonts w:ascii="Arial" w:hAnsi="Arial"/>
                <w:b/>
                <w:color w:val="0F172A"/>
                <w:sz w:val="18"/>
              </w:rPr>
              <w:t>Target Audience</w:t>
            </w:r>
          </w:p>
        </w:tc>
        <w:tc>
          <w:tcPr>
            <w:tcW w:type="dxa" w:w="7200"/>
            <w:tcMar>
              <w:top w:w="100" w:type="dxa"/>
              <w:bottom w:w="100" w:type="dxa"/>
              <w:left w:w="140" w:type="dxa"/>
              <w:right w:w="140" w:type="dxa"/>
            </w:tcMar>
          </w:tcPr>
          <w:p>
            <w:pPr>
              <w:spacing w:line="276" w:lineRule="auto"/>
            </w:pPr>
            <w:r>
              <w:rPr>
                <w:rFonts w:ascii="Arial" w:hAnsi="Arial"/>
                <w:color w:val="334155"/>
                <w:sz w:val="17"/>
              </w:rPr>
              <w:t>• Universal mass-market audience (ages 10 to 60+)</w:t>
              <w:br/>
              <w:t>• Strong appeal across both female and male casual gaming demographics</w:t>
              <w:br/>
              <w:t>• Commuters on buses and light rails seeking short, highly gratifying play sessions</w:t>
              <w:br/>
              <w:t>• Family members sharing game progress and competing for highest level scores</w:t>
            </w:r>
          </w:p>
        </w:tc>
      </w:tr>
      <w:tr>
        <w:tc>
          <w:tcPr>
            <w:tcW w:type="dxa" w:w="2592"/>
            <w:shd w:fill="F1F5F9"/>
            <w:tcMar>
              <w:top w:w="100" w:type="dxa"/>
              <w:bottom w:w="100" w:type="dxa"/>
              <w:left w:w="130" w:type="dxa"/>
              <w:right w:w="130" w:type="dxa"/>
            </w:tcMar>
          </w:tcPr>
          <w:p>
            <w:r>
              <w:rPr>
                <w:rFonts w:ascii="Arial" w:hAnsi="Arial"/>
                <w:b/>
                <w:color w:val="0F172A"/>
                <w:sz w:val="18"/>
              </w:rPr>
              <w:t>Value Proposition for Users</w:t>
            </w:r>
          </w:p>
        </w:tc>
        <w:tc>
          <w:tcPr>
            <w:tcW w:type="dxa" w:w="7200"/>
            <w:shd w:fill="F8FAFC"/>
            <w:tcMar>
              <w:top w:w="100" w:type="dxa"/>
              <w:bottom w:w="100" w:type="dxa"/>
              <w:left w:w="140" w:type="dxa"/>
              <w:right w:w="140" w:type="dxa"/>
            </w:tcMar>
          </w:tcPr>
          <w:p>
            <w:pPr>
              <w:spacing w:line="276" w:lineRule="auto"/>
            </w:pPr>
            <w:r>
              <w:rPr>
                <w:rFonts w:ascii="Arial" w:hAnsi="Arial"/>
                <w:color w:val="334155"/>
                <w:sz w:val="17"/>
              </w:rPr>
              <w:t>• Bright, colorful, high-dopamine casual entertainment</w:t>
              <w:br/>
              <w:t>• Easy to learn within 5 seconds, yet deeply strategic across advanced levels</w:t>
              <w:br/>
              <w:t>• Instant play with zero installation, saving valuable phone memory</w:t>
              <w:br/>
              <w:t>• Seamless 1-click payment via telebirr for extra moves when close to clearing a level</w:t>
            </w:r>
          </w:p>
        </w:tc>
      </w:tr>
      <w:tr>
        <w:tc>
          <w:tcPr>
            <w:tcW w:type="dxa" w:w="2592"/>
            <w:shd w:fill="F1F5F9"/>
            <w:tcMar>
              <w:top w:w="100" w:type="dxa"/>
              <w:bottom w:w="100" w:type="dxa"/>
              <w:left w:w="130" w:type="dxa"/>
              <w:right w:w="130" w:type="dxa"/>
            </w:tcMar>
          </w:tcPr>
          <w:p>
            <w:r>
              <w:rPr>
                <w:rFonts w:ascii="Arial" w:hAnsi="Arial"/>
                <w:b/>
                <w:color w:val="0F172A"/>
                <w:sz w:val="18"/>
              </w:rPr>
              <w:t>Value Proposition for telebirr / Ethio Telecom</w:t>
            </w:r>
          </w:p>
        </w:tc>
        <w:tc>
          <w:tcPr>
            <w:tcW w:type="dxa" w:w="7200"/>
            <w:tcMar>
              <w:top w:w="100" w:type="dxa"/>
              <w:bottom w:w="100" w:type="dxa"/>
              <w:left w:w="140" w:type="dxa"/>
              <w:right w:w="140" w:type="dxa"/>
            </w:tcMar>
          </w:tcPr>
          <w:p>
            <w:pPr>
              <w:spacing w:line="276" w:lineRule="auto"/>
            </w:pPr>
            <w:r>
              <w:rPr>
                <w:rFonts w:ascii="Arial" w:hAnsi="Arial"/>
                <w:color w:val="334155"/>
                <w:sz w:val="17"/>
              </w:rPr>
              <w:t>• Global gold standard for mobile VAS revenue generation and customer retention</w:t>
              <w:br/>
              <w:t>• Exceptional recurring subscription stickiness (highest Monthly Pass renewal rate)</w:t>
              <w:br/>
              <w:t>• Continuous micro-transaction volume driven by impulse 'Extra Moves' purchases</w:t>
              <w:br/>
              <w:t>• Strengthens telebirr wallet utility through frequent low-friction micropayments</w:t>
            </w:r>
          </w:p>
        </w:tc>
      </w:tr>
    </w:tbl>
    <w:p>
      <w:pPr>
        <w:spacing w:after="160"/>
      </w:pPr>
    </w:p>
    <w:p>
      <w:r>
        <w:br w:type="page"/>
      </w:r>
    </w:p>
    <w:p>
      <w:pPr>
        <w:spacing w:before="280" w:after="80"/>
      </w:pPr>
      <w:r>
        <w:rPr>
          <w:rFonts w:ascii="Arial" w:hAnsi="Arial"/>
          <w:b/>
          <w:color w:val="64748B"/>
          <w:sz w:val="20"/>
        </w:rPr>
        <w:t xml:space="preserve">SAMPLE GAME SPOTLIGHT: </w:t>
      </w:r>
      <w:r>
        <w:rPr>
          <w:rFonts w:ascii="Arial" w:hAnsi="Arial"/>
          <w:b/>
          <w:color w:val="0A78BE"/>
          <w:sz w:val="26"/>
        </w:rPr>
        <w:t>Bubble Shooter (Arcade Trajectory &amp; Color Match)</w:t>
      </w:r>
    </w:p>
    <w:p>
      <w:pPr>
        <w:spacing w:before="80" w:after="40"/>
        <w:jc w:val="center"/>
      </w:pPr>
      <w:r>
        <w:drawing>
          <wp:inline xmlns:a="http://schemas.openxmlformats.org/drawingml/2006/main" xmlns:pic="http://schemas.openxmlformats.org/drawingml/2006/picture">
            <wp:extent cx="5120640" cy="3840480"/>
            <wp:docPr id="5" name="Picture 5"/>
            <wp:cNvGraphicFramePr>
              <a:graphicFrameLocks noChangeAspect="1"/>
            </wp:cNvGraphicFramePr>
            <a:graphic>
              <a:graphicData uri="http://schemas.openxmlformats.org/drawingml/2006/picture">
                <pic:pic>
                  <pic:nvPicPr>
                    <pic:cNvPr id="0" name="bubble shooter.png"/>
                    <pic:cNvPicPr/>
                  </pic:nvPicPr>
                  <pic:blipFill>
                    <a:blip r:embed="rId15"/>
                    <a:stretch>
                      <a:fillRect/>
                    </a:stretch>
                  </pic:blipFill>
                  <pic:spPr>
                    <a:xfrm>
                      <a:off x="0" y="0"/>
                      <a:ext cx="5120640" cy="3840480"/>
                    </a:xfrm>
                    <a:prstGeom prst="rect"/>
                  </pic:spPr>
                </pic:pic>
              </a:graphicData>
            </a:graphic>
          </wp:inline>
        </w:drawing>
      </w:r>
    </w:p>
    <w:p>
      <w:pPr>
        <w:spacing w:before="40" w:after="120"/>
      </w:pPr>
      <w:r>
        <w:rPr>
          <w:rFonts w:ascii="Arial" w:hAnsi="Arial"/>
          <w:b/>
          <w:sz w:val="19"/>
        </w:rPr>
        <w:t xml:space="preserve">Live telebirr Game Link: </w:t>
      </w:r>
      <w:r>
        <w:rPr>
          <w:rFonts w:ascii="Arial" w:hAnsi="Arial"/>
          <w:color w:val="0A78BE"/>
          <w:sz w:val="19"/>
          <w:u w:val="single"/>
        </w:rPr>
        <w:t>https://goplay.innopulseplatform.com/games/bubble-shooter</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96"/>
        <w:gridCol w:w="4896"/>
      </w:tblGrid>
      <w:tr>
        <w:tc>
          <w:tcPr>
            <w:tcW w:type="dxa" w:w="2592"/>
            <w:shd w:fill="0A78BE"/>
            <w:tcMar>
              <w:top w:w="120" w:type="dxa"/>
              <w:bottom w:w="120" w:type="dxa"/>
              <w:left w:w="150" w:type="dxa"/>
              <w:right w:w="150" w:type="dxa"/>
            </w:tcMar>
          </w:tcPr>
          <w:p>
            <w:r>
              <w:rPr>
                <w:rFonts w:ascii="Arial" w:hAnsi="Arial"/>
                <w:b/>
                <w:color w:val="FFFFFF"/>
                <w:sz w:val="19"/>
              </w:rPr>
              <w:t>Section</w:t>
            </w:r>
          </w:p>
        </w:tc>
        <w:tc>
          <w:tcPr>
            <w:tcW w:type="dxa" w:w="7200"/>
            <w:shd w:fill="0A78BE"/>
            <w:tcMar>
              <w:top w:w="120" w:type="dxa"/>
              <w:bottom w:w="120" w:type="dxa"/>
              <w:left w:w="150" w:type="dxa"/>
              <w:right w:w="150" w:type="dxa"/>
            </w:tcMar>
          </w:tcPr>
          <w:p>
            <w:r>
              <w:rPr>
                <w:rFonts w:ascii="Arial" w:hAnsi="Arial"/>
                <w:b/>
                <w:color w:val="FFFFFF"/>
                <w:sz w:val="19"/>
              </w:rPr>
              <w:t>Details</w:t>
            </w:r>
          </w:p>
        </w:tc>
      </w:tr>
      <w:tr>
        <w:tc>
          <w:tcPr>
            <w:tcW w:type="dxa" w:w="2592"/>
            <w:shd w:fill="F1F5F9"/>
            <w:tcMar>
              <w:top w:w="100" w:type="dxa"/>
              <w:bottom w:w="100" w:type="dxa"/>
              <w:left w:w="130" w:type="dxa"/>
              <w:right w:w="130" w:type="dxa"/>
            </w:tcMar>
          </w:tcPr>
          <w:p>
            <w:r>
              <w:rPr>
                <w:rFonts w:ascii="Arial" w:hAnsi="Arial"/>
                <w:b/>
                <w:color w:val="0F172A"/>
                <w:sz w:val="18"/>
              </w:rPr>
              <w:t>Game Explanation</w:t>
            </w:r>
          </w:p>
        </w:tc>
        <w:tc>
          <w:tcPr>
            <w:tcW w:type="dxa" w:w="7200"/>
            <w:tcMar>
              <w:top w:w="100" w:type="dxa"/>
              <w:bottom w:w="100" w:type="dxa"/>
              <w:left w:w="140" w:type="dxa"/>
              <w:right w:w="140" w:type="dxa"/>
            </w:tcMar>
          </w:tcPr>
          <w:p>
            <w:pPr>
              <w:spacing w:line="276" w:lineRule="auto"/>
            </w:pPr>
            <w:r>
              <w:rPr>
                <w:rFonts w:ascii="Arial" w:hAnsi="Arial"/>
                <w:color w:val="334155"/>
                <w:sz w:val="17"/>
              </w:rPr>
              <w:t>Bubble Shooter is a timeless arcade puzzle game where players aim a bubble cannon to match three or more bubbles of the same color, causing them to pop and clear the screen. The game features precision dotted laser trajectories, wall-bank trick shots, cascading cluster drops, and specialty bubbles (fireballs, rainbow spheres, lightning bolts) to help overcome tricky descending bubble ceilings.</w:t>
            </w:r>
          </w:p>
        </w:tc>
      </w:tr>
      <w:tr>
        <w:tc>
          <w:tcPr>
            <w:tcW w:type="dxa" w:w="2592"/>
            <w:shd w:fill="F1F5F9"/>
            <w:tcMar>
              <w:top w:w="100" w:type="dxa"/>
              <w:bottom w:w="100" w:type="dxa"/>
              <w:left w:w="130" w:type="dxa"/>
              <w:right w:w="130" w:type="dxa"/>
            </w:tcMar>
          </w:tcPr>
          <w:p>
            <w:r>
              <w:rPr>
                <w:rFonts w:ascii="Arial" w:hAnsi="Arial"/>
                <w:b/>
                <w:color w:val="0F172A"/>
                <w:sz w:val="18"/>
              </w:rPr>
              <w:t>Customer Journey</w:t>
            </w:r>
          </w:p>
        </w:tc>
        <w:tc>
          <w:tcPr>
            <w:tcW w:type="dxa" w:w="7200"/>
            <w:shd w:fill="F8FAFC"/>
            <w:tcMar>
              <w:top w:w="100" w:type="dxa"/>
              <w:bottom w:w="100" w:type="dxa"/>
              <w:left w:w="140" w:type="dxa"/>
              <w:right w:w="140" w:type="dxa"/>
            </w:tcMar>
          </w:tcPr>
          <w:p>
            <w:pPr>
              <w:spacing w:line="276" w:lineRule="auto"/>
            </w:pPr>
            <w:r>
              <w:rPr>
                <w:rFonts w:ascii="Arial" w:hAnsi="Arial"/>
                <w:color w:val="334155"/>
                <w:sz w:val="17"/>
              </w:rPr>
              <w:t>1. Discovery: Featured under 'Classic Arcade &amp; Quick Play' in telebirr Game Center.</w:t>
              <w:br/>
              <w:t>2. Access: Launches instantly via mini-app with zero local device footprint.</w:t>
              <w:br/>
              <w:t>3. Payment: Free-to-play with rewarded sponsor ads; ad-free VIP pass at 3 ETB/day or 10 ETB/week.</w:t>
              <w:br/>
              <w:t>4. Gameplay: Player drags finger to aim trajectory line, releases to shoot bubbles and trigger chain pops.</w:t>
              <w:br/>
              <w:t>5. Engagement: Infinite survival mode, level-based star progression, and daily high-score challenges.</w:t>
              <w:br/>
              <w:t>6. Monetization: Purchase specialty power-up bubbles (Bomb Bubble, Aim Extender) via telebirr.</w:t>
              <w:br/>
              <w:t>7. Support: Built-in FAQ and instant telebirr refund processing for failed transactions.</w:t>
              <w:br/>
              <w:t>8. Retention: Weekly high-score tournaments with airtime voucher prizes for top 50 scorers.</w:t>
              <w:br/>
              <w:t>9. Referral: Share high score screenshots to Telegram groups with challenge links.</w:t>
            </w:r>
          </w:p>
        </w:tc>
      </w:tr>
      <w:tr>
        <w:tc>
          <w:tcPr>
            <w:tcW w:type="dxa" w:w="2592"/>
            <w:shd w:fill="F1F5F9"/>
            <w:tcMar>
              <w:top w:w="100" w:type="dxa"/>
              <w:bottom w:w="100" w:type="dxa"/>
              <w:left w:w="130" w:type="dxa"/>
              <w:right w:w="130" w:type="dxa"/>
            </w:tcMar>
          </w:tcPr>
          <w:p>
            <w:r>
              <w:rPr>
                <w:rFonts w:ascii="Arial" w:hAnsi="Arial"/>
                <w:b/>
                <w:color w:val="0F172A"/>
                <w:sz w:val="18"/>
              </w:rPr>
              <w:t>Target Audience</w:t>
            </w:r>
          </w:p>
        </w:tc>
        <w:tc>
          <w:tcPr>
            <w:tcW w:type="dxa" w:w="7200"/>
            <w:tcMar>
              <w:top w:w="100" w:type="dxa"/>
              <w:bottom w:w="100" w:type="dxa"/>
              <w:left w:w="140" w:type="dxa"/>
              <w:right w:w="140" w:type="dxa"/>
            </w:tcMar>
          </w:tcPr>
          <w:p>
            <w:pPr>
              <w:spacing w:line="276" w:lineRule="auto"/>
            </w:pPr>
            <w:r>
              <w:rPr>
                <w:rFonts w:ascii="Arial" w:hAnsi="Arial"/>
                <w:color w:val="334155"/>
                <w:sz w:val="17"/>
              </w:rPr>
              <w:t>• Casual players seeking quick, high-satisfaction 2-minute gaming sessions</w:t>
              <w:br/>
              <w:t>• Youth, teenagers, and students during breaks</w:t>
              <w:br/>
              <w:t>• Older adults who enjoy classic, proven arcade mechanics</w:t>
              <w:br/>
              <w:t>• Mobile subscribers across all regional cities in Ethiopia</w:t>
            </w:r>
          </w:p>
        </w:tc>
      </w:tr>
      <w:tr>
        <w:tc>
          <w:tcPr>
            <w:tcW w:type="dxa" w:w="2592"/>
            <w:shd w:fill="F1F5F9"/>
            <w:tcMar>
              <w:top w:w="100" w:type="dxa"/>
              <w:bottom w:w="100" w:type="dxa"/>
              <w:left w:w="130" w:type="dxa"/>
              <w:right w:w="130" w:type="dxa"/>
            </w:tcMar>
          </w:tcPr>
          <w:p>
            <w:r>
              <w:rPr>
                <w:rFonts w:ascii="Arial" w:hAnsi="Arial"/>
                <w:b/>
                <w:color w:val="0F172A"/>
                <w:sz w:val="18"/>
              </w:rPr>
              <w:t>Value Proposition for Users</w:t>
            </w:r>
          </w:p>
        </w:tc>
        <w:tc>
          <w:tcPr>
            <w:tcW w:type="dxa" w:w="7200"/>
            <w:shd w:fill="F8FAFC"/>
            <w:tcMar>
              <w:top w:w="100" w:type="dxa"/>
              <w:bottom w:w="100" w:type="dxa"/>
              <w:left w:w="140" w:type="dxa"/>
              <w:right w:w="140" w:type="dxa"/>
            </w:tcMar>
          </w:tcPr>
          <w:p>
            <w:pPr>
              <w:spacing w:line="276" w:lineRule="auto"/>
            </w:pPr>
            <w:r>
              <w:rPr>
                <w:rFonts w:ascii="Arial" w:hAnsi="Arial"/>
                <w:color w:val="334155"/>
                <w:sz w:val="17"/>
              </w:rPr>
              <w:t>• Highly responsive touch controls with laser-guided aiming</w:t>
              <w:br/>
              <w:t>• Instant stress relief with vibrant popping animations and sound design</w:t>
              <w:br/>
              <w:t>• No app installation required; sub-3MB bundle ensures fast loading on 3G</w:t>
              <w:br/>
              <w:t>• Fair, transparent micro-transactions via telebirr</w:t>
            </w:r>
          </w:p>
        </w:tc>
      </w:tr>
      <w:tr>
        <w:tc>
          <w:tcPr>
            <w:tcW w:type="dxa" w:w="2592"/>
            <w:shd w:fill="F1F5F9"/>
            <w:tcMar>
              <w:top w:w="100" w:type="dxa"/>
              <w:bottom w:w="100" w:type="dxa"/>
              <w:left w:w="130" w:type="dxa"/>
              <w:right w:w="130" w:type="dxa"/>
            </w:tcMar>
          </w:tcPr>
          <w:p>
            <w:r>
              <w:rPr>
                <w:rFonts w:ascii="Arial" w:hAnsi="Arial"/>
                <w:b/>
                <w:color w:val="0F172A"/>
                <w:sz w:val="18"/>
              </w:rPr>
              <w:t>Value Proposition for telebirr / Ethio Telecom</w:t>
            </w:r>
          </w:p>
        </w:tc>
        <w:tc>
          <w:tcPr>
            <w:tcW w:type="dxa" w:w="7200"/>
            <w:tcMar>
              <w:top w:w="100" w:type="dxa"/>
              <w:bottom w:w="100" w:type="dxa"/>
              <w:left w:w="140" w:type="dxa"/>
              <w:right w:w="140" w:type="dxa"/>
            </w:tcMar>
          </w:tcPr>
          <w:p>
            <w:pPr>
              <w:spacing w:line="276" w:lineRule="auto"/>
            </w:pPr>
            <w:r>
              <w:rPr>
                <w:rFonts w:ascii="Arial" w:hAnsi="Arial"/>
                <w:color w:val="334155"/>
                <w:sz w:val="17"/>
              </w:rPr>
              <w:t>• Drives frequent daily micro-sessions (users open the game 4 to 6 times daily)</w:t>
              <w:br/>
              <w:t>• Extremely data-efficient, ensuring zero congestion on cellular base stations</w:t>
              <w:br/>
              <w:t>• Broad demographic appeal ensures maximum conversion across Ethio Telecom's diverse user base</w:t>
              <w:br/>
              <w:t>• Reliable driver of daily active engagement and recurring weekly subscriptions</w:t>
            </w:r>
          </w:p>
        </w:tc>
      </w:tr>
    </w:tbl>
    <w:p>
      <w:pPr>
        <w:spacing w:after="160"/>
      </w:pPr>
    </w:p>
    <w:p>
      <w:r>
        <w:br w:type="page"/>
      </w:r>
    </w:p>
    <w:p>
      <w:pPr>
        <w:spacing w:before="280" w:after="80"/>
      </w:pPr>
      <w:r>
        <w:rPr>
          <w:rFonts w:ascii="Arial" w:hAnsi="Arial"/>
          <w:b/>
          <w:color w:val="64748B"/>
          <w:sz w:val="20"/>
        </w:rPr>
        <w:t xml:space="preserve">SAMPLE GAME SPOTLIGHT: </w:t>
      </w:r>
      <w:r>
        <w:rPr>
          <w:rFonts w:ascii="Arial" w:hAnsi="Arial"/>
          <w:b/>
          <w:color w:val="0A78BE"/>
          <w:sz w:val="26"/>
        </w:rPr>
        <w:t>Solitaire Classic (Timeless Klondike Card Game)</w:t>
      </w:r>
    </w:p>
    <w:p>
      <w:pPr>
        <w:spacing w:before="80" w:after="40"/>
        <w:jc w:val="center"/>
      </w:pPr>
      <w:r>
        <w:drawing>
          <wp:inline xmlns:a="http://schemas.openxmlformats.org/drawingml/2006/main" xmlns:pic="http://schemas.openxmlformats.org/drawingml/2006/picture">
            <wp:extent cx="5120640" cy="3840480"/>
            <wp:docPr id="6" name="Picture 6"/>
            <wp:cNvGraphicFramePr>
              <a:graphicFrameLocks noChangeAspect="1"/>
            </wp:cNvGraphicFramePr>
            <a:graphic>
              <a:graphicData uri="http://schemas.openxmlformats.org/drawingml/2006/picture">
                <pic:pic>
                  <pic:nvPicPr>
                    <pic:cNvPr id="0" name="solitaire.png"/>
                    <pic:cNvPicPr/>
                  </pic:nvPicPr>
                  <pic:blipFill>
                    <a:blip r:embed="rId16"/>
                    <a:stretch>
                      <a:fillRect/>
                    </a:stretch>
                  </pic:blipFill>
                  <pic:spPr>
                    <a:xfrm>
                      <a:off x="0" y="0"/>
                      <a:ext cx="5120640" cy="3840480"/>
                    </a:xfrm>
                    <a:prstGeom prst="rect"/>
                  </pic:spPr>
                </pic:pic>
              </a:graphicData>
            </a:graphic>
          </wp:inline>
        </w:drawing>
      </w:r>
    </w:p>
    <w:p>
      <w:pPr>
        <w:spacing w:before="40" w:after="120"/>
      </w:pPr>
      <w:r>
        <w:rPr>
          <w:rFonts w:ascii="Arial" w:hAnsi="Arial"/>
          <w:b/>
          <w:sz w:val="19"/>
        </w:rPr>
        <w:t xml:space="preserve">Live telebirr Game Link: </w:t>
      </w:r>
      <w:r>
        <w:rPr>
          <w:rFonts w:ascii="Arial" w:hAnsi="Arial"/>
          <w:color w:val="0A78BE"/>
          <w:sz w:val="19"/>
          <w:u w:val="single"/>
        </w:rPr>
        <w:t>https://goplay.innopulseplatform.com/games/solitaire</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96"/>
        <w:gridCol w:w="4896"/>
      </w:tblGrid>
      <w:tr>
        <w:tc>
          <w:tcPr>
            <w:tcW w:type="dxa" w:w="2592"/>
            <w:shd w:fill="0A78BE"/>
            <w:tcMar>
              <w:top w:w="120" w:type="dxa"/>
              <w:bottom w:w="120" w:type="dxa"/>
              <w:left w:w="150" w:type="dxa"/>
              <w:right w:w="150" w:type="dxa"/>
            </w:tcMar>
          </w:tcPr>
          <w:p>
            <w:r>
              <w:rPr>
                <w:rFonts w:ascii="Arial" w:hAnsi="Arial"/>
                <w:b/>
                <w:color w:val="FFFFFF"/>
                <w:sz w:val="19"/>
              </w:rPr>
              <w:t>Section</w:t>
            </w:r>
          </w:p>
        </w:tc>
        <w:tc>
          <w:tcPr>
            <w:tcW w:type="dxa" w:w="7200"/>
            <w:shd w:fill="0A78BE"/>
            <w:tcMar>
              <w:top w:w="120" w:type="dxa"/>
              <w:bottom w:w="120" w:type="dxa"/>
              <w:left w:w="150" w:type="dxa"/>
              <w:right w:w="150" w:type="dxa"/>
            </w:tcMar>
          </w:tcPr>
          <w:p>
            <w:r>
              <w:rPr>
                <w:rFonts w:ascii="Arial" w:hAnsi="Arial"/>
                <w:b/>
                <w:color w:val="FFFFFF"/>
                <w:sz w:val="19"/>
              </w:rPr>
              <w:t>Details</w:t>
            </w:r>
          </w:p>
        </w:tc>
      </w:tr>
      <w:tr>
        <w:tc>
          <w:tcPr>
            <w:tcW w:type="dxa" w:w="2592"/>
            <w:shd w:fill="F1F5F9"/>
            <w:tcMar>
              <w:top w:w="100" w:type="dxa"/>
              <w:bottom w:w="100" w:type="dxa"/>
              <w:left w:w="130" w:type="dxa"/>
              <w:right w:w="130" w:type="dxa"/>
            </w:tcMar>
          </w:tcPr>
          <w:p>
            <w:r>
              <w:rPr>
                <w:rFonts w:ascii="Arial" w:hAnsi="Arial"/>
                <w:b/>
                <w:color w:val="0F172A"/>
                <w:sz w:val="18"/>
              </w:rPr>
              <w:t>Game Explanation</w:t>
            </w:r>
          </w:p>
        </w:tc>
        <w:tc>
          <w:tcPr>
            <w:tcW w:type="dxa" w:w="7200"/>
            <w:tcMar>
              <w:top w:w="100" w:type="dxa"/>
              <w:bottom w:w="100" w:type="dxa"/>
              <w:left w:w="140" w:type="dxa"/>
              <w:right w:w="140" w:type="dxa"/>
            </w:tcMar>
          </w:tcPr>
          <w:p>
            <w:pPr>
              <w:spacing w:line="276" w:lineRule="auto"/>
            </w:pPr>
            <w:r>
              <w:rPr>
                <w:rFonts w:ascii="Arial" w:hAnsi="Arial"/>
                <w:color w:val="334155"/>
                <w:sz w:val="17"/>
              </w:rPr>
              <w:t>Solitaire Classic delivers the authentic Klondike card game experience directly into the telebirr SuperApp. Built with smooth card animations, classic green felt styling, and customizable card backs, the game offers standard Draw-1 and challenging Draw-3 modes, cumulative Vegas scoring, unlimited smart hints, and full undo functionality. The game state is automatically persisted locally, allowing players to pause and resume seamlessly.</w:t>
            </w:r>
          </w:p>
        </w:tc>
      </w:tr>
      <w:tr>
        <w:tc>
          <w:tcPr>
            <w:tcW w:type="dxa" w:w="2592"/>
            <w:shd w:fill="F1F5F9"/>
            <w:tcMar>
              <w:top w:w="100" w:type="dxa"/>
              <w:bottom w:w="100" w:type="dxa"/>
              <w:left w:w="130" w:type="dxa"/>
              <w:right w:w="130" w:type="dxa"/>
            </w:tcMar>
          </w:tcPr>
          <w:p>
            <w:r>
              <w:rPr>
                <w:rFonts w:ascii="Arial" w:hAnsi="Arial"/>
                <w:b/>
                <w:color w:val="0F172A"/>
                <w:sz w:val="18"/>
              </w:rPr>
              <w:t>Customer Journey</w:t>
            </w:r>
          </w:p>
        </w:tc>
        <w:tc>
          <w:tcPr>
            <w:tcW w:type="dxa" w:w="7200"/>
            <w:shd w:fill="F8FAFC"/>
            <w:tcMar>
              <w:top w:w="100" w:type="dxa"/>
              <w:bottom w:w="100" w:type="dxa"/>
              <w:left w:w="140" w:type="dxa"/>
              <w:right w:w="140" w:type="dxa"/>
            </w:tcMar>
          </w:tcPr>
          <w:p>
            <w:pPr>
              <w:spacing w:line="276" w:lineRule="auto"/>
            </w:pPr>
            <w:r>
              <w:rPr>
                <w:rFonts w:ascii="Arial" w:hAnsi="Arial"/>
                <w:color w:val="334155"/>
                <w:sz w:val="17"/>
              </w:rPr>
              <w:t>1. Discovery: Located in the 'Card &amp; Board Games' section of telebirr Game Center.</w:t>
              <w:br/>
              <w:t>2. Access: Launches in under 1.5 seconds in webview; works seamlessly across all devices.</w:t>
              <w:br/>
              <w:t>3. Payment: Fully free-to-play with daily reward mechanics; optional VIP subscription for ad-free play.</w:t>
              <w:br/>
              <w:t>4. Gameplay: Player arranges cards in descending order with alternating colors, building foundation piles from Ace to King.</w:t>
              <w:br/>
              <w:t>5. Engagement: Daily solvable deck challenges, win-streak counters, and personal performance statistics.</w:t>
              <w:br/>
              <w:t>6. Monetization: Premium customized card decks (Ethiopian cultural motifs, gold foil cards) and hint packs via telebirr.</w:t>
              <w:br/>
              <w:t>7. Support: 24/7 automated support ticket routing inside telebirr.</w:t>
              <w:br/>
              <w:t>8. Retention: Monthly Card Master tournaments with exclusive digital trophies and telebirr cash rewards.</w:t>
              <w:br/>
              <w:t>9. Referral: Invite friends to compare win percentages and fastest completion times.</w:t>
            </w:r>
          </w:p>
        </w:tc>
      </w:tr>
      <w:tr>
        <w:tc>
          <w:tcPr>
            <w:tcW w:type="dxa" w:w="2592"/>
            <w:shd w:fill="F1F5F9"/>
            <w:tcMar>
              <w:top w:w="100" w:type="dxa"/>
              <w:bottom w:w="100" w:type="dxa"/>
              <w:left w:w="130" w:type="dxa"/>
              <w:right w:w="130" w:type="dxa"/>
            </w:tcMar>
          </w:tcPr>
          <w:p>
            <w:r>
              <w:rPr>
                <w:rFonts w:ascii="Arial" w:hAnsi="Arial"/>
                <w:b/>
                <w:color w:val="0F172A"/>
                <w:sz w:val="18"/>
              </w:rPr>
              <w:t>Target Audience</w:t>
            </w:r>
          </w:p>
        </w:tc>
        <w:tc>
          <w:tcPr>
            <w:tcW w:type="dxa" w:w="7200"/>
            <w:tcMar>
              <w:top w:w="100" w:type="dxa"/>
              <w:bottom w:w="100" w:type="dxa"/>
              <w:left w:w="140" w:type="dxa"/>
              <w:right w:w="140" w:type="dxa"/>
            </w:tcMar>
          </w:tcPr>
          <w:p>
            <w:pPr>
              <w:spacing w:line="276" w:lineRule="auto"/>
            </w:pPr>
            <w:r>
              <w:rPr>
                <w:rFonts w:ascii="Arial" w:hAnsi="Arial"/>
                <w:color w:val="334155"/>
                <w:sz w:val="17"/>
              </w:rPr>
              <w:t>• Mature adult demographics, office professionals, and enterprise subscribers</w:t>
              <w:br/>
              <w:t>• Traditional card game enthusiasts</w:t>
              <w:br/>
              <w:t>• Commuters and travelers looking for an engrossing solo puzzle experience</w:t>
              <w:br/>
              <w:t>• Subscribers who prefer clean, distraction-free, intellectual gaming</w:t>
            </w:r>
          </w:p>
        </w:tc>
      </w:tr>
      <w:tr>
        <w:tc>
          <w:tcPr>
            <w:tcW w:type="dxa" w:w="2592"/>
            <w:shd w:fill="F1F5F9"/>
            <w:tcMar>
              <w:top w:w="100" w:type="dxa"/>
              <w:bottom w:w="100" w:type="dxa"/>
              <w:left w:w="130" w:type="dxa"/>
              <w:right w:w="130" w:type="dxa"/>
            </w:tcMar>
          </w:tcPr>
          <w:p>
            <w:r>
              <w:rPr>
                <w:rFonts w:ascii="Arial" w:hAnsi="Arial"/>
                <w:b/>
                <w:color w:val="0F172A"/>
                <w:sz w:val="18"/>
              </w:rPr>
              <w:t>Value Proposition for Users</w:t>
            </w:r>
          </w:p>
        </w:tc>
        <w:tc>
          <w:tcPr>
            <w:tcW w:type="dxa" w:w="7200"/>
            <w:shd w:fill="F8FAFC"/>
            <w:tcMar>
              <w:top w:w="100" w:type="dxa"/>
              <w:bottom w:w="100" w:type="dxa"/>
              <w:left w:w="140" w:type="dxa"/>
              <w:right w:w="140" w:type="dxa"/>
            </w:tcMar>
          </w:tcPr>
          <w:p>
            <w:pPr>
              <w:spacing w:line="276" w:lineRule="auto"/>
            </w:pPr>
            <w:r>
              <w:rPr>
                <w:rFonts w:ascii="Arial" w:hAnsi="Arial"/>
                <w:color w:val="334155"/>
                <w:sz w:val="17"/>
              </w:rPr>
              <w:t>• Pristine, distraction-free digital card playing environment</w:t>
              <w:br/>
              <w:t>• 100% solvable daily challenge decks ensuring fair, satisfying play</w:t>
              <w:br/>
              <w:t>• Saves battery and data on mobile devices due to optimized lightweight code</w:t>
              <w:br/>
              <w:t>• Resumes instantly if interrupted by incoming phone calls or messages</w:t>
            </w:r>
          </w:p>
        </w:tc>
      </w:tr>
      <w:tr>
        <w:tc>
          <w:tcPr>
            <w:tcW w:type="dxa" w:w="2592"/>
            <w:shd w:fill="F1F5F9"/>
            <w:tcMar>
              <w:top w:w="100" w:type="dxa"/>
              <w:bottom w:w="100" w:type="dxa"/>
              <w:left w:w="130" w:type="dxa"/>
              <w:right w:w="130" w:type="dxa"/>
            </w:tcMar>
          </w:tcPr>
          <w:p>
            <w:r>
              <w:rPr>
                <w:rFonts w:ascii="Arial" w:hAnsi="Arial"/>
                <w:b/>
                <w:color w:val="0F172A"/>
                <w:sz w:val="18"/>
              </w:rPr>
              <w:t>Value Proposition for telebirr / Ethio Telecom</w:t>
            </w:r>
          </w:p>
        </w:tc>
        <w:tc>
          <w:tcPr>
            <w:tcW w:type="dxa" w:w="7200"/>
            <w:tcMar>
              <w:top w:w="100" w:type="dxa"/>
              <w:bottom w:w="100" w:type="dxa"/>
              <w:left w:w="140" w:type="dxa"/>
              <w:right w:w="140" w:type="dxa"/>
            </w:tcMar>
          </w:tcPr>
          <w:p>
            <w:pPr>
              <w:spacing w:line="276" w:lineRule="auto"/>
            </w:pPr>
            <w:r>
              <w:rPr>
                <w:rFonts w:ascii="Arial" w:hAnsi="Arial"/>
                <w:color w:val="334155"/>
                <w:sz w:val="17"/>
              </w:rPr>
              <w:t>• Unlocks an affluent, mature subscriber demographic that rarely engages with conventional video games</w:t>
              <w:br/>
              <w:t>• High monthly retention rate (users play Solitaire consistently for years)</w:t>
              <w:br/>
              <w:t>• Positions telebirr as a sophisticated, comprehensive lifestyle companion</w:t>
              <w:br/>
              <w:t>• Low infrastructure load with virtually zero operational maintenance</w:t>
            </w:r>
          </w:p>
        </w:tc>
      </w:tr>
    </w:tbl>
    <w:p>
      <w:pPr>
        <w:spacing w:after="160"/>
      </w:pPr>
    </w:p>
    <w:p>
      <w:r>
        <w:br w:type="page"/>
      </w:r>
    </w:p>
    <w:p>
      <w:pPr>
        <w:keepNext/>
        <w:spacing w:before="360" w:after="120"/>
      </w:pPr>
      <w:r>
        <w:rPr>
          <w:rFonts w:ascii="Arial" w:hAnsi="Arial"/>
          <w:b/>
          <w:color w:val="0A78BE"/>
          <w:sz w:val="30"/>
        </w:rPr>
        <w:t>5. Business and Revenue Model</w:t>
      </w:r>
    </w:p>
    <w:p>
      <w:pPr>
        <w:spacing w:before="40" w:after="80" w:line="276" w:lineRule="auto"/>
      </w:pPr>
      <w:r>
        <w:rPr>
          <w:rFonts w:ascii="Arial" w:hAnsi="Arial"/>
          <w:color w:val="334155"/>
          <w:sz w:val="19"/>
        </w:rPr>
        <w:t>Proposal Option 1 is architected around an accessible mass-market commercial model designed to drive massive user adoption, maximize conversion from free players to paying subscribers, and establish predictable, high-volume recurring digital revenue for Ethio Telecom.</w:t>
      </w:r>
    </w:p>
    <w:p>
      <w:pPr>
        <w:keepNext/>
        <w:spacing w:before="280" w:after="80"/>
      </w:pPr>
      <w:r>
        <w:rPr>
          <w:rFonts w:ascii="Arial" w:hAnsi="Arial"/>
          <w:b/>
          <w:color w:val="0F172A"/>
          <w:sz w:val="24"/>
        </w:rPr>
        <w:t>5.1 Commercial Framework &amp; Revenue Sharing</w:t>
      </w:r>
    </w:p>
    <w:p>
      <w:pPr>
        <w:spacing w:before="40" w:after="80" w:line="276" w:lineRule="auto"/>
      </w:pPr>
      <w:r>
        <w:rPr>
          <w:rFonts w:ascii="Arial" w:hAnsi="Arial"/>
          <w:color w:val="334155"/>
          <w:sz w:val="19"/>
        </w:rPr>
        <w:t>The proposed commercial structure operates as a high-margin Value-Added Service (VAS) partnership between Ethio Telecom and Go Digital Service PLC on a revenue-sharing basis:</w:t>
      </w:r>
    </w:p>
    <w:p>
      <w:pPr>
        <w:pStyle w:val="ListBullet"/>
        <w:spacing w:before="20" w:after="60" w:line="276" w:lineRule="auto"/>
      </w:pPr>
      <w:r>
        <w:rPr>
          <w:rFonts w:ascii="Arial" w:hAnsi="Arial"/>
          <w:b/>
          <w:color w:val="0F172A"/>
          <w:sz w:val="19"/>
        </w:rPr>
        <w:t>Ethio Telecom Roles &amp; Responsibilities:</w:t>
      </w:r>
      <w:r>
        <w:rPr>
          <w:rFonts w:ascii="Arial" w:hAnsi="Arial"/>
          <w:color w:val="334155"/>
          <w:sz w:val="19"/>
        </w:rPr>
        <w:t xml:space="preserve"> Ethio Telecom provides the telebirr SuperApp distribution channel, payment gateway infrastructure, subscriber billing connectivity, and national promotional reach.</w:t>
      </w:r>
    </w:p>
    <w:p>
      <w:pPr>
        <w:pStyle w:val="ListBullet"/>
        <w:spacing w:before="20" w:after="60" w:line="276" w:lineRule="auto"/>
      </w:pPr>
      <w:r>
        <w:rPr>
          <w:rFonts w:ascii="Arial" w:hAnsi="Arial"/>
          <w:b/>
          <w:color w:val="0F172A"/>
          <w:sz w:val="19"/>
        </w:rPr>
        <w:t>Go Digital Service PLC Responsibilities:</w:t>
      </w:r>
      <w:r>
        <w:rPr>
          <w:rFonts w:ascii="Arial" w:hAnsi="Arial"/>
          <w:color w:val="334155"/>
          <w:sz w:val="19"/>
        </w:rPr>
        <w:t xml:space="preserve"> Go Digital Service PLC provides the GoPlay gaming platform, cloud hosting infrastructure, 26+ game catalog, continuous content refreshes, technical maintenance, and customer care escalation.</w:t>
      </w:r>
    </w:p>
    <w:p>
      <w:pPr>
        <w:pStyle w:val="ListBullet"/>
        <w:spacing w:before="20" w:after="60" w:line="276" w:lineRule="auto"/>
      </w:pPr>
      <w:r>
        <w:rPr>
          <w:rFonts w:ascii="Arial" w:hAnsi="Arial"/>
          <w:b/>
          <w:color w:val="0F172A"/>
          <w:sz w:val="19"/>
        </w:rPr>
        <w:t>Proposed Revenue Split (55% Ethio Telecom / 45% Partner):</w:t>
      </w:r>
      <w:r>
        <w:rPr>
          <w:rFonts w:ascii="Arial" w:hAnsi="Arial"/>
          <w:color w:val="334155"/>
          <w:sz w:val="19"/>
        </w:rPr>
        <w:t xml:space="preserve"> All net collected revenues (after mandatory government taxes and regulatory fees) are distributed on a pre-agreed 55% Ethio Telecom / 45% Partner split, ensuring maximum commercial return for the national operator with zero capital expenditure.</w:t>
      </w:r>
    </w:p>
    <w:p>
      <w:pPr>
        <w:keepNext/>
        <w:spacing w:before="280" w:after="80"/>
      </w:pPr>
      <w:r>
        <w:rPr>
          <w:rFonts w:ascii="Arial" w:hAnsi="Arial"/>
          <w:b/>
          <w:color w:val="0F172A"/>
          <w:sz w:val="24"/>
        </w:rPr>
        <w:t>5.2 Mass-Market Tariff Structure</w:t>
      </w:r>
    </w:p>
    <w:p>
      <w:pPr>
        <w:spacing w:before="40" w:after="80" w:line="276" w:lineRule="auto"/>
      </w:pPr>
      <w:r>
        <w:rPr>
          <w:rFonts w:ascii="Arial" w:hAnsi="Arial"/>
          <w:color w:val="334155"/>
          <w:sz w:val="19"/>
        </w:rPr>
        <w:t>To ensure frictionless adoption across all socioeconomic segments in Ethiopia, GoPlay implements an affordable, tiered pricing model aligned with Ethiopian VAS spending habits: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rPr>
          <w:tblHeader/>
        </w:trPr>
        <w:tc>
          <w:tcPr>
            <w:tcW w:type="dxa" w:w="2160"/>
            <w:shd w:fill="0A78BE"/>
            <w:tcMar>
              <w:top w:w="140" w:type="dxa"/>
              <w:bottom w:w="140" w:type="dxa"/>
              <w:left w:w="150" w:type="dxa"/>
              <w:right w:w="150" w:type="dxa"/>
            </w:tcMar>
          </w:tcPr>
          <w:p>
            <w:pPr>
              <w:spacing w:before="0" w:after="0"/>
              <w:jc w:val="left"/>
            </w:pPr>
            <w:r>
              <w:rPr>
                <w:rFonts w:ascii="Arial" w:hAnsi="Arial"/>
                <w:b/>
                <w:color w:val="FFFFFF"/>
                <w:sz w:val="19"/>
              </w:rPr>
              <w:t>Monetization Channel</w:t>
            </w:r>
          </w:p>
        </w:tc>
        <w:tc>
          <w:tcPr>
            <w:tcW w:type="dxa" w:w="1584"/>
            <w:shd w:fill="0A78BE"/>
            <w:tcMar>
              <w:top w:w="140" w:type="dxa"/>
              <w:bottom w:w="140" w:type="dxa"/>
              <w:left w:w="150" w:type="dxa"/>
              <w:right w:w="150" w:type="dxa"/>
            </w:tcMar>
          </w:tcPr>
          <w:p>
            <w:pPr>
              <w:spacing w:before="0" w:after="0"/>
              <w:jc w:val="left"/>
            </w:pPr>
            <w:r>
              <w:rPr>
                <w:rFonts w:ascii="Arial" w:hAnsi="Arial"/>
                <w:b/>
                <w:color w:val="FFFFFF"/>
                <w:sz w:val="19"/>
              </w:rPr>
              <w:t>Tariff (ETB)</w:t>
            </w:r>
          </w:p>
        </w:tc>
        <w:tc>
          <w:tcPr>
            <w:tcW w:type="dxa" w:w="1584"/>
            <w:shd w:fill="0A78BE"/>
            <w:tcMar>
              <w:top w:w="140" w:type="dxa"/>
              <w:bottom w:w="140" w:type="dxa"/>
              <w:left w:w="150" w:type="dxa"/>
              <w:right w:w="150" w:type="dxa"/>
            </w:tcMar>
          </w:tcPr>
          <w:p>
            <w:pPr>
              <w:spacing w:before="0" w:after="0"/>
              <w:jc w:val="left"/>
            </w:pPr>
            <w:r>
              <w:rPr>
                <w:rFonts w:ascii="Arial" w:hAnsi="Arial"/>
                <w:b/>
                <w:color w:val="FFFFFF"/>
                <w:sz w:val="19"/>
              </w:rPr>
              <w:t>Validity / Terms</w:t>
            </w:r>
          </w:p>
        </w:tc>
        <w:tc>
          <w:tcPr>
            <w:tcW w:type="dxa" w:w="2880"/>
            <w:shd w:fill="0A78BE"/>
            <w:tcMar>
              <w:top w:w="140" w:type="dxa"/>
              <w:bottom w:w="140" w:type="dxa"/>
              <w:left w:w="150" w:type="dxa"/>
              <w:right w:w="150" w:type="dxa"/>
            </w:tcMar>
          </w:tcPr>
          <w:p>
            <w:pPr>
              <w:spacing w:before="0" w:after="0"/>
              <w:jc w:val="left"/>
            </w:pPr>
            <w:r>
              <w:rPr>
                <w:rFonts w:ascii="Arial" w:hAnsi="Arial"/>
                <w:b/>
                <w:color w:val="FFFFFF"/>
                <w:sz w:val="19"/>
              </w:rPr>
              <w:t>Included Value &amp; Entitlements</w:t>
            </w:r>
          </w:p>
        </w:tc>
        <w:tc>
          <w:tcPr>
            <w:tcW w:type="dxa" w:w="1584"/>
            <w:shd w:fill="0A78BE"/>
            <w:tcMar>
              <w:top w:w="140" w:type="dxa"/>
              <w:bottom w:w="140" w:type="dxa"/>
              <w:left w:w="150" w:type="dxa"/>
              <w:right w:w="150" w:type="dxa"/>
            </w:tcMar>
          </w:tcPr>
          <w:p>
            <w:pPr>
              <w:spacing w:before="0" w:after="0"/>
              <w:jc w:val="left"/>
            </w:pPr>
            <w:r>
              <w:rPr>
                <w:rFonts w:ascii="Arial" w:hAnsi="Arial"/>
                <w:b/>
                <w:color w:val="FFFFFF"/>
                <w:sz w:val="19"/>
              </w:rPr>
              <w:t>Billing Channel</w:t>
            </w:r>
          </w:p>
        </w:tc>
      </w:tr>
      <w:tr>
        <w:tc>
          <w:tcPr>
            <w:tcW w:type="dxa" w:w="2160"/>
            <w:tcMar>
              <w:top w:w="100" w:type="dxa"/>
              <w:bottom w:w="100" w:type="dxa"/>
              <w:left w:w="140" w:type="dxa"/>
              <w:right w:w="140" w:type="dxa"/>
            </w:tcMar>
          </w:tcPr>
          <w:p>
            <w:pPr>
              <w:spacing w:before="0" w:after="0" w:line="276" w:lineRule="auto"/>
              <w:jc w:val="left"/>
            </w:pPr>
            <w:r>
              <w:rPr>
                <w:rFonts w:ascii="Arial" w:hAnsi="Arial"/>
                <w:color w:val="1E293B"/>
                <w:sz w:val="18"/>
              </w:rPr>
              <w:t>Daily VIP Pass</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3 ETB / day</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24 Hours Access</w:t>
            </w:r>
          </w:p>
        </w:tc>
        <w:tc>
          <w:tcPr>
            <w:tcW w:type="dxa" w:w="2880"/>
            <w:tcMar>
              <w:top w:w="100" w:type="dxa"/>
              <w:bottom w:w="100" w:type="dxa"/>
              <w:left w:w="140" w:type="dxa"/>
              <w:right w:w="140" w:type="dxa"/>
            </w:tcMar>
          </w:tcPr>
          <w:p>
            <w:pPr>
              <w:spacing w:before="0" w:after="0" w:line="276" w:lineRule="auto"/>
              <w:jc w:val="left"/>
            </w:pPr>
            <w:r>
              <w:rPr>
                <w:rFonts w:ascii="Arial" w:hAnsi="Arial"/>
                <w:color w:val="1E293B"/>
                <w:sz w:val="18"/>
              </w:rPr>
              <w:t>Unlimited access to all 26+ games, zero ads, 50 daily bonus coins.</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telebirr 1-Click Auto-Debit</w:t>
            </w:r>
          </w:p>
        </w:tc>
      </w:tr>
      <w:tr>
        <w:tc>
          <w:tcPr>
            <w:tcW w:type="dxa" w:w="2160"/>
            <w:shd w:fill="F8FAFC"/>
            <w:tcMar>
              <w:top w:w="100" w:type="dxa"/>
              <w:bottom w:w="100" w:type="dxa"/>
              <w:left w:w="140" w:type="dxa"/>
              <w:right w:w="140" w:type="dxa"/>
            </w:tcMar>
          </w:tcPr>
          <w:p>
            <w:pPr>
              <w:spacing w:before="0" w:after="0" w:line="276" w:lineRule="auto"/>
              <w:jc w:val="left"/>
            </w:pPr>
            <w:r>
              <w:rPr>
                <w:rFonts w:ascii="Arial" w:hAnsi="Arial"/>
                <w:color w:val="1E293B"/>
                <w:sz w:val="18"/>
              </w:rPr>
              <w:t>Weekly VIP Pass</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10 ETB / week</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7 Days Access</w:t>
            </w:r>
          </w:p>
        </w:tc>
        <w:tc>
          <w:tcPr>
            <w:tcW w:type="dxa" w:w="2880"/>
            <w:shd w:fill="F8FAFC"/>
            <w:tcMar>
              <w:top w:w="100" w:type="dxa"/>
              <w:bottom w:w="100" w:type="dxa"/>
              <w:left w:w="140" w:type="dxa"/>
              <w:right w:w="140" w:type="dxa"/>
            </w:tcMar>
          </w:tcPr>
          <w:p>
            <w:pPr>
              <w:spacing w:before="0" w:after="0" w:line="276" w:lineRule="auto"/>
              <w:jc w:val="left"/>
            </w:pPr>
            <w:r>
              <w:rPr>
                <w:rFonts w:ascii="Arial" w:hAnsi="Arial"/>
                <w:color w:val="1E293B"/>
                <w:sz w:val="18"/>
              </w:rPr>
              <w:t>Unlimited play across entire catalog (~52% discount vs daily rate), 250 bonus coins.</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telebirr Auto-Renew with SMS prompt</w:t>
            </w:r>
          </w:p>
        </w:tc>
      </w:tr>
      <w:tr>
        <w:tc>
          <w:tcPr>
            <w:tcW w:type="dxa" w:w="2160"/>
            <w:tcMar>
              <w:top w:w="100" w:type="dxa"/>
              <w:bottom w:w="100" w:type="dxa"/>
              <w:left w:w="140" w:type="dxa"/>
              <w:right w:w="140" w:type="dxa"/>
            </w:tcMar>
          </w:tcPr>
          <w:p>
            <w:pPr>
              <w:spacing w:before="0" w:after="0" w:line="276" w:lineRule="auto"/>
              <w:jc w:val="left"/>
            </w:pPr>
            <w:r>
              <w:rPr>
                <w:rFonts w:ascii="Arial" w:hAnsi="Arial"/>
                <w:color w:val="1E293B"/>
                <w:sz w:val="18"/>
              </w:rPr>
              <w:t>Monthly VIP Pass</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30 ETB / month</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30 Days Access</w:t>
            </w:r>
          </w:p>
        </w:tc>
        <w:tc>
          <w:tcPr>
            <w:tcW w:type="dxa" w:w="2880"/>
            <w:tcMar>
              <w:top w:w="100" w:type="dxa"/>
              <w:bottom w:w="100" w:type="dxa"/>
              <w:left w:w="140" w:type="dxa"/>
              <w:right w:w="140" w:type="dxa"/>
            </w:tcMar>
          </w:tcPr>
          <w:p>
            <w:pPr>
              <w:spacing w:before="0" w:after="0" w:line="276" w:lineRule="auto"/>
              <w:jc w:val="left"/>
            </w:pPr>
            <w:r>
              <w:rPr>
                <w:rFonts w:ascii="Arial" w:hAnsi="Arial"/>
                <w:color w:val="1E293B"/>
                <w:sz w:val="18"/>
              </w:rPr>
              <w:t>Full VIP status, all games unlocked, 600 bonus coins, priority support.</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telebirr Monthly Auto-Debit</w:t>
            </w:r>
          </w:p>
        </w:tc>
      </w:tr>
      <w:tr>
        <w:tc>
          <w:tcPr>
            <w:tcW w:type="dxa" w:w="2160"/>
            <w:shd w:fill="F8FAFC"/>
            <w:tcMar>
              <w:top w:w="100" w:type="dxa"/>
              <w:bottom w:w="100" w:type="dxa"/>
              <w:left w:w="140" w:type="dxa"/>
              <w:right w:w="140" w:type="dxa"/>
            </w:tcMar>
          </w:tcPr>
          <w:p>
            <w:pPr>
              <w:spacing w:before="0" w:after="0" w:line="276" w:lineRule="auto"/>
              <w:jc w:val="left"/>
            </w:pPr>
            <w:r>
              <w:rPr>
                <w:rFonts w:ascii="Arial" w:hAnsi="Arial"/>
                <w:color w:val="1E293B"/>
                <w:sz w:val="18"/>
              </w:rPr>
              <w:t>Pay-Per-Play On Demand</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2 ETB / session</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Single Game Access</w:t>
            </w:r>
          </w:p>
        </w:tc>
        <w:tc>
          <w:tcPr>
            <w:tcW w:type="dxa" w:w="2880"/>
            <w:shd w:fill="F8FAFC"/>
            <w:tcMar>
              <w:top w:w="100" w:type="dxa"/>
              <w:bottom w:w="100" w:type="dxa"/>
              <w:left w:w="140" w:type="dxa"/>
              <w:right w:w="140" w:type="dxa"/>
            </w:tcMar>
          </w:tcPr>
          <w:p>
            <w:pPr>
              <w:spacing w:before="0" w:after="0" w:line="276" w:lineRule="auto"/>
              <w:jc w:val="left"/>
            </w:pPr>
            <w:r>
              <w:rPr>
                <w:rFonts w:ascii="Arial" w:hAnsi="Arial"/>
                <w:color w:val="1E293B"/>
                <w:sz w:val="18"/>
              </w:rPr>
              <w:t>One-time entry to premium level or competitive match for non-subscribers.</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telebirr 1-Click Wallet Deduction</w:t>
            </w:r>
          </w:p>
        </w:tc>
      </w:tr>
      <w:tr>
        <w:tc>
          <w:tcPr>
            <w:tcW w:type="dxa" w:w="2160"/>
            <w:tcMar>
              <w:top w:w="100" w:type="dxa"/>
              <w:bottom w:w="100" w:type="dxa"/>
              <w:left w:w="140" w:type="dxa"/>
              <w:right w:w="140" w:type="dxa"/>
            </w:tcMar>
          </w:tcPr>
          <w:p>
            <w:pPr>
              <w:spacing w:before="0" w:after="0" w:line="276" w:lineRule="auto"/>
              <w:jc w:val="left"/>
            </w:pPr>
            <w:r>
              <w:rPr>
                <w:rFonts w:ascii="Arial" w:hAnsi="Arial"/>
                <w:color w:val="1E293B"/>
                <w:sz w:val="18"/>
              </w:rPr>
              <w:t>In-Game Boosters / Micro-packs</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5 – 10 ETB</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Permanent Consumable</w:t>
            </w:r>
          </w:p>
        </w:tc>
        <w:tc>
          <w:tcPr>
            <w:tcW w:type="dxa" w:w="2880"/>
            <w:tcMar>
              <w:top w:w="100" w:type="dxa"/>
              <w:bottom w:w="100" w:type="dxa"/>
              <w:left w:w="140" w:type="dxa"/>
              <w:right w:w="140" w:type="dxa"/>
            </w:tcMar>
          </w:tcPr>
          <w:p>
            <w:pPr>
              <w:spacing w:before="0" w:after="0" w:line="276" w:lineRule="auto"/>
              <w:jc w:val="left"/>
            </w:pPr>
            <w:r>
              <w:rPr>
                <w:rFonts w:ascii="Arial" w:hAnsi="Arial"/>
                <w:color w:val="1E293B"/>
                <w:sz w:val="18"/>
              </w:rPr>
              <w:t>Undo moves, hint packs, extra lives, cosmetic boards, and power-ups.</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telebirr Direct Micropayment</w:t>
            </w:r>
          </w:p>
        </w:tc>
      </w:tr>
    </w:tbl>
    <w:p>
      <w:pPr>
        <w:spacing w:after="120"/>
      </w:pPr>
    </w:p>
    <w:p>
      <w:pPr>
        <w:keepNext/>
        <w:spacing w:before="280" w:after="80"/>
      </w:pPr>
      <w:r>
        <w:rPr>
          <w:rFonts w:ascii="Arial" w:hAnsi="Arial"/>
          <w:b/>
          <w:color w:val="0F172A"/>
          <w:sz w:val="24"/>
        </w:rPr>
        <w:t>5.3 One-Year Financial Projections (Base Case)</w:t>
      </w:r>
    </w:p>
    <w:p>
      <w:pPr>
        <w:spacing w:before="40" w:after="80" w:line="276" w:lineRule="auto"/>
      </w:pPr>
      <w:r>
        <w:rPr>
          <w:rFonts w:ascii="Arial" w:hAnsi="Arial"/>
          <w:color w:val="334155"/>
          <w:sz w:val="19"/>
        </w:rPr>
        <w:t>Our financial model is grounded in conservative conversion benchmarks from peer telecom gaming deployments in East Africa, assuming a baseline exposure to 3,000,000 active telebirr smartphone users during Year 1:</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rPr>
          <w:tblHeader/>
        </w:trPr>
        <w:tc>
          <w:tcPr>
            <w:tcW w:type="dxa" w:w="2592"/>
            <w:shd w:fill="0A78BE"/>
            <w:tcMar>
              <w:top w:w="140" w:type="dxa"/>
              <w:bottom w:w="140" w:type="dxa"/>
              <w:left w:w="150" w:type="dxa"/>
              <w:right w:w="150" w:type="dxa"/>
            </w:tcMar>
          </w:tcPr>
          <w:p>
            <w:pPr>
              <w:spacing w:before="0" w:after="0"/>
              <w:jc w:val="left"/>
            </w:pPr>
            <w:r>
              <w:rPr>
                <w:rFonts w:ascii="Arial" w:hAnsi="Arial"/>
                <w:b/>
                <w:color w:val="FFFFFF"/>
                <w:sz w:val="19"/>
              </w:rPr>
              <w:t>Revenue Channel</w:t>
            </w:r>
          </w:p>
        </w:tc>
        <w:tc>
          <w:tcPr>
            <w:tcW w:type="dxa" w:w="2304"/>
            <w:shd w:fill="0A78BE"/>
            <w:tcMar>
              <w:top w:w="140" w:type="dxa"/>
              <w:bottom w:w="140" w:type="dxa"/>
              <w:left w:w="150" w:type="dxa"/>
              <w:right w:w="150" w:type="dxa"/>
            </w:tcMar>
          </w:tcPr>
          <w:p>
            <w:pPr>
              <w:spacing w:before="0" w:after="0"/>
              <w:jc w:val="left"/>
            </w:pPr>
            <w:r>
              <w:rPr>
                <w:rFonts w:ascii="Arial" w:hAnsi="Arial"/>
                <w:b/>
                <w:color w:val="FFFFFF"/>
                <w:sz w:val="19"/>
              </w:rPr>
              <w:t>Active Volume / Users</w:t>
            </w:r>
          </w:p>
        </w:tc>
        <w:tc>
          <w:tcPr>
            <w:tcW w:type="dxa" w:w="1440"/>
            <w:shd w:fill="0A78BE"/>
            <w:tcMar>
              <w:top w:w="140" w:type="dxa"/>
              <w:bottom w:w="140" w:type="dxa"/>
              <w:left w:w="150" w:type="dxa"/>
              <w:right w:w="150" w:type="dxa"/>
            </w:tcMar>
          </w:tcPr>
          <w:p>
            <w:pPr>
              <w:spacing w:before="0" w:after="0"/>
              <w:jc w:val="left"/>
            </w:pPr>
            <w:r>
              <w:rPr>
                <w:rFonts w:ascii="Arial" w:hAnsi="Arial"/>
                <w:b/>
                <w:color w:val="FFFFFF"/>
                <w:sz w:val="19"/>
              </w:rPr>
              <w:t>Average Tariff</w:t>
            </w:r>
          </w:p>
        </w:tc>
        <w:tc>
          <w:tcPr>
            <w:tcW w:type="dxa" w:w="1728"/>
            <w:shd w:fill="0A78BE"/>
            <w:tcMar>
              <w:top w:w="140" w:type="dxa"/>
              <w:bottom w:w="140" w:type="dxa"/>
              <w:left w:w="150" w:type="dxa"/>
              <w:right w:w="150" w:type="dxa"/>
            </w:tcMar>
          </w:tcPr>
          <w:p>
            <w:pPr>
              <w:spacing w:before="0" w:after="0"/>
              <w:jc w:val="left"/>
            </w:pPr>
            <w:r>
              <w:rPr>
                <w:rFonts w:ascii="Arial" w:hAnsi="Arial"/>
                <w:b/>
                <w:color w:val="FFFFFF"/>
                <w:sz w:val="19"/>
              </w:rPr>
              <w:t>Monthly Revenue (ETB)</w:t>
            </w:r>
          </w:p>
        </w:tc>
        <w:tc>
          <w:tcPr>
            <w:tcW w:type="dxa" w:w="1728"/>
            <w:shd w:fill="0A78BE"/>
            <w:tcMar>
              <w:top w:w="140" w:type="dxa"/>
              <w:bottom w:w="140" w:type="dxa"/>
              <w:left w:w="150" w:type="dxa"/>
              <w:right w:w="150" w:type="dxa"/>
            </w:tcMar>
          </w:tcPr>
          <w:p>
            <w:pPr>
              <w:spacing w:before="0" w:after="0"/>
              <w:jc w:val="left"/>
            </w:pPr>
            <w:r>
              <w:rPr>
                <w:rFonts w:ascii="Arial" w:hAnsi="Arial"/>
                <w:b/>
                <w:color w:val="FFFFFF"/>
                <w:sz w:val="19"/>
              </w:rPr>
              <w:t>Annual Gross Revenue (ETB)</w:t>
            </w:r>
          </w:p>
        </w:tc>
      </w:tr>
      <w:tr>
        <w:tc>
          <w:tcPr>
            <w:tcW w:type="dxa" w:w="2592"/>
            <w:tcMar>
              <w:top w:w="100" w:type="dxa"/>
              <w:bottom w:w="100" w:type="dxa"/>
              <w:left w:w="140" w:type="dxa"/>
              <w:right w:w="140" w:type="dxa"/>
            </w:tcMar>
          </w:tcPr>
          <w:p>
            <w:pPr>
              <w:spacing w:before="0" w:after="0" w:line="276" w:lineRule="auto"/>
              <w:jc w:val="left"/>
            </w:pPr>
            <w:r>
              <w:rPr>
                <w:rFonts w:ascii="Arial" w:hAnsi="Arial"/>
                <w:color w:val="1E293B"/>
                <w:sz w:val="18"/>
              </w:rPr>
              <w:t>Daily Subscriptions</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40,000 users × 10 active days/mo</w:t>
            </w:r>
          </w:p>
        </w:tc>
        <w:tc>
          <w:tcPr>
            <w:tcW w:type="dxa" w:w="1440"/>
            <w:tcMar>
              <w:top w:w="100" w:type="dxa"/>
              <w:bottom w:w="100" w:type="dxa"/>
              <w:left w:w="140" w:type="dxa"/>
              <w:right w:w="140" w:type="dxa"/>
            </w:tcMar>
          </w:tcPr>
          <w:p>
            <w:pPr>
              <w:spacing w:before="0" w:after="0" w:line="276" w:lineRule="auto"/>
              <w:jc w:val="left"/>
            </w:pPr>
            <w:r>
              <w:rPr>
                <w:rFonts w:ascii="Arial" w:hAnsi="Arial"/>
                <w:color w:val="1E293B"/>
                <w:sz w:val="18"/>
              </w:rPr>
              <w:t>3 ETB / day</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1,200,000 ETB</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14,400,000 ETB</w:t>
            </w:r>
          </w:p>
        </w:tc>
      </w:tr>
      <w:tr>
        <w:tc>
          <w:tcPr>
            <w:tcW w:type="dxa" w:w="2592"/>
            <w:shd w:fill="F8FAFC"/>
            <w:tcMar>
              <w:top w:w="100" w:type="dxa"/>
              <w:bottom w:w="100" w:type="dxa"/>
              <w:left w:w="140" w:type="dxa"/>
              <w:right w:w="140" w:type="dxa"/>
            </w:tcMar>
          </w:tcPr>
          <w:p>
            <w:pPr>
              <w:spacing w:before="0" w:after="0" w:line="276" w:lineRule="auto"/>
              <w:jc w:val="left"/>
            </w:pPr>
            <w:r>
              <w:rPr>
                <w:rFonts w:ascii="Arial" w:hAnsi="Arial"/>
                <w:color w:val="1E293B"/>
                <w:sz w:val="18"/>
              </w:rPr>
              <w:t>Weekly Subscriptions</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30,000 weekly recurring users</w:t>
            </w:r>
          </w:p>
        </w:tc>
        <w:tc>
          <w:tcPr>
            <w:tcW w:type="dxa" w:w="1440"/>
            <w:shd w:fill="F8FAFC"/>
            <w:tcMar>
              <w:top w:w="100" w:type="dxa"/>
              <w:bottom w:w="100" w:type="dxa"/>
              <w:left w:w="140" w:type="dxa"/>
              <w:right w:w="140" w:type="dxa"/>
            </w:tcMar>
          </w:tcPr>
          <w:p>
            <w:pPr>
              <w:spacing w:before="0" w:after="0" w:line="276" w:lineRule="auto"/>
              <w:jc w:val="left"/>
            </w:pPr>
            <w:r>
              <w:rPr>
                <w:rFonts w:ascii="Arial" w:hAnsi="Arial"/>
                <w:color w:val="1E293B"/>
                <w:sz w:val="18"/>
              </w:rPr>
              <w:t>10 ETB / week</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1,200,000 ETB</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14,400,000 ETB</w:t>
            </w:r>
          </w:p>
        </w:tc>
      </w:tr>
      <w:tr>
        <w:tc>
          <w:tcPr>
            <w:tcW w:type="dxa" w:w="2592"/>
            <w:tcMar>
              <w:top w:w="100" w:type="dxa"/>
              <w:bottom w:w="100" w:type="dxa"/>
              <w:left w:w="140" w:type="dxa"/>
              <w:right w:w="140" w:type="dxa"/>
            </w:tcMar>
          </w:tcPr>
          <w:p>
            <w:pPr>
              <w:spacing w:before="0" w:after="0" w:line="276" w:lineRule="auto"/>
              <w:jc w:val="left"/>
            </w:pPr>
            <w:r>
              <w:rPr>
                <w:rFonts w:ascii="Arial" w:hAnsi="Arial"/>
                <w:color w:val="1E293B"/>
                <w:sz w:val="18"/>
              </w:rPr>
              <w:t>Monthly Subscriptions</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15,000 monthly subscribers</w:t>
            </w:r>
          </w:p>
        </w:tc>
        <w:tc>
          <w:tcPr>
            <w:tcW w:type="dxa" w:w="1440"/>
            <w:tcMar>
              <w:top w:w="100" w:type="dxa"/>
              <w:bottom w:w="100" w:type="dxa"/>
              <w:left w:w="140" w:type="dxa"/>
              <w:right w:w="140" w:type="dxa"/>
            </w:tcMar>
          </w:tcPr>
          <w:p>
            <w:pPr>
              <w:spacing w:before="0" w:after="0" w:line="276" w:lineRule="auto"/>
              <w:jc w:val="left"/>
            </w:pPr>
            <w:r>
              <w:rPr>
                <w:rFonts w:ascii="Arial" w:hAnsi="Arial"/>
                <w:color w:val="1E293B"/>
                <w:sz w:val="18"/>
              </w:rPr>
              <w:t>30 ETB / month</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450,000 ETB</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5,400,000 ETB</w:t>
            </w:r>
          </w:p>
        </w:tc>
      </w:tr>
      <w:tr>
        <w:tc>
          <w:tcPr>
            <w:tcW w:type="dxa" w:w="2592"/>
            <w:shd w:fill="F8FAFC"/>
            <w:tcMar>
              <w:top w:w="100" w:type="dxa"/>
              <w:bottom w:w="100" w:type="dxa"/>
              <w:left w:w="140" w:type="dxa"/>
              <w:right w:w="140" w:type="dxa"/>
            </w:tcMar>
          </w:tcPr>
          <w:p>
            <w:pPr>
              <w:spacing w:before="0" w:after="0" w:line="276" w:lineRule="auto"/>
              <w:jc w:val="left"/>
            </w:pPr>
            <w:r>
              <w:rPr>
                <w:rFonts w:ascii="Arial" w:hAnsi="Arial"/>
                <w:color w:val="1E293B"/>
                <w:sz w:val="18"/>
              </w:rPr>
              <w:t>Pay-Per-Play (On-Demand)</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40,000 individual sessions/mo</w:t>
            </w:r>
          </w:p>
        </w:tc>
        <w:tc>
          <w:tcPr>
            <w:tcW w:type="dxa" w:w="1440"/>
            <w:shd w:fill="F8FAFC"/>
            <w:tcMar>
              <w:top w:w="100" w:type="dxa"/>
              <w:bottom w:w="100" w:type="dxa"/>
              <w:left w:w="140" w:type="dxa"/>
              <w:right w:w="140" w:type="dxa"/>
            </w:tcMar>
          </w:tcPr>
          <w:p>
            <w:pPr>
              <w:spacing w:before="0" w:after="0" w:line="276" w:lineRule="auto"/>
              <w:jc w:val="left"/>
            </w:pPr>
            <w:r>
              <w:rPr>
                <w:rFonts w:ascii="Arial" w:hAnsi="Arial"/>
                <w:color w:val="1E293B"/>
                <w:sz w:val="18"/>
              </w:rPr>
              <w:t>2 ETB / play</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80,000 ETB</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960,000 ETB</w:t>
            </w:r>
          </w:p>
        </w:tc>
      </w:tr>
      <w:tr>
        <w:tc>
          <w:tcPr>
            <w:tcW w:type="dxa" w:w="2592"/>
            <w:tcMar>
              <w:top w:w="100" w:type="dxa"/>
              <w:bottom w:w="100" w:type="dxa"/>
              <w:left w:w="140" w:type="dxa"/>
              <w:right w:w="140" w:type="dxa"/>
            </w:tcMar>
          </w:tcPr>
          <w:p>
            <w:pPr>
              <w:spacing w:before="0" w:after="0" w:line="276" w:lineRule="auto"/>
              <w:jc w:val="left"/>
            </w:pPr>
            <w:r>
              <w:rPr>
                <w:rFonts w:ascii="Arial" w:hAnsi="Arial"/>
                <w:color w:val="1E293B"/>
                <w:sz w:val="18"/>
              </w:rPr>
              <w:t>In-Game Boosters / Consumables</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12,000 active purchasers/mo</w:t>
            </w:r>
          </w:p>
        </w:tc>
        <w:tc>
          <w:tcPr>
            <w:tcW w:type="dxa" w:w="1440"/>
            <w:tcMar>
              <w:top w:w="100" w:type="dxa"/>
              <w:bottom w:w="100" w:type="dxa"/>
              <w:left w:w="140" w:type="dxa"/>
              <w:right w:w="140" w:type="dxa"/>
            </w:tcMar>
          </w:tcPr>
          <w:p>
            <w:pPr>
              <w:spacing w:before="0" w:after="0" w:line="276" w:lineRule="auto"/>
              <w:jc w:val="left"/>
            </w:pPr>
            <w:r>
              <w:rPr>
                <w:rFonts w:ascii="Arial" w:hAnsi="Arial"/>
                <w:color w:val="1E293B"/>
                <w:sz w:val="18"/>
              </w:rPr>
              <w:t>8 ETB avg. spend</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96,000 ETB</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1,152,000 ETB</w:t>
            </w:r>
          </w:p>
        </w:tc>
      </w:tr>
      <w:tr>
        <w:tc>
          <w:tcPr>
            <w:tcW w:type="dxa" w:w="2592"/>
            <w:shd w:fill="F8FAFC"/>
            <w:tcMar>
              <w:top w:w="100" w:type="dxa"/>
              <w:bottom w:w="100" w:type="dxa"/>
              <w:left w:w="140" w:type="dxa"/>
              <w:right w:w="140" w:type="dxa"/>
            </w:tcMar>
          </w:tcPr>
          <w:p>
            <w:pPr>
              <w:spacing w:before="0" w:after="0" w:line="276" w:lineRule="auto"/>
              <w:jc w:val="left"/>
            </w:pPr>
            <w:r>
              <w:rPr>
                <w:rFonts w:ascii="Arial" w:hAnsi="Arial"/>
                <w:color w:val="1E293B"/>
                <w:sz w:val="18"/>
              </w:rPr>
              <w:t>Seasonal Community Challenges</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4 quarterly community events</w:t>
            </w:r>
          </w:p>
        </w:tc>
        <w:tc>
          <w:tcPr>
            <w:tcW w:type="dxa" w:w="1440"/>
            <w:shd w:fill="F8FAFC"/>
            <w:tcMar>
              <w:top w:w="100" w:type="dxa"/>
              <w:bottom w:w="100" w:type="dxa"/>
              <w:left w:w="140" w:type="dxa"/>
              <w:right w:w="140" w:type="dxa"/>
            </w:tcMar>
          </w:tcPr>
          <w:p>
            <w:pPr>
              <w:spacing w:before="0" w:after="0" w:line="276" w:lineRule="auto"/>
              <w:jc w:val="left"/>
            </w:pPr>
            <w:r>
              <w:rPr>
                <w:rFonts w:ascii="Arial" w:hAnsi="Arial"/>
                <w:color w:val="1E293B"/>
                <w:sz w:val="18"/>
              </w:rPr>
              <w:t>200,000 ETB/event</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800,000 ETB</w:t>
            </w:r>
          </w:p>
        </w:tc>
      </w:tr>
      <w:tr>
        <w:tc>
          <w:tcPr>
            <w:tcW w:type="dxa" w:w="2592"/>
            <w:tcMar>
              <w:top w:w="100" w:type="dxa"/>
              <w:bottom w:w="100" w:type="dxa"/>
              <w:left w:w="140" w:type="dxa"/>
              <w:right w:w="140" w:type="dxa"/>
            </w:tcMar>
          </w:tcPr>
          <w:p>
            <w:pPr>
              <w:spacing w:before="0" w:after="0" w:line="276" w:lineRule="auto"/>
              <w:jc w:val="left"/>
            </w:pPr>
            <w:r>
              <w:rPr>
                <w:rFonts w:ascii="Arial" w:hAnsi="Arial"/>
                <w:color w:val="1E293B"/>
                <w:sz w:val="18"/>
              </w:rPr>
              <w:t>TOTAL ANNUAL GROSS</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w:t>
            </w:r>
          </w:p>
        </w:tc>
        <w:tc>
          <w:tcPr>
            <w:tcW w:type="dxa" w:w="1440"/>
            <w:tcMar>
              <w:top w:w="100" w:type="dxa"/>
              <w:bottom w:w="100" w:type="dxa"/>
              <w:left w:w="140" w:type="dxa"/>
              <w:right w:w="140" w:type="dxa"/>
            </w:tcMar>
          </w:tcPr>
          <w:p>
            <w:pPr>
              <w:spacing w:before="0" w:after="0" w:line="276" w:lineRule="auto"/>
              <w:jc w:val="left"/>
            </w:pPr>
            <w:r>
              <w:rPr>
                <w:rFonts w:ascii="Arial" w:hAnsi="Arial"/>
                <w:color w:val="1E293B"/>
                <w:sz w:val="18"/>
              </w:rPr>
              <w:t>—</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3,026,000 ETB / mo</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37,112,000 ETB (~37.11M ETB)</w:t>
            </w:r>
          </w:p>
        </w:tc>
      </w:tr>
      <w:tr>
        <w:tc>
          <w:tcPr>
            <w:tcW w:type="dxa" w:w="2592"/>
            <w:shd w:fill="F8FAFC"/>
            <w:tcMar>
              <w:top w:w="100" w:type="dxa"/>
              <w:bottom w:w="100" w:type="dxa"/>
              <w:left w:w="140" w:type="dxa"/>
              <w:right w:w="140" w:type="dxa"/>
            </w:tcMar>
          </w:tcPr>
          <w:p>
            <w:pPr>
              <w:spacing w:before="0" w:after="0" w:line="276" w:lineRule="auto"/>
              <w:jc w:val="left"/>
            </w:pPr>
            <w:r>
              <w:rPr>
                <w:rFonts w:ascii="Arial" w:hAnsi="Arial"/>
                <w:color w:val="1E293B"/>
                <w:sz w:val="18"/>
              </w:rPr>
              <w:t>ETHIO TELECOM SHARE (55%)</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w:t>
            </w:r>
          </w:p>
        </w:tc>
        <w:tc>
          <w:tcPr>
            <w:tcW w:type="dxa" w:w="1440"/>
            <w:shd w:fill="F8FAFC"/>
            <w:tcMar>
              <w:top w:w="100" w:type="dxa"/>
              <w:bottom w:w="100" w:type="dxa"/>
              <w:left w:w="140" w:type="dxa"/>
              <w:right w:w="140" w:type="dxa"/>
            </w:tcMar>
          </w:tcPr>
          <w:p>
            <w:pPr>
              <w:spacing w:before="0" w:after="0" w:line="276" w:lineRule="auto"/>
              <w:jc w:val="left"/>
            </w:pPr>
            <w:r>
              <w:rPr>
                <w:rFonts w:ascii="Arial" w:hAnsi="Arial"/>
                <w:color w:val="1E293B"/>
                <w:sz w:val="18"/>
              </w:rPr>
              <w:t>—</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1,664,300 ETB / mo</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20,411,600 ETB (~20.41M ETB)</w:t>
            </w:r>
          </w:p>
        </w:tc>
      </w:tr>
      <w:tr>
        <w:tc>
          <w:tcPr>
            <w:tcW w:type="dxa" w:w="2592"/>
            <w:tcMar>
              <w:top w:w="100" w:type="dxa"/>
              <w:bottom w:w="100" w:type="dxa"/>
              <w:left w:w="140" w:type="dxa"/>
              <w:right w:w="140" w:type="dxa"/>
            </w:tcMar>
          </w:tcPr>
          <w:p>
            <w:pPr>
              <w:spacing w:before="0" w:after="0" w:line="276" w:lineRule="auto"/>
              <w:jc w:val="left"/>
            </w:pPr>
            <w:r>
              <w:rPr>
                <w:rFonts w:ascii="Arial" w:hAnsi="Arial"/>
                <w:color w:val="1E293B"/>
                <w:sz w:val="18"/>
              </w:rPr>
              <w:t>GO DIGITAL SERVICE SHARE (45%)</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w:t>
            </w:r>
          </w:p>
        </w:tc>
        <w:tc>
          <w:tcPr>
            <w:tcW w:type="dxa" w:w="1440"/>
            <w:tcMar>
              <w:top w:w="100" w:type="dxa"/>
              <w:bottom w:w="100" w:type="dxa"/>
              <w:left w:w="140" w:type="dxa"/>
              <w:right w:w="140" w:type="dxa"/>
            </w:tcMar>
          </w:tcPr>
          <w:p>
            <w:pPr>
              <w:spacing w:before="0" w:after="0" w:line="276" w:lineRule="auto"/>
              <w:jc w:val="left"/>
            </w:pPr>
            <w:r>
              <w:rPr>
                <w:rFonts w:ascii="Arial" w:hAnsi="Arial"/>
                <w:color w:val="1E293B"/>
                <w:sz w:val="18"/>
              </w:rPr>
              <w:t>—</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1,361,700 ETB / mo</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16,700,400 ETB (~16.70M ETB)</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792"/>
            <w:shd w:fill="F4FBF0"/>
            <w:tcMar>
              <w:top w:w="140" w:type="dxa"/>
              <w:bottom w:w="140" w:type="dxa"/>
              <w:left w:w="200" w:type="dxa"/>
              <w:right w:w="180" w:type="dxa"/>
            </w:tcMar>
            <w:tcBorders>
              <w:left w:val="single" w:sz="24" w:space="0" w:color="8BCB3D"/>
              <w:top w:val="none"/>
              <w:right w:val="none"/>
              <w:bottom w:val="none"/>
            </w:tcBorders>
          </w:tcPr>
          <w:p>
            <w:pPr>
              <w:spacing w:before="40" w:after="40" w:line="276" w:lineRule="auto"/>
            </w:pPr>
            <w:r>
              <w:rPr>
                <w:rFonts w:ascii="Arial" w:hAnsi="Arial"/>
                <w:b/>
                <w:color w:val="8BCB3D"/>
                <w:sz w:val="21"/>
              </w:rPr>
              <w:t>Key Financial Takeaways for Ethio Telecom</w:t>
              <w:br/>
            </w:r>
            <w:r>
              <w:rPr>
                <w:rFonts w:ascii="Arial" w:hAnsi="Arial"/>
                <w:i/>
                <w:color w:val="334155"/>
                <w:sz w:val="20"/>
              </w:rPr>
              <w:t>• Total Projected Annual Gross Revenue: 37,112,000 ETB</w:t>
              <w:br/>
              <w:t>• Direct Projected Share for Ethio Telecom (55%): 20,411,600 ETB</w:t>
              <w:br/>
              <w:t>• Total CapEx Investment required from Ethio Telecom: 0.00 ETB (Turnkey partner-hosted platform)</w:t>
              <w:br/>
              <w:t>• Target Active Paid User Conversion: 3.2% of exposed smartphone subscriber base (~96,000 paying users).</w:t>
            </w:r>
          </w:p>
        </w:tc>
      </w:tr>
    </w:tbl>
    <w:p>
      <w:pPr>
        <w:spacing w:after="80"/>
      </w:pPr>
    </w:p>
    <w:p>
      <w:r>
        <w:br w:type="page"/>
      </w:r>
    </w:p>
    <w:p>
      <w:pPr>
        <w:keepNext/>
        <w:spacing w:before="360" w:after="120"/>
      </w:pPr>
      <w:r>
        <w:rPr>
          <w:rFonts w:ascii="Arial" w:hAnsi="Arial"/>
          <w:b/>
          <w:color w:val="0A78BE"/>
          <w:sz w:val="30"/>
        </w:rPr>
        <w:t>6. Technical Integration Architecture</w:t>
      </w:r>
    </w:p>
    <w:p>
      <w:pPr>
        <w:spacing w:before="40" w:after="80" w:line="276" w:lineRule="auto"/>
      </w:pPr>
      <w:r>
        <w:rPr>
          <w:rFonts w:ascii="Arial" w:hAnsi="Arial"/>
          <w:color w:val="334155"/>
          <w:sz w:val="19"/>
        </w:rPr>
        <w:t>GoPlay is an active, production-grade codebase engineered to Tier-0 telecom standards, ready for immediate integration into the telebirr ecosystem. Our dual-channel integration architecture supports both native mini-app packaging and secure in-app webview containers.</w:t>
      </w:r>
    </w:p>
    <w:p>
      <w:pPr>
        <w:keepNext/>
        <w:spacing w:before="280" w:after="80"/>
      </w:pPr>
      <w:r>
        <w:rPr>
          <w:rFonts w:ascii="Arial" w:hAnsi="Arial"/>
          <w:b/>
          <w:color w:val="0F172A"/>
          <w:sz w:val="24"/>
        </w:rPr>
        <w:t>6.1 Production Technology Stack</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64"/>
        <w:gridCol w:w="3264"/>
        <w:gridCol w:w="3264"/>
      </w:tblGrid>
      <w:tr>
        <w:trPr>
          <w:tblHeader/>
        </w:trPr>
        <w:tc>
          <w:tcPr>
            <w:tcW w:type="dxa" w:w="2160"/>
            <w:shd w:fill="0A78BE"/>
            <w:tcMar>
              <w:top w:w="140" w:type="dxa"/>
              <w:bottom w:w="140" w:type="dxa"/>
              <w:left w:w="150" w:type="dxa"/>
              <w:right w:w="150" w:type="dxa"/>
            </w:tcMar>
          </w:tcPr>
          <w:p>
            <w:pPr>
              <w:spacing w:before="0" w:after="0"/>
              <w:jc w:val="left"/>
            </w:pPr>
            <w:r>
              <w:rPr>
                <w:rFonts w:ascii="Arial" w:hAnsi="Arial"/>
                <w:b/>
                <w:color w:val="FFFFFF"/>
                <w:sz w:val="19"/>
              </w:rPr>
              <w:t>Architecture Domain</w:t>
            </w:r>
          </w:p>
        </w:tc>
        <w:tc>
          <w:tcPr>
            <w:tcW w:type="dxa" w:w="2736"/>
            <w:shd w:fill="0A78BE"/>
            <w:tcMar>
              <w:top w:w="140" w:type="dxa"/>
              <w:bottom w:w="140" w:type="dxa"/>
              <w:left w:w="150" w:type="dxa"/>
              <w:right w:w="150" w:type="dxa"/>
            </w:tcMar>
          </w:tcPr>
          <w:p>
            <w:pPr>
              <w:spacing w:before="0" w:after="0"/>
              <w:jc w:val="left"/>
            </w:pPr>
            <w:r>
              <w:rPr>
                <w:rFonts w:ascii="Arial" w:hAnsi="Arial"/>
                <w:b/>
                <w:color w:val="FFFFFF"/>
                <w:sz w:val="19"/>
              </w:rPr>
              <w:t>Technology Specification</w:t>
            </w:r>
          </w:p>
        </w:tc>
        <w:tc>
          <w:tcPr>
            <w:tcW w:type="dxa" w:w="4896"/>
            <w:shd w:fill="0A78BE"/>
            <w:tcMar>
              <w:top w:w="140" w:type="dxa"/>
              <w:bottom w:w="140" w:type="dxa"/>
              <w:left w:w="150" w:type="dxa"/>
              <w:right w:w="150" w:type="dxa"/>
            </w:tcMar>
          </w:tcPr>
          <w:p>
            <w:pPr>
              <w:spacing w:before="0" w:after="0"/>
              <w:jc w:val="left"/>
            </w:pPr>
            <w:r>
              <w:rPr>
                <w:rFonts w:ascii="Arial" w:hAnsi="Arial"/>
                <w:b/>
                <w:color w:val="FFFFFF"/>
                <w:sz w:val="19"/>
              </w:rPr>
              <w:t>Operational Function &amp; Capability</w:t>
            </w:r>
          </w:p>
        </w:tc>
      </w:tr>
      <w:tr>
        <w:tc>
          <w:tcPr>
            <w:tcW w:type="dxa" w:w="2160"/>
            <w:tcMar>
              <w:top w:w="100" w:type="dxa"/>
              <w:bottom w:w="100" w:type="dxa"/>
              <w:left w:w="140" w:type="dxa"/>
              <w:right w:w="140" w:type="dxa"/>
            </w:tcMar>
          </w:tcPr>
          <w:p>
            <w:pPr>
              <w:spacing w:before="0" w:after="0" w:line="276" w:lineRule="auto"/>
              <w:jc w:val="left"/>
            </w:pPr>
            <w:r>
              <w:rPr>
                <w:rFonts w:ascii="Arial" w:hAnsi="Arial"/>
                <w:color w:val="1E293B"/>
                <w:sz w:val="18"/>
              </w:rPr>
              <w:t>Frontend Framework</w:t>
            </w:r>
          </w:p>
        </w:tc>
        <w:tc>
          <w:tcPr>
            <w:tcW w:type="dxa" w:w="2736"/>
            <w:tcMar>
              <w:top w:w="100" w:type="dxa"/>
              <w:bottom w:w="100" w:type="dxa"/>
              <w:left w:w="140" w:type="dxa"/>
              <w:right w:w="140" w:type="dxa"/>
            </w:tcMar>
          </w:tcPr>
          <w:p>
            <w:pPr>
              <w:spacing w:before="0" w:after="0" w:line="276" w:lineRule="auto"/>
              <w:jc w:val="left"/>
            </w:pPr>
            <w:r>
              <w:rPr>
                <w:rFonts w:ascii="Arial" w:hAnsi="Arial"/>
                <w:color w:val="1E293B"/>
                <w:sz w:val="18"/>
              </w:rPr>
              <w:t>React 19, TypeScript, Tailwind CSS, Vite</w:t>
            </w:r>
          </w:p>
        </w:tc>
        <w:tc>
          <w:tcPr>
            <w:tcW w:type="dxa" w:w="4896"/>
            <w:tcMar>
              <w:top w:w="100" w:type="dxa"/>
              <w:bottom w:w="100" w:type="dxa"/>
              <w:left w:w="140" w:type="dxa"/>
              <w:right w:w="140" w:type="dxa"/>
            </w:tcMar>
          </w:tcPr>
          <w:p>
            <w:pPr>
              <w:spacing w:before="0" w:after="0" w:line="276" w:lineRule="auto"/>
              <w:jc w:val="left"/>
            </w:pPr>
            <w:r>
              <w:rPr>
                <w:rFonts w:ascii="Arial" w:hAnsi="Arial"/>
                <w:color w:val="1E293B"/>
                <w:sz w:val="18"/>
              </w:rPr>
              <w:t>Ultra-fast rendering, responsive mobile layouts, dynamic asset bundling.</w:t>
            </w:r>
          </w:p>
        </w:tc>
      </w:tr>
      <w:tr>
        <w:tc>
          <w:tcPr>
            <w:tcW w:type="dxa" w:w="2160"/>
            <w:shd w:fill="F8FAFC"/>
            <w:tcMar>
              <w:top w:w="100" w:type="dxa"/>
              <w:bottom w:w="100" w:type="dxa"/>
              <w:left w:w="140" w:type="dxa"/>
              <w:right w:w="140" w:type="dxa"/>
            </w:tcMar>
          </w:tcPr>
          <w:p>
            <w:pPr>
              <w:spacing w:before="0" w:after="0" w:line="276" w:lineRule="auto"/>
              <w:jc w:val="left"/>
            </w:pPr>
            <w:r>
              <w:rPr>
                <w:rFonts w:ascii="Arial" w:hAnsi="Arial"/>
                <w:color w:val="1E293B"/>
                <w:sz w:val="18"/>
              </w:rPr>
              <w:t>Game Engines</w:t>
            </w:r>
          </w:p>
        </w:tc>
        <w:tc>
          <w:tcPr>
            <w:tcW w:type="dxa" w:w="2736"/>
            <w:shd w:fill="F8FAFC"/>
            <w:tcMar>
              <w:top w:w="100" w:type="dxa"/>
              <w:bottom w:w="100" w:type="dxa"/>
              <w:left w:w="140" w:type="dxa"/>
              <w:right w:w="140" w:type="dxa"/>
            </w:tcMar>
          </w:tcPr>
          <w:p>
            <w:pPr>
              <w:spacing w:before="0" w:after="0" w:line="276" w:lineRule="auto"/>
              <w:jc w:val="left"/>
            </w:pPr>
            <w:r>
              <w:rPr>
                <w:rFonts w:ascii="Arial" w:hAnsi="Arial"/>
                <w:color w:val="1E293B"/>
                <w:sz w:val="18"/>
              </w:rPr>
              <w:t>HTML5 Canvas, WebGL, PixiJS, Phaser</w:t>
            </w:r>
          </w:p>
        </w:tc>
        <w:tc>
          <w:tcPr>
            <w:tcW w:type="dxa" w:w="4896"/>
            <w:shd w:fill="F8FAFC"/>
            <w:tcMar>
              <w:top w:w="100" w:type="dxa"/>
              <w:bottom w:w="100" w:type="dxa"/>
              <w:left w:w="140" w:type="dxa"/>
              <w:right w:w="140" w:type="dxa"/>
            </w:tcMar>
          </w:tcPr>
          <w:p>
            <w:pPr>
              <w:spacing w:before="0" w:after="0" w:line="276" w:lineRule="auto"/>
              <w:jc w:val="left"/>
            </w:pPr>
            <w:r>
              <w:rPr>
                <w:rFonts w:ascii="Arial" w:hAnsi="Arial"/>
                <w:color w:val="1E293B"/>
                <w:sz w:val="18"/>
              </w:rPr>
              <w:t>Smooth 60 FPS graphical rendering, sub-150ms input latency, hardware acceleration.</w:t>
            </w:r>
          </w:p>
        </w:tc>
      </w:tr>
      <w:tr>
        <w:tc>
          <w:tcPr>
            <w:tcW w:type="dxa" w:w="2160"/>
            <w:tcMar>
              <w:top w:w="100" w:type="dxa"/>
              <w:bottom w:w="100" w:type="dxa"/>
              <w:left w:w="140" w:type="dxa"/>
              <w:right w:w="140" w:type="dxa"/>
            </w:tcMar>
          </w:tcPr>
          <w:p>
            <w:pPr>
              <w:spacing w:before="0" w:after="0" w:line="276" w:lineRule="auto"/>
              <w:jc w:val="left"/>
            </w:pPr>
            <w:r>
              <w:rPr>
                <w:rFonts w:ascii="Arial" w:hAnsi="Arial"/>
                <w:color w:val="1E293B"/>
                <w:sz w:val="18"/>
              </w:rPr>
              <w:t>Backend Microservices</w:t>
            </w:r>
          </w:p>
        </w:tc>
        <w:tc>
          <w:tcPr>
            <w:tcW w:type="dxa" w:w="2736"/>
            <w:tcMar>
              <w:top w:w="100" w:type="dxa"/>
              <w:bottom w:w="100" w:type="dxa"/>
              <w:left w:w="140" w:type="dxa"/>
              <w:right w:w="140" w:type="dxa"/>
            </w:tcMar>
          </w:tcPr>
          <w:p>
            <w:pPr>
              <w:spacing w:before="0" w:after="0" w:line="276" w:lineRule="auto"/>
              <w:jc w:val="left"/>
            </w:pPr>
            <w:r>
              <w:rPr>
                <w:rFonts w:ascii="Arial" w:hAnsi="Arial"/>
                <w:color w:val="1E293B"/>
                <w:sz w:val="18"/>
              </w:rPr>
              <w:t>Fastify (Node.js LTS), TypeScript</w:t>
            </w:r>
          </w:p>
        </w:tc>
        <w:tc>
          <w:tcPr>
            <w:tcW w:type="dxa" w:w="4896"/>
            <w:tcMar>
              <w:top w:w="100" w:type="dxa"/>
              <w:bottom w:w="100" w:type="dxa"/>
              <w:left w:w="140" w:type="dxa"/>
              <w:right w:w="140" w:type="dxa"/>
            </w:tcMar>
          </w:tcPr>
          <w:p>
            <w:pPr>
              <w:spacing w:before="0" w:after="0" w:line="276" w:lineRule="auto"/>
              <w:jc w:val="left"/>
            </w:pPr>
            <w:r>
              <w:rPr>
                <w:rFonts w:ascii="Arial" w:hAnsi="Arial"/>
                <w:color w:val="1E293B"/>
                <w:sz w:val="18"/>
              </w:rPr>
              <w:t>High-throughput asynchronous event loop capable of 50,000+ concurrent requests.</w:t>
            </w:r>
          </w:p>
        </w:tc>
      </w:tr>
      <w:tr>
        <w:tc>
          <w:tcPr>
            <w:tcW w:type="dxa" w:w="2160"/>
            <w:shd w:fill="F8FAFC"/>
            <w:tcMar>
              <w:top w:w="100" w:type="dxa"/>
              <w:bottom w:w="100" w:type="dxa"/>
              <w:left w:w="140" w:type="dxa"/>
              <w:right w:w="140" w:type="dxa"/>
            </w:tcMar>
          </w:tcPr>
          <w:p>
            <w:pPr>
              <w:spacing w:before="0" w:after="0" w:line="276" w:lineRule="auto"/>
              <w:jc w:val="left"/>
            </w:pPr>
            <w:r>
              <w:rPr>
                <w:rFonts w:ascii="Arial" w:hAnsi="Arial"/>
                <w:color w:val="1E293B"/>
                <w:sz w:val="18"/>
              </w:rPr>
              <w:t>Database Layer</w:t>
            </w:r>
          </w:p>
        </w:tc>
        <w:tc>
          <w:tcPr>
            <w:tcW w:type="dxa" w:w="2736"/>
            <w:shd w:fill="F8FAFC"/>
            <w:tcMar>
              <w:top w:w="100" w:type="dxa"/>
              <w:bottom w:w="100" w:type="dxa"/>
              <w:left w:w="140" w:type="dxa"/>
              <w:right w:w="140" w:type="dxa"/>
            </w:tcMar>
          </w:tcPr>
          <w:p>
            <w:pPr>
              <w:spacing w:before="0" w:after="0" w:line="276" w:lineRule="auto"/>
              <w:jc w:val="left"/>
            </w:pPr>
            <w:r>
              <w:rPr>
                <w:rFonts w:ascii="Arial" w:hAnsi="Arial"/>
                <w:color w:val="1E293B"/>
                <w:sz w:val="18"/>
              </w:rPr>
              <w:t>PostgreSQL 16 &amp; Redis 7 Enterprise</w:t>
            </w:r>
          </w:p>
        </w:tc>
        <w:tc>
          <w:tcPr>
            <w:tcW w:type="dxa" w:w="4896"/>
            <w:shd w:fill="F8FAFC"/>
            <w:tcMar>
              <w:top w:w="100" w:type="dxa"/>
              <w:bottom w:w="100" w:type="dxa"/>
              <w:left w:w="140" w:type="dxa"/>
              <w:right w:w="140" w:type="dxa"/>
            </w:tcMar>
          </w:tcPr>
          <w:p>
            <w:pPr>
              <w:spacing w:before="0" w:after="0" w:line="276" w:lineRule="auto"/>
              <w:jc w:val="left"/>
            </w:pPr>
            <w:r>
              <w:rPr>
                <w:rFonts w:ascii="Arial" w:hAnsi="Arial"/>
                <w:color w:val="1E293B"/>
                <w:sz w:val="18"/>
              </w:rPr>
              <w:t>PostgreSQL for ACID-compliant wallet and billing ledgers; Redis for sub-millisecond caching.</w:t>
            </w:r>
          </w:p>
        </w:tc>
      </w:tr>
      <w:tr>
        <w:tc>
          <w:tcPr>
            <w:tcW w:type="dxa" w:w="2160"/>
            <w:tcMar>
              <w:top w:w="100" w:type="dxa"/>
              <w:bottom w:w="100" w:type="dxa"/>
              <w:left w:w="140" w:type="dxa"/>
              <w:right w:w="140" w:type="dxa"/>
            </w:tcMar>
          </w:tcPr>
          <w:p>
            <w:pPr>
              <w:spacing w:before="0" w:after="0" w:line="276" w:lineRule="auto"/>
              <w:jc w:val="left"/>
            </w:pPr>
            <w:r>
              <w:rPr>
                <w:rFonts w:ascii="Arial" w:hAnsi="Arial"/>
                <w:color w:val="1E293B"/>
                <w:sz w:val="18"/>
              </w:rPr>
              <w:t>telebirr Integration Bridge</w:t>
            </w:r>
          </w:p>
        </w:tc>
        <w:tc>
          <w:tcPr>
            <w:tcW w:type="dxa" w:w="2736"/>
            <w:tcMar>
              <w:top w:w="100" w:type="dxa"/>
              <w:bottom w:w="100" w:type="dxa"/>
              <w:left w:w="140" w:type="dxa"/>
              <w:right w:w="140" w:type="dxa"/>
            </w:tcMar>
          </w:tcPr>
          <w:p>
            <w:pPr>
              <w:spacing w:before="0" w:after="0" w:line="276" w:lineRule="auto"/>
              <w:jc w:val="left"/>
            </w:pPr>
            <w:r>
              <w:rPr>
                <w:rFonts w:ascii="Arial" w:hAnsi="Arial"/>
                <w:color w:val="1E293B"/>
                <w:sz w:val="18"/>
              </w:rPr>
              <w:t>gameBridge.ts &amp; RESTful Webhook Listeners</w:t>
            </w:r>
          </w:p>
        </w:tc>
        <w:tc>
          <w:tcPr>
            <w:tcW w:type="dxa" w:w="4896"/>
            <w:tcMar>
              <w:top w:w="100" w:type="dxa"/>
              <w:bottom w:w="100" w:type="dxa"/>
              <w:left w:w="140" w:type="dxa"/>
              <w:right w:w="140" w:type="dxa"/>
            </w:tcMar>
          </w:tcPr>
          <w:p>
            <w:pPr>
              <w:spacing w:before="0" w:after="0" w:line="276" w:lineRule="auto"/>
              <w:jc w:val="left"/>
            </w:pPr>
            <w:r>
              <w:rPr>
                <w:rFonts w:ascii="Arial" w:hAnsi="Arial"/>
                <w:color w:val="1E293B"/>
                <w:sz w:val="18"/>
              </w:rPr>
              <w:t>Bidirectional JavaScript communication bridge handling SSO, payments, and navigation.</w:t>
            </w:r>
          </w:p>
        </w:tc>
      </w:tr>
      <w:tr>
        <w:tc>
          <w:tcPr>
            <w:tcW w:type="dxa" w:w="2160"/>
            <w:shd w:fill="F8FAFC"/>
            <w:tcMar>
              <w:top w:w="100" w:type="dxa"/>
              <w:bottom w:w="100" w:type="dxa"/>
              <w:left w:w="140" w:type="dxa"/>
              <w:right w:w="140" w:type="dxa"/>
            </w:tcMar>
          </w:tcPr>
          <w:p>
            <w:pPr>
              <w:spacing w:before="0" w:after="0" w:line="276" w:lineRule="auto"/>
              <w:jc w:val="left"/>
            </w:pPr>
            <w:r>
              <w:rPr>
                <w:rFonts w:ascii="Arial" w:hAnsi="Arial"/>
                <w:color w:val="1E293B"/>
                <w:sz w:val="18"/>
              </w:rPr>
              <w:t>Security &amp; Transport</w:t>
            </w:r>
          </w:p>
        </w:tc>
        <w:tc>
          <w:tcPr>
            <w:tcW w:type="dxa" w:w="2736"/>
            <w:shd w:fill="F8FAFC"/>
            <w:tcMar>
              <w:top w:w="100" w:type="dxa"/>
              <w:bottom w:w="100" w:type="dxa"/>
              <w:left w:w="140" w:type="dxa"/>
              <w:right w:w="140" w:type="dxa"/>
            </w:tcMar>
          </w:tcPr>
          <w:p>
            <w:pPr>
              <w:spacing w:before="0" w:after="0" w:line="276" w:lineRule="auto"/>
              <w:jc w:val="left"/>
            </w:pPr>
            <w:r>
              <w:rPr>
                <w:rFonts w:ascii="Arial" w:hAnsi="Arial"/>
                <w:color w:val="1E293B"/>
                <w:sz w:val="18"/>
              </w:rPr>
              <w:t>TLS 1.3, Strict CORS, Helmet, Rate Limiter</w:t>
            </w:r>
          </w:p>
        </w:tc>
        <w:tc>
          <w:tcPr>
            <w:tcW w:type="dxa" w:w="4896"/>
            <w:shd w:fill="F8FAFC"/>
            <w:tcMar>
              <w:top w:w="100" w:type="dxa"/>
              <w:bottom w:w="100" w:type="dxa"/>
              <w:left w:w="140" w:type="dxa"/>
              <w:right w:w="140" w:type="dxa"/>
            </w:tcMar>
          </w:tcPr>
          <w:p>
            <w:pPr>
              <w:spacing w:before="0" w:after="0" w:line="276" w:lineRule="auto"/>
              <w:jc w:val="left"/>
            </w:pPr>
            <w:r>
              <w:rPr>
                <w:rFonts w:ascii="Arial" w:hAnsi="Arial"/>
                <w:color w:val="1E293B"/>
                <w:sz w:val="18"/>
              </w:rPr>
              <w:t>Bank-grade cryptographic encryption, DDoS mitigation, and MSISDN privacy protection.</w:t>
            </w:r>
          </w:p>
        </w:tc>
      </w:tr>
      <w:tr>
        <w:tc>
          <w:tcPr>
            <w:tcW w:type="dxa" w:w="2160"/>
            <w:tcMar>
              <w:top w:w="100" w:type="dxa"/>
              <w:bottom w:w="100" w:type="dxa"/>
              <w:left w:w="140" w:type="dxa"/>
              <w:right w:w="140" w:type="dxa"/>
            </w:tcMar>
          </w:tcPr>
          <w:p>
            <w:pPr>
              <w:spacing w:before="0" w:after="0" w:line="276" w:lineRule="auto"/>
              <w:jc w:val="left"/>
            </w:pPr>
            <w:r>
              <w:rPr>
                <w:rFonts w:ascii="Arial" w:hAnsi="Arial"/>
                <w:color w:val="1E293B"/>
                <w:sz w:val="18"/>
              </w:rPr>
              <w:t>Hosting &amp; Infrastructure</w:t>
            </w:r>
          </w:p>
        </w:tc>
        <w:tc>
          <w:tcPr>
            <w:tcW w:type="dxa" w:w="2736"/>
            <w:tcMar>
              <w:top w:w="100" w:type="dxa"/>
              <w:bottom w:w="100" w:type="dxa"/>
              <w:left w:w="140" w:type="dxa"/>
              <w:right w:w="140" w:type="dxa"/>
            </w:tcMar>
          </w:tcPr>
          <w:p>
            <w:pPr>
              <w:spacing w:before="0" w:after="0" w:line="276" w:lineRule="auto"/>
              <w:jc w:val="left"/>
            </w:pPr>
            <w:r>
              <w:rPr>
                <w:rFonts w:ascii="Arial" w:hAnsi="Arial"/>
                <w:color w:val="1E293B"/>
                <w:sz w:val="18"/>
              </w:rPr>
              <w:t>Tier-3 Certified Cloud (AWS / Local Cloud)</w:t>
            </w:r>
          </w:p>
        </w:tc>
        <w:tc>
          <w:tcPr>
            <w:tcW w:type="dxa" w:w="4896"/>
            <w:tcMar>
              <w:top w:w="100" w:type="dxa"/>
              <w:bottom w:w="100" w:type="dxa"/>
              <w:left w:w="140" w:type="dxa"/>
              <w:right w:w="140" w:type="dxa"/>
            </w:tcMar>
          </w:tcPr>
          <w:p>
            <w:pPr>
              <w:spacing w:before="0" w:after="0" w:line="276" w:lineRule="auto"/>
              <w:jc w:val="left"/>
            </w:pPr>
            <w:r>
              <w:rPr>
                <w:rFonts w:ascii="Arial" w:hAnsi="Arial"/>
                <w:color w:val="1E293B"/>
                <w:sz w:val="18"/>
              </w:rPr>
              <w:t>Multi-zone redundant infrastructure with auto-scaling container clusters.</w:t>
            </w:r>
          </w:p>
        </w:tc>
      </w:tr>
    </w:tbl>
    <w:p>
      <w:pPr>
        <w:spacing w:after="120"/>
      </w:pPr>
    </w:p>
    <w:p>
      <w:pPr>
        <w:keepNext/>
        <w:spacing w:before="280" w:after="80"/>
      </w:pPr>
      <w:r>
        <w:rPr>
          <w:rFonts w:ascii="Arial" w:hAnsi="Arial"/>
          <w:b/>
          <w:color w:val="0F172A"/>
          <w:sz w:val="24"/>
        </w:rPr>
        <w:t>6.2 User Access Flow Inside telebirr SuperApp</w:t>
      </w:r>
    </w:p>
    <w:p>
      <w:pPr>
        <w:spacing w:before="40" w:after="80" w:line="276" w:lineRule="auto"/>
      </w:pPr>
      <w:r>
        <w:rPr>
          <w:rFonts w:ascii="Arial" w:hAnsi="Arial"/>
          <w:color w:val="334155"/>
          <w:sz w:val="19"/>
        </w:rPr>
        <w:t>The onboarding and transaction journey is engineered for maximum discoverability and zero friction. Below are the verified operational stages executed inside the telebirr SuperApp:</w:t>
      </w:r>
    </w:p>
    <w:p>
      <w:pPr>
        <w:spacing w:before="80" w:after="40"/>
        <w:jc w:val="center"/>
      </w:pPr>
    </w:p>
    <w:tbl>
      <w:tblPr>
        <w:tblW w:type="auto" w:w="0"/>
        <w:jc w:val="center"/>
        <w:tblLook w:firstColumn="1" w:firstRow="1" w:lastColumn="0" w:lastRow="0" w:noHBand="0" w:noVBand="1" w:val="04A0"/>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4896"/>
        <w:gridCol w:w="4896"/>
      </w:tblGrid>
      <w:tr>
        <w:tc>
          <w:tcPr>
            <w:tcW w:type="dxa" w:w="4896"/>
          </w:tcPr>
          <w:p>
            <w:pPr>
              <w:jc w:val="center"/>
            </w:pPr>
            <w:r>
              <w:drawing>
                <wp:inline xmlns:a="http://schemas.openxmlformats.org/drawingml/2006/main" xmlns:pic="http://schemas.openxmlformats.org/drawingml/2006/picture">
                  <wp:extent cx="2194560" cy="4118822"/>
                  <wp:docPr id="7" name="Picture 7"/>
                  <wp:cNvGraphicFramePr>
                    <a:graphicFrameLocks noChangeAspect="1"/>
                  </wp:cNvGraphicFramePr>
                  <a:graphic>
                    <a:graphicData uri="http://schemas.openxmlformats.org/drawingml/2006/picture">
                      <pic:pic>
                        <pic:nvPicPr>
                          <pic:cNvPr id="0" name="1. Telebirr game center.jpg"/>
                          <pic:cNvPicPr/>
                        </pic:nvPicPr>
                        <pic:blipFill>
                          <a:blip r:embed="rId17"/>
                          <a:stretch>
                            <a:fillRect/>
                          </a:stretch>
                        </pic:blipFill>
                        <pic:spPr>
                          <a:xfrm>
                            <a:off x="0" y="0"/>
                            <a:ext cx="2194560" cy="4118822"/>
                          </a:xfrm>
                          <a:prstGeom prst="rect"/>
                        </pic:spPr>
                      </pic:pic>
                    </a:graphicData>
                  </a:graphic>
                </wp:inline>
              </w:drawing>
            </w:r>
          </w:p>
        </w:tc>
        <w:tc>
          <w:tcPr>
            <w:tcW w:type="dxa" w:w="4896"/>
          </w:tcPr>
          <w:p>
            <w:pPr>
              <w:jc w:val="center"/>
            </w:pPr>
            <w:r>
              <w:drawing>
                <wp:inline xmlns:a="http://schemas.openxmlformats.org/drawingml/2006/main" xmlns:pic="http://schemas.openxmlformats.org/drawingml/2006/picture">
                  <wp:extent cx="2194560" cy="3698311"/>
                  <wp:docPr id="8" name="Picture 8"/>
                  <wp:cNvGraphicFramePr>
                    <a:graphicFrameLocks noChangeAspect="1"/>
                  </wp:cNvGraphicFramePr>
                  <a:graphic>
                    <a:graphicData uri="http://schemas.openxmlformats.org/drawingml/2006/picture">
                      <pic:pic>
                        <pic:nvPicPr>
                          <pic:cNvPr id="0" name="4. Game is in Telebirr App.jpg"/>
                          <pic:cNvPicPr/>
                        </pic:nvPicPr>
                        <pic:blipFill>
                          <a:blip r:embed="rId18"/>
                          <a:stretch>
                            <a:fillRect/>
                          </a:stretch>
                        </pic:blipFill>
                        <pic:spPr>
                          <a:xfrm>
                            <a:off x="0" y="0"/>
                            <a:ext cx="2194560" cy="3698311"/>
                          </a:xfrm>
                          <a:prstGeom prst="rect"/>
                        </pic:spPr>
                      </pic:pic>
                    </a:graphicData>
                  </a:graphic>
                </wp:inline>
              </w:drawing>
            </w:r>
          </w:p>
        </w:tc>
      </w:tr>
    </w:tbl>
    <w:p>
      <w:pPr>
        <w:spacing w:after="120"/>
        <w:jc w:val="center"/>
      </w:pPr>
      <w:r>
        <w:rPr>
          <w:rFonts w:ascii="Arial" w:hAnsi="Arial"/>
          <w:i/>
          <w:color w:val="64748B"/>
          <w:sz w:val="17"/>
        </w:rPr>
        <w:t>Figure 1: GoPlay embedded entry within telebirr SuperApp Game Center.</w:t>
      </w:r>
    </w:p>
    <w:p>
      <w:pPr>
        <w:pStyle w:val="ListBullet"/>
        <w:spacing w:before="20" w:after="60" w:line="276" w:lineRule="auto"/>
      </w:pPr>
      <w:r>
        <w:rPr>
          <w:rFonts w:ascii="Arial" w:hAnsi="Arial"/>
          <w:b/>
          <w:color w:val="0F172A"/>
          <w:sz w:val="19"/>
        </w:rPr>
        <w:t>Step 1 — Discovery:</w:t>
      </w:r>
      <w:r>
        <w:rPr>
          <w:rFonts w:ascii="Arial" w:hAnsi="Arial"/>
          <w:color w:val="334155"/>
          <w:sz w:val="19"/>
        </w:rPr>
        <w:t xml:space="preserve"> Customer opens telebirr SuperApp and taps the 'Game Center' icon on the bottom navigation bar.</w:t>
      </w:r>
    </w:p>
    <w:p>
      <w:pPr>
        <w:pStyle w:val="ListBullet"/>
        <w:spacing w:before="20" w:after="60" w:line="276" w:lineRule="auto"/>
      </w:pPr>
      <w:r>
        <w:rPr>
          <w:rFonts w:ascii="Arial" w:hAnsi="Arial"/>
          <w:b/>
          <w:color w:val="0F172A"/>
          <w:sz w:val="19"/>
        </w:rPr>
        <w:t>Step 2 — Seamless SSO:</w:t>
      </w:r>
      <w:r>
        <w:rPr>
          <w:rFonts w:ascii="Arial" w:hAnsi="Arial"/>
          <w:color w:val="334155"/>
          <w:sz w:val="19"/>
        </w:rPr>
        <w:t xml:space="preserve"> telebirr executes an automatic OAuth 2.0 token handshake; user MSISDN is securely masked (e.g. 091*****456).</w:t>
      </w:r>
    </w:p>
    <w:p>
      <w:pPr>
        <w:pStyle w:val="ListBullet"/>
        <w:spacing w:before="20" w:after="60" w:line="276" w:lineRule="auto"/>
      </w:pPr>
      <w:r>
        <w:rPr>
          <w:rFonts w:ascii="Arial" w:hAnsi="Arial"/>
          <w:b/>
          <w:color w:val="0F172A"/>
          <w:sz w:val="19"/>
        </w:rPr>
        <w:t>Step 3 — Catalog Browse:</w:t>
      </w:r>
      <w:r>
        <w:rPr>
          <w:rFonts w:ascii="Arial" w:hAnsi="Arial"/>
          <w:color w:val="334155"/>
          <w:sz w:val="19"/>
        </w:rPr>
        <w:t xml:space="preserve"> User browses curated categories (Casual, Edutainment, Board Games, Logic) with live video-like animated previews.</w:t>
      </w:r>
    </w:p>
    <w:p>
      <w:pPr>
        <w:pStyle w:val="ListBullet"/>
        <w:spacing w:before="20" w:after="60" w:line="276" w:lineRule="auto"/>
      </w:pPr>
      <w:r>
        <w:rPr>
          <w:rFonts w:ascii="Arial" w:hAnsi="Arial"/>
          <w:b/>
          <w:color w:val="0F172A"/>
          <w:sz w:val="19"/>
        </w:rPr>
        <w:t>Step 4 — Entitlement &amp; Billing:</w:t>
      </w:r>
      <w:r>
        <w:rPr>
          <w:rFonts w:ascii="Arial" w:hAnsi="Arial"/>
          <w:color w:val="334155"/>
          <w:sz w:val="19"/>
        </w:rPr>
        <w:t xml:space="preserve"> User selects a game; entitlement engine checks for active VIP Pass or 1-click 3 ETB Daily / 10 ETB Weekly pass.</w:t>
      </w:r>
    </w:p>
    <w:p>
      <w:pPr>
        <w:pStyle w:val="ListBullet"/>
        <w:spacing w:before="20" w:after="60" w:line="276" w:lineRule="auto"/>
      </w:pPr>
      <w:r>
        <w:rPr>
          <w:rFonts w:ascii="Arial" w:hAnsi="Arial"/>
          <w:b/>
          <w:color w:val="0F172A"/>
          <w:sz w:val="19"/>
        </w:rPr>
        <w:t>Step 5 — 1-Click Payment:</w:t>
      </w:r>
      <w:r>
        <w:rPr>
          <w:rFonts w:ascii="Arial" w:hAnsi="Arial"/>
          <w:color w:val="334155"/>
          <w:sz w:val="19"/>
        </w:rPr>
        <w:t xml:space="preserve"> telebirr native bottom-sheet opens; user confirms payment via PIN or Biometrics; sub-second ledger confirmation.</w:t>
      </w:r>
    </w:p>
    <w:p>
      <w:pPr>
        <w:pStyle w:val="ListBullet"/>
        <w:spacing w:before="20" w:after="60" w:line="276" w:lineRule="auto"/>
      </w:pPr>
      <w:r>
        <w:rPr>
          <w:rFonts w:ascii="Arial" w:hAnsi="Arial"/>
          <w:b/>
          <w:color w:val="0F172A"/>
          <w:sz w:val="19"/>
        </w:rPr>
        <w:t>Step 6 — Instant Gameplay:</w:t>
      </w:r>
      <w:r>
        <w:rPr>
          <w:rFonts w:ascii="Arial" w:hAnsi="Arial"/>
          <w:color w:val="334155"/>
          <w:sz w:val="19"/>
        </w:rPr>
        <w:t xml:space="preserve"> Sub-5MB game package loads in under 2 seconds; gameplay commences immediately with 60 FPS graphics.</w:t>
      </w:r>
    </w:p>
    <w:p>
      <w:r>
        <w:br w:type="page"/>
      </w:r>
    </w:p>
    <w:p>
      <w:pPr>
        <w:keepNext/>
        <w:spacing w:before="360" w:after="120"/>
      </w:pPr>
      <w:r>
        <w:rPr>
          <w:rFonts w:ascii="Arial" w:hAnsi="Arial"/>
          <w:b/>
          <w:color w:val="0A78BE"/>
          <w:sz w:val="30"/>
        </w:rPr>
        <w:t>7. Testing &amp; Quality Assurance</w:t>
      </w:r>
    </w:p>
    <w:p>
      <w:pPr>
        <w:spacing w:before="40" w:after="80" w:line="276" w:lineRule="auto"/>
      </w:pPr>
      <w:r>
        <w:rPr>
          <w:rFonts w:ascii="Arial" w:hAnsi="Arial"/>
          <w:color w:val="334155"/>
          <w:sz w:val="19"/>
        </w:rPr>
        <w:t>Quality assurance is critical to safeguarding telebirr's brand reputation and ensuring an uncompromising user experience. Go Digital Service PLC implements a multi-layered, five-stage testing framework covering both technical resilience and functional integrity.</w:t>
      </w:r>
    </w:p>
    <w:p>
      <w:pPr>
        <w:keepNext/>
        <w:spacing w:before="280" w:after="80"/>
      </w:pPr>
      <w:r>
        <w:rPr>
          <w:rFonts w:ascii="Arial" w:hAnsi="Arial"/>
          <w:b/>
          <w:color w:val="0F172A"/>
          <w:sz w:val="24"/>
        </w:rPr>
        <w:t>7.1 The Five-Stage Testing Framework</w:t>
      </w:r>
    </w:p>
    <w:p>
      <w:pPr>
        <w:pStyle w:val="ListBullet"/>
        <w:spacing w:before="20" w:after="60" w:line="276" w:lineRule="auto"/>
      </w:pPr>
      <w:r>
        <w:rPr>
          <w:rFonts w:ascii="Arial" w:hAnsi="Arial"/>
          <w:b/>
          <w:color w:val="0F172A"/>
          <w:sz w:val="19"/>
        </w:rPr>
        <w:t>Stage 1 — Unit &amp; Module Testing:</w:t>
      </w:r>
      <w:r>
        <w:rPr>
          <w:rFonts w:ascii="Arial" w:hAnsi="Arial"/>
          <w:color w:val="334155"/>
          <w:sz w:val="19"/>
        </w:rPr>
        <w:t xml:space="preserve"> Comprehensive automated test suites verifying every microservice endpoint, payment webhook validator, HMAC-SHA256 signature calculator, and session state manager with over 90% code coverage.</w:t>
      </w:r>
    </w:p>
    <w:p>
      <w:pPr>
        <w:pStyle w:val="ListBullet"/>
        <w:spacing w:before="20" w:after="60" w:line="276" w:lineRule="auto"/>
      </w:pPr>
      <w:r>
        <w:rPr>
          <w:rFonts w:ascii="Arial" w:hAnsi="Arial"/>
          <w:b/>
          <w:color w:val="0F172A"/>
          <w:sz w:val="19"/>
        </w:rPr>
        <w:t>Stage 2 — telebirr Integration Testing:</w:t>
      </w:r>
      <w:r>
        <w:rPr>
          <w:rFonts w:ascii="Arial" w:hAnsi="Arial"/>
          <w:color w:val="334155"/>
          <w:sz w:val="19"/>
        </w:rPr>
        <w:t xml:space="preserve"> Rigorous API interoperability testing within the isolated telebirr sandbox environment, validating C2B checkout initiation, subscription recurring auto-debit, transaction inquiry, and reversal callbacks under variable network conditions.</w:t>
      </w:r>
    </w:p>
    <w:p>
      <w:pPr>
        <w:pStyle w:val="ListBullet"/>
        <w:spacing w:before="20" w:after="60" w:line="276" w:lineRule="auto"/>
      </w:pPr>
      <w:r>
        <w:rPr>
          <w:rFonts w:ascii="Arial" w:hAnsi="Arial"/>
          <w:b/>
          <w:color w:val="0F172A"/>
          <w:sz w:val="19"/>
        </w:rPr>
        <w:t>Stage 3 — Concurrency &amp; Performance Load Testing:</w:t>
      </w:r>
      <w:r>
        <w:rPr>
          <w:rFonts w:ascii="Arial" w:hAnsi="Arial"/>
          <w:color w:val="334155"/>
          <w:sz w:val="19"/>
        </w:rPr>
        <w:t xml:space="preserve"> Automated JMeter and Artillery stress tests simulating 50,000+ concurrent active sessions (CCU) and 2,000 payment requests per second. Ensures system stability with 95th percentile latency below 150ms.</w:t>
      </w:r>
    </w:p>
    <w:p>
      <w:pPr>
        <w:pStyle w:val="ListBullet"/>
        <w:spacing w:before="20" w:after="60" w:line="276" w:lineRule="auto"/>
      </w:pPr>
      <w:r>
        <w:rPr>
          <w:rFonts w:ascii="Arial" w:hAnsi="Arial"/>
          <w:b/>
          <w:color w:val="0F172A"/>
          <w:sz w:val="19"/>
        </w:rPr>
        <w:t>Stage 4 — Security &amp; Vulnerability Auditing:</w:t>
      </w:r>
      <w:r>
        <w:rPr>
          <w:rFonts w:ascii="Arial" w:hAnsi="Arial"/>
          <w:color w:val="334155"/>
          <w:sz w:val="19"/>
        </w:rPr>
        <w:t xml:space="preserve"> Dynamic application security testing (DAST), static code analysis (SonarQube), dependency vulnerability scans, and penetration tests verifying strict compliance with OWASP Top 10 standards.</w:t>
      </w:r>
    </w:p>
    <w:p>
      <w:pPr>
        <w:pStyle w:val="ListBullet"/>
        <w:spacing w:before="20" w:after="60" w:line="276" w:lineRule="auto"/>
      </w:pPr>
      <w:r>
        <w:rPr>
          <w:rFonts w:ascii="Arial" w:hAnsi="Arial"/>
          <w:b/>
          <w:color w:val="0F172A"/>
          <w:sz w:val="19"/>
        </w:rPr>
        <w:t>Stage 5 — Joint User Acceptance Testing (UAT):</w:t>
      </w:r>
      <w:r>
        <w:rPr>
          <w:rFonts w:ascii="Arial" w:hAnsi="Arial"/>
          <w:color w:val="334155"/>
          <w:sz w:val="19"/>
        </w:rPr>
        <w:t xml:space="preserve"> Collaborative testing conducted jointly with Ethio Telecom QA and VAS engineers on real mobile devices (Android 9 through Android 15), validating the complete end-to-end user journey prior to production commercial release.</w:t>
      </w:r>
    </w:p>
    <w:p>
      <w:pPr>
        <w:keepNext/>
        <w:spacing w:before="280" w:after="80"/>
      </w:pPr>
      <w:r>
        <w:rPr>
          <w:rFonts w:ascii="Arial" w:hAnsi="Arial"/>
          <w:b/>
          <w:color w:val="0F172A"/>
          <w:sz w:val="24"/>
        </w:rPr>
        <w:t>7.2 Testing Tools &amp; Service Level Metrics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64"/>
        <w:gridCol w:w="3264"/>
        <w:gridCol w:w="3264"/>
      </w:tblGrid>
      <w:tr>
        <w:trPr>
          <w:tblHeader/>
        </w:trPr>
        <w:tc>
          <w:tcPr>
            <w:tcW w:type="dxa" w:w="2880"/>
            <w:shd w:fill="0A78BE"/>
            <w:tcMar>
              <w:top w:w="140" w:type="dxa"/>
              <w:bottom w:w="140" w:type="dxa"/>
              <w:left w:w="150" w:type="dxa"/>
              <w:right w:w="150" w:type="dxa"/>
            </w:tcMar>
          </w:tcPr>
          <w:p>
            <w:pPr>
              <w:spacing w:before="0" w:after="0"/>
              <w:jc w:val="left"/>
            </w:pPr>
            <w:r>
              <w:rPr>
                <w:rFonts w:ascii="Arial" w:hAnsi="Arial"/>
                <w:b/>
                <w:color w:val="FFFFFF"/>
                <w:sz w:val="19"/>
              </w:rPr>
              <w:t>Quality Assurance Parameter</w:t>
            </w:r>
          </w:p>
        </w:tc>
        <w:tc>
          <w:tcPr>
            <w:tcW w:type="dxa" w:w="3168"/>
            <w:shd w:fill="0A78BE"/>
            <w:tcMar>
              <w:top w:w="140" w:type="dxa"/>
              <w:bottom w:w="140" w:type="dxa"/>
              <w:left w:w="150" w:type="dxa"/>
              <w:right w:w="150" w:type="dxa"/>
            </w:tcMar>
          </w:tcPr>
          <w:p>
            <w:pPr>
              <w:spacing w:before="0" w:after="0"/>
              <w:jc w:val="left"/>
            </w:pPr>
            <w:r>
              <w:rPr>
                <w:rFonts w:ascii="Arial" w:hAnsi="Arial"/>
                <w:b/>
                <w:color w:val="FFFFFF"/>
                <w:sz w:val="19"/>
              </w:rPr>
              <w:t>Testing Tool / Methodology</w:t>
            </w:r>
          </w:p>
        </w:tc>
        <w:tc>
          <w:tcPr>
            <w:tcW w:type="dxa" w:w="3744"/>
            <w:shd w:fill="0A78BE"/>
            <w:tcMar>
              <w:top w:w="140" w:type="dxa"/>
              <w:bottom w:w="140" w:type="dxa"/>
              <w:left w:w="150" w:type="dxa"/>
              <w:right w:w="150" w:type="dxa"/>
            </w:tcMar>
          </w:tcPr>
          <w:p>
            <w:pPr>
              <w:spacing w:before="0" w:after="0"/>
              <w:jc w:val="left"/>
            </w:pPr>
            <w:r>
              <w:rPr>
                <w:rFonts w:ascii="Arial" w:hAnsi="Arial"/>
                <w:b/>
                <w:color w:val="FFFFFF"/>
                <w:sz w:val="19"/>
              </w:rPr>
              <w:t>Strict Metric / Pass Standard</w:t>
            </w:r>
          </w:p>
        </w:tc>
      </w:tr>
      <w:tr>
        <w:tc>
          <w:tcPr>
            <w:tcW w:type="dxa" w:w="2880"/>
            <w:tcMar>
              <w:top w:w="100" w:type="dxa"/>
              <w:bottom w:w="100" w:type="dxa"/>
              <w:left w:w="140" w:type="dxa"/>
              <w:right w:w="140" w:type="dxa"/>
            </w:tcMar>
          </w:tcPr>
          <w:p>
            <w:pPr>
              <w:spacing w:before="0" w:after="0" w:line="276" w:lineRule="auto"/>
              <w:jc w:val="left"/>
            </w:pPr>
            <w:r>
              <w:rPr>
                <w:rFonts w:ascii="Arial" w:hAnsi="Arial"/>
                <w:color w:val="1E293B"/>
                <w:sz w:val="18"/>
              </w:rPr>
              <w:t>API Performance &amp; Reliability</w:t>
            </w:r>
          </w:p>
        </w:tc>
        <w:tc>
          <w:tcPr>
            <w:tcW w:type="dxa" w:w="3168"/>
            <w:tcMar>
              <w:top w:w="100" w:type="dxa"/>
              <w:bottom w:w="100" w:type="dxa"/>
              <w:left w:w="140" w:type="dxa"/>
              <w:right w:w="140" w:type="dxa"/>
            </w:tcMar>
          </w:tcPr>
          <w:p>
            <w:pPr>
              <w:spacing w:before="0" w:after="0" w:line="276" w:lineRule="auto"/>
              <w:jc w:val="left"/>
            </w:pPr>
            <w:r>
              <w:rPr>
                <w:rFonts w:ascii="Arial" w:hAnsi="Arial"/>
                <w:color w:val="1E293B"/>
                <w:sz w:val="18"/>
              </w:rPr>
              <w:t>Postman, JMeter, Artillery</w:t>
            </w:r>
          </w:p>
        </w:tc>
        <w:tc>
          <w:tcPr>
            <w:tcW w:type="dxa" w:w="3744"/>
            <w:tcMar>
              <w:top w:w="100" w:type="dxa"/>
              <w:bottom w:w="100" w:type="dxa"/>
              <w:left w:w="140" w:type="dxa"/>
              <w:right w:w="140" w:type="dxa"/>
            </w:tcMar>
          </w:tcPr>
          <w:p>
            <w:pPr>
              <w:spacing w:before="0" w:after="0" w:line="276" w:lineRule="auto"/>
              <w:jc w:val="left"/>
            </w:pPr>
            <w:r>
              <w:rPr>
                <w:rFonts w:ascii="Arial" w:hAnsi="Arial"/>
                <w:color w:val="1E293B"/>
                <w:sz w:val="18"/>
              </w:rPr>
              <w:t>95% of API responses under 150ms; zero drop rate.</w:t>
            </w:r>
          </w:p>
        </w:tc>
      </w:tr>
      <w:tr>
        <w:tc>
          <w:tcPr>
            <w:tcW w:type="dxa" w:w="2880"/>
            <w:shd w:fill="F8FAFC"/>
            <w:tcMar>
              <w:top w:w="100" w:type="dxa"/>
              <w:bottom w:w="100" w:type="dxa"/>
              <w:left w:w="140" w:type="dxa"/>
              <w:right w:w="140" w:type="dxa"/>
            </w:tcMar>
          </w:tcPr>
          <w:p>
            <w:pPr>
              <w:spacing w:before="0" w:after="0" w:line="276" w:lineRule="auto"/>
              <w:jc w:val="left"/>
            </w:pPr>
            <w:r>
              <w:rPr>
                <w:rFonts w:ascii="Arial" w:hAnsi="Arial"/>
                <w:color w:val="1E293B"/>
                <w:sz w:val="18"/>
              </w:rPr>
              <w:t>Platform Availability</w:t>
            </w:r>
          </w:p>
        </w:tc>
        <w:tc>
          <w:tcPr>
            <w:tcW w:type="dxa" w:w="3168"/>
            <w:shd w:fill="F8FAFC"/>
            <w:tcMar>
              <w:top w:w="100" w:type="dxa"/>
              <w:bottom w:w="100" w:type="dxa"/>
              <w:left w:w="140" w:type="dxa"/>
              <w:right w:w="140" w:type="dxa"/>
            </w:tcMar>
          </w:tcPr>
          <w:p>
            <w:pPr>
              <w:spacing w:before="0" w:after="0" w:line="276" w:lineRule="auto"/>
              <w:jc w:val="left"/>
            </w:pPr>
            <w:r>
              <w:rPr>
                <w:rFonts w:ascii="Arial" w:hAnsi="Arial"/>
                <w:color w:val="1E293B"/>
                <w:sz w:val="18"/>
              </w:rPr>
              <w:t>Synthetic Cloud Monitoring, Datadog</w:t>
            </w:r>
          </w:p>
        </w:tc>
        <w:tc>
          <w:tcPr>
            <w:tcW w:type="dxa" w:w="3744"/>
            <w:shd w:fill="F8FAFC"/>
            <w:tcMar>
              <w:top w:w="100" w:type="dxa"/>
              <w:bottom w:w="100" w:type="dxa"/>
              <w:left w:w="140" w:type="dxa"/>
              <w:right w:w="140" w:type="dxa"/>
            </w:tcMar>
          </w:tcPr>
          <w:p>
            <w:pPr>
              <w:spacing w:before="0" w:after="0" w:line="276" w:lineRule="auto"/>
              <w:jc w:val="left"/>
            </w:pPr>
            <w:r>
              <w:rPr>
                <w:rFonts w:ascii="Arial" w:hAnsi="Arial"/>
                <w:color w:val="1E293B"/>
                <w:sz w:val="18"/>
              </w:rPr>
              <w:t>Uptime ≥ 99.9% across all hosting nodes.</w:t>
            </w:r>
          </w:p>
        </w:tc>
      </w:tr>
      <w:tr>
        <w:tc>
          <w:tcPr>
            <w:tcW w:type="dxa" w:w="2880"/>
            <w:tcMar>
              <w:top w:w="100" w:type="dxa"/>
              <w:bottom w:w="100" w:type="dxa"/>
              <w:left w:w="140" w:type="dxa"/>
              <w:right w:w="140" w:type="dxa"/>
            </w:tcMar>
          </w:tcPr>
          <w:p>
            <w:pPr>
              <w:spacing w:before="0" w:after="0" w:line="276" w:lineRule="auto"/>
              <w:jc w:val="left"/>
            </w:pPr>
            <w:r>
              <w:rPr>
                <w:rFonts w:ascii="Arial" w:hAnsi="Arial"/>
                <w:color w:val="1E293B"/>
                <w:sz w:val="18"/>
              </w:rPr>
              <w:t>Payment Gateway Integrity</w:t>
            </w:r>
          </w:p>
        </w:tc>
        <w:tc>
          <w:tcPr>
            <w:tcW w:type="dxa" w:w="3168"/>
            <w:tcMar>
              <w:top w:w="100" w:type="dxa"/>
              <w:bottom w:w="100" w:type="dxa"/>
              <w:left w:w="140" w:type="dxa"/>
              <w:right w:w="140" w:type="dxa"/>
            </w:tcMar>
          </w:tcPr>
          <w:p>
            <w:pPr>
              <w:spacing w:before="0" w:after="0" w:line="276" w:lineRule="auto"/>
              <w:jc w:val="left"/>
            </w:pPr>
            <w:r>
              <w:rPr>
                <w:rFonts w:ascii="Arial" w:hAnsi="Arial"/>
                <w:color w:val="1E293B"/>
                <w:sz w:val="18"/>
              </w:rPr>
              <w:t>Automated Idempotency Test Harness</w:t>
            </w:r>
          </w:p>
        </w:tc>
        <w:tc>
          <w:tcPr>
            <w:tcW w:type="dxa" w:w="3744"/>
            <w:tcMar>
              <w:top w:w="100" w:type="dxa"/>
              <w:bottom w:w="100" w:type="dxa"/>
              <w:left w:w="140" w:type="dxa"/>
              <w:right w:w="140" w:type="dxa"/>
            </w:tcMar>
          </w:tcPr>
          <w:p>
            <w:pPr>
              <w:spacing w:before="0" w:after="0" w:line="276" w:lineRule="auto"/>
              <w:jc w:val="left"/>
            </w:pPr>
            <w:r>
              <w:rPr>
                <w:rFonts w:ascii="Arial" w:hAnsi="Arial"/>
                <w:color w:val="1E293B"/>
                <w:sz w:val="18"/>
              </w:rPr>
              <w:t>100% transaction idempotency; zero double billing.</w:t>
            </w:r>
          </w:p>
        </w:tc>
      </w:tr>
      <w:tr>
        <w:tc>
          <w:tcPr>
            <w:tcW w:type="dxa" w:w="2880"/>
            <w:shd w:fill="F8FAFC"/>
            <w:tcMar>
              <w:top w:w="100" w:type="dxa"/>
              <w:bottom w:w="100" w:type="dxa"/>
              <w:left w:w="140" w:type="dxa"/>
              <w:right w:w="140" w:type="dxa"/>
            </w:tcMar>
          </w:tcPr>
          <w:p>
            <w:pPr>
              <w:spacing w:before="0" w:after="0" w:line="276" w:lineRule="auto"/>
              <w:jc w:val="left"/>
            </w:pPr>
            <w:r>
              <w:rPr>
                <w:rFonts w:ascii="Arial" w:hAnsi="Arial"/>
                <w:color w:val="1E293B"/>
                <w:sz w:val="18"/>
              </w:rPr>
              <w:t>Cross-Device Compatibility</w:t>
            </w:r>
          </w:p>
        </w:tc>
        <w:tc>
          <w:tcPr>
            <w:tcW w:type="dxa" w:w="3168"/>
            <w:shd w:fill="F8FAFC"/>
            <w:tcMar>
              <w:top w:w="100" w:type="dxa"/>
              <w:bottom w:w="100" w:type="dxa"/>
              <w:left w:w="140" w:type="dxa"/>
              <w:right w:w="140" w:type="dxa"/>
            </w:tcMar>
          </w:tcPr>
          <w:p>
            <w:pPr>
              <w:spacing w:before="0" w:after="0" w:line="276" w:lineRule="auto"/>
              <w:jc w:val="left"/>
            </w:pPr>
            <w:r>
              <w:rPr>
                <w:rFonts w:ascii="Arial" w:hAnsi="Arial"/>
                <w:color w:val="1E293B"/>
                <w:sz w:val="18"/>
              </w:rPr>
              <w:t>Physical Android Test Farm (1GB–12GB RAM)</w:t>
            </w:r>
          </w:p>
        </w:tc>
        <w:tc>
          <w:tcPr>
            <w:tcW w:type="dxa" w:w="3744"/>
            <w:shd w:fill="F8FAFC"/>
            <w:tcMar>
              <w:top w:w="100" w:type="dxa"/>
              <w:bottom w:w="100" w:type="dxa"/>
              <w:left w:w="140" w:type="dxa"/>
              <w:right w:w="140" w:type="dxa"/>
            </w:tcMar>
          </w:tcPr>
          <w:p>
            <w:pPr>
              <w:spacing w:before="0" w:after="0" w:line="276" w:lineRule="auto"/>
              <w:jc w:val="left"/>
            </w:pPr>
            <w:r>
              <w:rPr>
                <w:rFonts w:ascii="Arial" w:hAnsi="Arial"/>
                <w:color w:val="1E293B"/>
                <w:sz w:val="18"/>
              </w:rPr>
              <w:t>Stable 60 FPS graphics across entry and flagship devices.</w:t>
            </w:r>
          </w:p>
        </w:tc>
      </w:tr>
      <w:tr>
        <w:tc>
          <w:tcPr>
            <w:tcW w:type="dxa" w:w="2880"/>
            <w:tcMar>
              <w:top w:w="100" w:type="dxa"/>
              <w:bottom w:w="100" w:type="dxa"/>
              <w:left w:w="140" w:type="dxa"/>
              <w:right w:w="140" w:type="dxa"/>
            </w:tcMar>
          </w:tcPr>
          <w:p>
            <w:pPr>
              <w:spacing w:before="0" w:after="0" w:line="276" w:lineRule="auto"/>
              <w:jc w:val="left"/>
            </w:pPr>
            <w:r>
              <w:rPr>
                <w:rFonts w:ascii="Arial" w:hAnsi="Arial"/>
                <w:color w:val="1E293B"/>
                <w:sz w:val="18"/>
              </w:rPr>
              <w:t>Data Payload Efficiency</w:t>
            </w:r>
          </w:p>
        </w:tc>
        <w:tc>
          <w:tcPr>
            <w:tcW w:type="dxa" w:w="3168"/>
            <w:tcMar>
              <w:top w:w="100" w:type="dxa"/>
              <w:bottom w:w="100" w:type="dxa"/>
              <w:left w:w="140" w:type="dxa"/>
              <w:right w:w="140" w:type="dxa"/>
            </w:tcMar>
          </w:tcPr>
          <w:p>
            <w:pPr>
              <w:spacing w:before="0" w:after="0" w:line="276" w:lineRule="auto"/>
              <w:jc w:val="left"/>
            </w:pPr>
            <w:r>
              <w:rPr>
                <w:rFonts w:ascii="Arial" w:hAnsi="Arial"/>
                <w:color w:val="1E293B"/>
                <w:sz w:val="18"/>
              </w:rPr>
              <w:t>Webpack Bundle Analyzer, Brotli</w:t>
            </w:r>
          </w:p>
        </w:tc>
        <w:tc>
          <w:tcPr>
            <w:tcW w:type="dxa" w:w="3744"/>
            <w:tcMar>
              <w:top w:w="100" w:type="dxa"/>
              <w:bottom w:w="100" w:type="dxa"/>
              <w:left w:w="140" w:type="dxa"/>
              <w:right w:w="140" w:type="dxa"/>
            </w:tcMar>
          </w:tcPr>
          <w:p>
            <w:pPr>
              <w:spacing w:before="0" w:after="0" w:line="276" w:lineRule="auto"/>
              <w:jc w:val="left"/>
            </w:pPr>
            <w:r>
              <w:rPr>
                <w:rFonts w:ascii="Arial" w:hAnsi="Arial"/>
                <w:color w:val="1E293B"/>
                <w:sz w:val="18"/>
              </w:rPr>
              <w:t>Game bundles strictly under 5.0MB package size.</w:t>
            </w:r>
          </w:p>
        </w:tc>
      </w:tr>
    </w:tbl>
    <w:p>
      <w:pPr>
        <w:spacing w:after="120"/>
      </w:pPr>
    </w:p>
    <w:p>
      <w:pPr>
        <w:keepNext/>
        <w:spacing w:before="360" w:after="120"/>
      </w:pPr>
      <w:r>
        <w:rPr>
          <w:rFonts w:ascii="Arial" w:hAnsi="Arial"/>
          <w:b/>
          <w:color w:val="0A78BE"/>
          <w:sz w:val="30"/>
        </w:rPr>
        <w:t>8. Service Level Agreement (SLA) &amp; Maintenance</w:t>
      </w:r>
    </w:p>
    <w:p>
      <w:pPr>
        <w:spacing w:before="40" w:after="80" w:line="276" w:lineRule="auto"/>
      </w:pPr>
      <w:r>
        <w:rPr>
          <w:rFonts w:ascii="Arial" w:hAnsi="Arial"/>
          <w:color w:val="334155"/>
          <w:sz w:val="19"/>
        </w:rPr>
        <w:t>Go Digital Service PLC commits to a formal carrier-grade Service Level Agreement (SLA) guaranteeing 99.9% platform availability, round-the-clock technical monitoring, and rapid incident resolution.</w:t>
      </w:r>
    </w:p>
    <w:p>
      <w:pPr>
        <w:keepNext/>
        <w:spacing w:before="280" w:after="80"/>
      </w:pPr>
      <w:r>
        <w:rPr>
          <w:rFonts w:ascii="Arial" w:hAnsi="Arial"/>
          <w:b/>
          <w:color w:val="0F172A"/>
          <w:sz w:val="24"/>
        </w:rPr>
        <w:t>8.1 Three-Tier Incident Escalation Matrix</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rPr>
          <w:tblHeader/>
        </w:trPr>
        <w:tc>
          <w:tcPr>
            <w:tcW w:type="dxa" w:w="1584"/>
            <w:shd w:fill="0A78BE"/>
            <w:tcMar>
              <w:top w:w="140" w:type="dxa"/>
              <w:bottom w:w="140" w:type="dxa"/>
              <w:left w:w="150" w:type="dxa"/>
              <w:right w:w="150" w:type="dxa"/>
            </w:tcMar>
          </w:tcPr>
          <w:p>
            <w:pPr>
              <w:spacing w:before="0" w:after="0"/>
              <w:jc w:val="left"/>
            </w:pPr>
            <w:r>
              <w:rPr>
                <w:rFonts w:ascii="Arial" w:hAnsi="Arial"/>
                <w:b/>
                <w:color w:val="FFFFFF"/>
                <w:sz w:val="19"/>
              </w:rPr>
              <w:t>Severity Level</w:t>
            </w:r>
          </w:p>
        </w:tc>
        <w:tc>
          <w:tcPr>
            <w:tcW w:type="dxa" w:w="3312"/>
            <w:shd w:fill="0A78BE"/>
            <w:tcMar>
              <w:top w:w="140" w:type="dxa"/>
              <w:bottom w:w="140" w:type="dxa"/>
              <w:left w:w="150" w:type="dxa"/>
              <w:right w:w="150" w:type="dxa"/>
            </w:tcMar>
          </w:tcPr>
          <w:p>
            <w:pPr>
              <w:spacing w:before="0" w:after="0"/>
              <w:jc w:val="left"/>
            </w:pPr>
            <w:r>
              <w:rPr>
                <w:rFonts w:ascii="Arial" w:hAnsi="Arial"/>
                <w:b/>
                <w:color w:val="FFFFFF"/>
                <w:sz w:val="19"/>
              </w:rPr>
              <w:t>Incident Classification</w:t>
            </w:r>
          </w:p>
        </w:tc>
        <w:tc>
          <w:tcPr>
            <w:tcW w:type="dxa" w:w="1584"/>
            <w:shd w:fill="0A78BE"/>
            <w:tcMar>
              <w:top w:w="140" w:type="dxa"/>
              <w:bottom w:w="140" w:type="dxa"/>
              <w:left w:w="150" w:type="dxa"/>
              <w:right w:w="150" w:type="dxa"/>
            </w:tcMar>
          </w:tcPr>
          <w:p>
            <w:pPr>
              <w:spacing w:before="0" w:after="0"/>
              <w:jc w:val="left"/>
            </w:pPr>
            <w:r>
              <w:rPr>
                <w:rFonts w:ascii="Arial" w:hAnsi="Arial"/>
                <w:b/>
                <w:color w:val="FFFFFF"/>
                <w:sz w:val="19"/>
              </w:rPr>
              <w:t>Initial Response SLA</w:t>
            </w:r>
          </w:p>
        </w:tc>
        <w:tc>
          <w:tcPr>
            <w:tcW w:type="dxa" w:w="1584"/>
            <w:shd w:fill="0A78BE"/>
            <w:tcMar>
              <w:top w:w="140" w:type="dxa"/>
              <w:bottom w:w="140" w:type="dxa"/>
              <w:left w:w="150" w:type="dxa"/>
              <w:right w:w="150" w:type="dxa"/>
            </w:tcMar>
          </w:tcPr>
          <w:p>
            <w:pPr>
              <w:spacing w:before="0" w:after="0"/>
              <w:jc w:val="left"/>
            </w:pPr>
            <w:r>
              <w:rPr>
                <w:rFonts w:ascii="Arial" w:hAnsi="Arial"/>
                <w:b/>
                <w:color w:val="FFFFFF"/>
                <w:sz w:val="19"/>
              </w:rPr>
              <w:t>Target Resolution SLA</w:t>
            </w:r>
          </w:p>
        </w:tc>
        <w:tc>
          <w:tcPr>
            <w:tcW w:type="dxa" w:w="1728"/>
            <w:shd w:fill="0A78BE"/>
            <w:tcMar>
              <w:top w:w="140" w:type="dxa"/>
              <w:bottom w:w="140" w:type="dxa"/>
              <w:left w:w="150" w:type="dxa"/>
              <w:right w:w="150" w:type="dxa"/>
            </w:tcMar>
          </w:tcPr>
          <w:p>
            <w:pPr>
              <w:spacing w:before="0" w:after="0"/>
              <w:jc w:val="left"/>
            </w:pPr>
            <w:r>
              <w:rPr>
                <w:rFonts w:ascii="Arial" w:hAnsi="Arial"/>
                <w:b/>
                <w:color w:val="FFFFFF"/>
                <w:sz w:val="19"/>
              </w:rPr>
              <w:t>Escalation Authority</w:t>
            </w:r>
          </w:p>
        </w:tc>
      </w:tr>
      <w:tr>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P1 — Critical</w:t>
            </w:r>
          </w:p>
        </w:tc>
        <w:tc>
          <w:tcPr>
            <w:tcW w:type="dxa" w:w="3312"/>
            <w:tcMar>
              <w:top w:w="100" w:type="dxa"/>
              <w:bottom w:w="100" w:type="dxa"/>
              <w:left w:w="140" w:type="dxa"/>
              <w:right w:w="140" w:type="dxa"/>
            </w:tcMar>
          </w:tcPr>
          <w:p>
            <w:pPr>
              <w:spacing w:before="0" w:after="0" w:line="276" w:lineRule="auto"/>
              <w:jc w:val="left"/>
            </w:pPr>
            <w:r>
              <w:rPr>
                <w:rFonts w:ascii="Arial" w:hAnsi="Arial"/>
                <w:color w:val="1E293B"/>
                <w:sz w:val="18"/>
              </w:rPr>
              <w:t>Platform outage, telebirr payment failure affecting all users</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&lt; 15 Minutes</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&lt; 2 Hours</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CTO &amp; Lead Infrastructure Engineer</w:t>
            </w:r>
          </w:p>
        </w:tc>
      </w:tr>
      <w:tr>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P2 — Major</w:t>
            </w:r>
          </w:p>
        </w:tc>
        <w:tc>
          <w:tcPr>
            <w:tcW w:type="dxa" w:w="3312"/>
            <w:shd w:fill="F8FAFC"/>
            <w:tcMar>
              <w:top w:w="100" w:type="dxa"/>
              <w:bottom w:w="100" w:type="dxa"/>
              <w:left w:w="140" w:type="dxa"/>
              <w:right w:w="140" w:type="dxa"/>
            </w:tcMar>
          </w:tcPr>
          <w:p>
            <w:pPr>
              <w:spacing w:before="0" w:after="0" w:line="276" w:lineRule="auto"/>
              <w:jc w:val="left"/>
            </w:pPr>
            <w:r>
              <w:rPr>
                <w:rFonts w:ascii="Arial" w:hAnsi="Arial"/>
                <w:color w:val="1E293B"/>
                <w:sz w:val="18"/>
              </w:rPr>
              <w:t>Specific game failure, leaderboard sync lag, high API error rate</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&lt; 30 Minutes</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&lt; 4 Hours</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Senior Backend Engineering Lead</w:t>
            </w:r>
          </w:p>
        </w:tc>
      </w:tr>
      <w:tr>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P3 — Minor</w:t>
            </w:r>
          </w:p>
        </w:tc>
        <w:tc>
          <w:tcPr>
            <w:tcW w:type="dxa" w:w="3312"/>
            <w:tcMar>
              <w:top w:w="100" w:type="dxa"/>
              <w:bottom w:w="100" w:type="dxa"/>
              <w:left w:w="140" w:type="dxa"/>
              <w:right w:w="140" w:type="dxa"/>
            </w:tcMar>
          </w:tcPr>
          <w:p>
            <w:pPr>
              <w:spacing w:before="0" w:after="0" w:line="276" w:lineRule="auto"/>
              <w:jc w:val="left"/>
            </w:pPr>
            <w:r>
              <w:rPr>
                <w:rFonts w:ascii="Arial" w:hAnsi="Arial"/>
                <w:color w:val="1E293B"/>
                <w:sz w:val="18"/>
              </w:rPr>
              <w:t>Single game visual glitch, delayed badge sync, cosmetic defect</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&lt; 2 Hours</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&lt; 24 Hours</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Frontend Engineering &amp; QA Lead</w:t>
            </w:r>
          </w:p>
        </w:tc>
      </w:tr>
      <w:tr>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P4 — Request</w:t>
            </w:r>
          </w:p>
        </w:tc>
        <w:tc>
          <w:tcPr>
            <w:tcW w:type="dxa" w:w="3312"/>
            <w:shd w:fill="F8FAFC"/>
            <w:tcMar>
              <w:top w:w="100" w:type="dxa"/>
              <w:bottom w:w="100" w:type="dxa"/>
              <w:left w:w="140" w:type="dxa"/>
              <w:right w:w="140" w:type="dxa"/>
            </w:tcMar>
          </w:tcPr>
          <w:p>
            <w:pPr>
              <w:spacing w:before="0" w:after="0" w:line="276" w:lineRule="auto"/>
              <w:jc w:val="left"/>
            </w:pPr>
            <w:r>
              <w:rPr>
                <w:rFonts w:ascii="Arial" w:hAnsi="Arial"/>
                <w:color w:val="1E293B"/>
                <w:sz w:val="18"/>
              </w:rPr>
              <w:t>General inquiry, routine reporting request, minor feature update</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&lt; 4 Hours</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&lt; 48 Hours</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Account Partnership Manager</w:t>
            </w:r>
          </w:p>
        </w:tc>
      </w:tr>
    </w:tbl>
    <w:p>
      <w:pPr>
        <w:spacing w:after="120"/>
      </w:pPr>
    </w:p>
    <w:p>
      <w:pPr>
        <w:keepNext/>
        <w:spacing w:before="280" w:after="80"/>
      </w:pPr>
      <w:r>
        <w:rPr>
          <w:rFonts w:ascii="Arial" w:hAnsi="Arial"/>
          <w:b/>
          <w:color w:val="0F172A"/>
          <w:sz w:val="24"/>
        </w:rPr>
        <w:t>8.2 Customer Support &amp; Ethio Telecom 994 Call Center Integration</w:t>
      </w:r>
    </w:p>
    <w:p>
      <w:pPr>
        <w:spacing w:before="40" w:after="80" w:line="276" w:lineRule="auto"/>
      </w:pPr>
      <w:r>
        <w:rPr>
          <w:rFonts w:ascii="Arial" w:hAnsi="Arial"/>
          <w:color w:val="334155"/>
          <w:sz w:val="19"/>
        </w:rPr>
        <w:t>Subscriber satisfaction is vital for minimizing churn. Our customer support ecosystem includes:</w:t>
      </w:r>
    </w:p>
    <w:p>
      <w:pPr>
        <w:pStyle w:val="ListBullet"/>
        <w:spacing w:before="20" w:after="60" w:line="276" w:lineRule="auto"/>
      </w:pPr>
      <w:r>
        <w:rPr>
          <w:rFonts w:ascii="Arial" w:hAnsi="Arial"/>
          <w:b/>
          <w:color w:val="0F172A"/>
          <w:sz w:val="19"/>
        </w:rPr>
        <w:t>Ethio Telecom 994 Call Center CRM Portal:</w:t>
      </w:r>
      <w:r>
        <w:rPr>
          <w:rFonts w:ascii="Arial" w:hAnsi="Arial"/>
          <w:color w:val="334155"/>
          <w:sz w:val="19"/>
        </w:rPr>
        <w:t xml:space="preserve"> Dedicated web portal provided to Ethio Telecom 994 customer support agents, enabling instant lookup of telebirr payment order IDs, subscription status, and automated coin balance adjustments.</w:t>
      </w:r>
    </w:p>
    <w:p>
      <w:pPr>
        <w:pStyle w:val="ListBullet"/>
        <w:spacing w:before="20" w:after="60" w:line="276" w:lineRule="auto"/>
      </w:pPr>
      <w:r>
        <w:rPr>
          <w:rFonts w:ascii="Arial" w:hAnsi="Arial"/>
          <w:b/>
          <w:color w:val="0F172A"/>
          <w:sz w:val="19"/>
        </w:rPr>
        <w:t>In-App Self-Service Helpdesk:</w:t>
      </w:r>
      <w:r>
        <w:rPr>
          <w:rFonts w:ascii="Arial" w:hAnsi="Arial"/>
          <w:color w:val="334155"/>
          <w:sz w:val="19"/>
        </w:rPr>
        <w:t xml:space="preserve"> In-game help center providing instant gameplay tutorials, FAQ, and automated self-service dispute resolution.</w:t>
      </w:r>
    </w:p>
    <w:p>
      <w:pPr>
        <w:pStyle w:val="ListBullet"/>
        <w:spacing w:before="20" w:after="60" w:line="276" w:lineRule="auto"/>
      </w:pPr>
      <w:r>
        <w:rPr>
          <w:rFonts w:ascii="Arial" w:hAnsi="Arial"/>
          <w:b/>
          <w:color w:val="0F172A"/>
          <w:sz w:val="19"/>
        </w:rPr>
        <w:t>Partner Level-2 Escalation Desk:</w:t>
      </w:r>
      <w:r>
        <w:rPr>
          <w:rFonts w:ascii="Arial" w:hAnsi="Arial"/>
          <w:color w:val="334155"/>
          <w:sz w:val="19"/>
        </w:rPr>
        <w:t xml:space="preserve"> Dedicated partner support hotline and priority email queue (support@godigital.et) with guaranteed 2-hour resolution for billing disputes.</w:t>
      </w:r>
    </w:p>
    <w:p>
      <w:r>
        <w:br w:type="page"/>
      </w:r>
    </w:p>
    <w:p>
      <w:pPr>
        <w:keepNext/>
        <w:spacing w:before="360" w:after="120"/>
      </w:pPr>
      <w:r>
        <w:rPr>
          <w:rFonts w:ascii="Arial" w:hAnsi="Arial"/>
          <w:b/>
          <w:color w:val="0A78BE"/>
          <w:sz w:val="30"/>
        </w:rPr>
        <w:t>9. Marketing &amp; User Acquisition Plan</w:t>
      </w:r>
    </w:p>
    <w:p>
      <w:pPr>
        <w:spacing w:before="40" w:after="80" w:line="276" w:lineRule="auto"/>
      </w:pPr>
      <w:r>
        <w:rPr>
          <w:rFonts w:ascii="Arial" w:hAnsi="Arial"/>
          <w:color w:val="334155"/>
          <w:sz w:val="19"/>
        </w:rPr>
        <w:t>To achieve our projected Year 1 milestone of 96,000 paying subscribers, Go Digital Service PLC proposes an aggressive, co-branded marketing and customer acquisition strategy executed in close synergy with Ethio Telecom.</w:t>
      </w:r>
    </w:p>
    <w:p>
      <w:pPr>
        <w:keepNext/>
        <w:spacing w:before="280" w:after="80"/>
      </w:pPr>
      <w:r>
        <w:rPr>
          <w:rFonts w:ascii="Arial" w:hAnsi="Arial"/>
          <w:b/>
          <w:color w:val="0F172A"/>
          <w:sz w:val="24"/>
        </w:rPr>
        <w:t>9.1 Multi-Channel Promotional Strategies</w:t>
      </w:r>
    </w:p>
    <w:p>
      <w:pPr>
        <w:pStyle w:val="ListBullet"/>
        <w:spacing w:before="20" w:after="60" w:line="276" w:lineRule="auto"/>
      </w:pPr>
      <w:r>
        <w:rPr>
          <w:rFonts w:ascii="Arial" w:hAnsi="Arial"/>
          <w:b/>
          <w:color w:val="0F172A"/>
          <w:sz w:val="19"/>
        </w:rPr>
        <w:t>telebirr SuperApp In-App Real Estate:</w:t>
      </w:r>
      <w:r>
        <w:rPr>
          <w:rFonts w:ascii="Arial" w:hAnsi="Arial"/>
          <w:color w:val="334155"/>
          <w:sz w:val="19"/>
        </w:rPr>
        <w:t xml:space="preserve"> Prominent featured banners on the telebirr SuperApp homepage, permanent bottom-navigation placement, and interactive splash screens during major national holidays (Enkutatash, Meskel, Timket, Eid).</w:t>
      </w:r>
    </w:p>
    <w:p>
      <w:pPr>
        <w:pStyle w:val="ListBullet"/>
        <w:spacing w:before="20" w:after="60" w:line="276" w:lineRule="auto"/>
      </w:pPr>
      <w:r>
        <w:rPr>
          <w:rFonts w:ascii="Arial" w:hAnsi="Arial"/>
          <w:b/>
          <w:color w:val="0F172A"/>
          <w:sz w:val="19"/>
        </w:rPr>
        <w:t>Targeted Telecom SMS &amp; USSD Broadcasts:</w:t>
      </w:r>
      <w:r>
        <w:rPr>
          <w:rFonts w:ascii="Arial" w:hAnsi="Arial"/>
          <w:color w:val="334155"/>
          <w:sz w:val="19"/>
        </w:rPr>
        <w:t xml:space="preserve"> Coordinated, geo-targeted SMS broadcasts sent to active 4G/5G data bundle subscribers, promoting new game releases and complimentary starter passes.</w:t>
      </w:r>
    </w:p>
    <w:p>
      <w:pPr>
        <w:pStyle w:val="ListBullet"/>
        <w:spacing w:before="20" w:after="60" w:line="276" w:lineRule="auto"/>
      </w:pPr>
      <w:r>
        <w:rPr>
          <w:rFonts w:ascii="Arial" w:hAnsi="Arial"/>
          <w:b/>
          <w:color w:val="0F172A"/>
          <w:sz w:val="19"/>
        </w:rPr>
        <w:t>Ethio Telecom Data Bundle Cross-Promotions:</w:t>
      </w:r>
      <w:r>
        <w:rPr>
          <w:rFonts w:ascii="Arial" w:hAnsi="Arial"/>
          <w:color w:val="334155"/>
          <w:sz w:val="19"/>
        </w:rPr>
        <w:t xml:space="preserve"> Innovative co-branded packages such as 'Play &amp; Learn Data Bundles', where subscribing to a Monthly Pass awards 500MB of free evening or weekend data.</w:t>
      </w:r>
    </w:p>
    <w:p>
      <w:pPr>
        <w:pStyle w:val="ListBullet"/>
        <w:spacing w:before="20" w:after="60" w:line="276" w:lineRule="auto"/>
      </w:pPr>
      <w:r>
        <w:rPr>
          <w:rFonts w:ascii="Arial" w:hAnsi="Arial"/>
          <w:b/>
          <w:color w:val="0F172A"/>
          <w:sz w:val="19"/>
        </w:rPr>
        <w:t>Digital Influencer &amp; Social Media Campaigns:</w:t>
      </w:r>
      <w:r>
        <w:rPr>
          <w:rFonts w:ascii="Arial" w:hAnsi="Arial"/>
          <w:color w:val="334155"/>
          <w:sz w:val="19"/>
        </w:rPr>
        <w:t xml:space="preserve"> Collaborating with top Ethiopian digital content creators, tech reviewers, and student influencers across TikTok, Telegram, and YouTube.</w:t>
      </w:r>
    </w:p>
    <w:p>
      <w:pPr>
        <w:pStyle w:val="ListBullet"/>
        <w:spacing w:before="20" w:after="60" w:line="276" w:lineRule="auto"/>
      </w:pPr>
      <w:r>
        <w:rPr>
          <w:rFonts w:ascii="Arial" w:hAnsi="Arial"/>
          <w:b/>
          <w:color w:val="0F172A"/>
          <w:sz w:val="19"/>
        </w:rPr>
        <w:t>Edutainment Positioning in Schools &amp; Youth Hubs:</w:t>
      </w:r>
      <w:r>
        <w:rPr>
          <w:rFonts w:ascii="Arial" w:hAnsi="Arial"/>
          <w:color w:val="334155"/>
          <w:sz w:val="19"/>
        </w:rPr>
        <w:t xml:space="preserve"> Partnerships with educational institutions and youth development centers promoting Word Legend and Jenny's Math Puzzle as wholesome learning tools.</w:t>
      </w:r>
    </w:p>
    <w:p>
      <w:pPr>
        <w:keepNext/>
        <w:spacing w:before="280" w:after="80"/>
      </w:pPr>
      <w:r>
        <w:rPr>
          <w:rFonts w:ascii="Arial" w:hAnsi="Arial"/>
          <w:b/>
          <w:color w:val="0F172A"/>
          <w:sz w:val="24"/>
        </w:rPr>
        <w:t>9.2 Institutional Division of Responsibilities</w:t>
      </w:r>
    </w:p>
    <w:p>
      <w:pPr>
        <w:spacing w:before="40" w:after="80" w:line="276" w:lineRule="auto"/>
      </w:pPr>
      <w:r>
        <w:rPr>
          <w:rFonts w:ascii="Arial" w:hAnsi="Arial"/>
          <w:color w:val="334155"/>
          <w:sz w:val="19"/>
        </w:rPr>
        <w:t>A clear division of responsibilities ensures rapid operational execution and accountability across both organizations: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64"/>
        <w:gridCol w:w="3264"/>
        <w:gridCol w:w="3264"/>
      </w:tblGrid>
      <w:tr>
        <w:trPr>
          <w:tblHeader/>
        </w:trPr>
        <w:tc>
          <w:tcPr>
            <w:tcW w:type="dxa" w:w="2160"/>
            <w:shd w:fill="0A78BE"/>
            <w:tcMar>
              <w:top w:w="140" w:type="dxa"/>
              <w:bottom w:w="140" w:type="dxa"/>
              <w:left w:w="150" w:type="dxa"/>
              <w:right w:w="150" w:type="dxa"/>
            </w:tcMar>
          </w:tcPr>
          <w:p>
            <w:pPr>
              <w:spacing w:before="0" w:after="0"/>
              <w:jc w:val="left"/>
            </w:pPr>
            <w:r>
              <w:rPr>
                <w:rFonts w:ascii="Arial" w:hAnsi="Arial"/>
                <w:b/>
                <w:color w:val="FFFFFF"/>
                <w:sz w:val="19"/>
              </w:rPr>
              <w:t>Operational Domain</w:t>
            </w:r>
          </w:p>
        </w:tc>
        <w:tc>
          <w:tcPr>
            <w:tcW w:type="dxa" w:w="3744"/>
            <w:shd w:fill="0A78BE"/>
            <w:tcMar>
              <w:top w:w="140" w:type="dxa"/>
              <w:bottom w:w="140" w:type="dxa"/>
              <w:left w:w="150" w:type="dxa"/>
              <w:right w:w="150" w:type="dxa"/>
            </w:tcMar>
          </w:tcPr>
          <w:p>
            <w:pPr>
              <w:spacing w:before="0" w:after="0"/>
              <w:jc w:val="left"/>
            </w:pPr>
            <w:r>
              <w:rPr>
                <w:rFonts w:ascii="Arial" w:hAnsi="Arial"/>
                <w:b/>
                <w:color w:val="FFFFFF"/>
                <w:sz w:val="19"/>
              </w:rPr>
              <w:t>Go Digital Service PLC Responsibility</w:t>
            </w:r>
          </w:p>
        </w:tc>
        <w:tc>
          <w:tcPr>
            <w:tcW w:type="dxa" w:w="3888"/>
            <w:shd w:fill="0A78BE"/>
            <w:tcMar>
              <w:top w:w="140" w:type="dxa"/>
              <w:bottom w:w="140" w:type="dxa"/>
              <w:left w:w="150" w:type="dxa"/>
              <w:right w:w="150" w:type="dxa"/>
            </w:tcMar>
          </w:tcPr>
          <w:p>
            <w:pPr>
              <w:spacing w:before="0" w:after="0"/>
              <w:jc w:val="left"/>
            </w:pPr>
            <w:r>
              <w:rPr>
                <w:rFonts w:ascii="Arial" w:hAnsi="Arial"/>
                <w:b/>
                <w:color w:val="FFFFFF"/>
                <w:sz w:val="19"/>
              </w:rPr>
              <w:t>Ethio Telecom / telebirr Responsibility</w:t>
            </w:r>
          </w:p>
        </w:tc>
      </w:tr>
      <w:tr>
        <w:tc>
          <w:tcPr>
            <w:tcW w:type="dxa" w:w="2160"/>
            <w:tcMar>
              <w:top w:w="100" w:type="dxa"/>
              <w:bottom w:w="100" w:type="dxa"/>
              <w:left w:w="140" w:type="dxa"/>
              <w:right w:w="140" w:type="dxa"/>
            </w:tcMar>
          </w:tcPr>
          <w:p>
            <w:pPr>
              <w:spacing w:before="0" w:after="0" w:line="276" w:lineRule="auto"/>
              <w:jc w:val="left"/>
            </w:pPr>
            <w:r>
              <w:rPr>
                <w:rFonts w:ascii="Arial" w:hAnsi="Arial"/>
                <w:color w:val="1E293B"/>
                <w:sz w:val="18"/>
              </w:rPr>
              <w:t>Platform &amp; Games</w:t>
            </w:r>
          </w:p>
        </w:tc>
        <w:tc>
          <w:tcPr>
            <w:tcW w:type="dxa" w:w="3744"/>
            <w:tcMar>
              <w:top w:w="100" w:type="dxa"/>
              <w:bottom w:w="100" w:type="dxa"/>
              <w:left w:w="140" w:type="dxa"/>
              <w:right w:w="140" w:type="dxa"/>
            </w:tcMar>
          </w:tcPr>
          <w:p>
            <w:pPr>
              <w:spacing w:before="0" w:after="0" w:line="276" w:lineRule="auto"/>
              <w:jc w:val="left"/>
            </w:pPr>
            <w:r>
              <w:rPr>
                <w:rFonts w:ascii="Arial" w:hAnsi="Arial"/>
                <w:color w:val="1E293B"/>
                <w:sz w:val="18"/>
              </w:rPr>
              <w:t>Develop, host, optimize, and maintain all 26+ games; deliver continuous bi-weekly updates.</w:t>
            </w:r>
          </w:p>
        </w:tc>
        <w:tc>
          <w:tcPr>
            <w:tcW w:type="dxa" w:w="3888"/>
            <w:tcMar>
              <w:top w:w="100" w:type="dxa"/>
              <w:bottom w:w="100" w:type="dxa"/>
              <w:left w:w="140" w:type="dxa"/>
              <w:right w:w="140" w:type="dxa"/>
            </w:tcMar>
          </w:tcPr>
          <w:p>
            <w:pPr>
              <w:spacing w:before="0" w:after="0" w:line="276" w:lineRule="auto"/>
              <w:jc w:val="left"/>
            </w:pPr>
            <w:r>
              <w:rPr>
                <w:rFonts w:ascii="Arial" w:hAnsi="Arial"/>
                <w:color w:val="1E293B"/>
                <w:sz w:val="18"/>
              </w:rPr>
              <w:t>Provide telebirr Game Center hosting environment, Macle runtime, and API connectivity.</w:t>
            </w:r>
          </w:p>
        </w:tc>
      </w:tr>
      <w:tr>
        <w:tc>
          <w:tcPr>
            <w:tcW w:type="dxa" w:w="2160"/>
            <w:shd w:fill="F8FAFC"/>
            <w:tcMar>
              <w:top w:w="100" w:type="dxa"/>
              <w:bottom w:w="100" w:type="dxa"/>
              <w:left w:w="140" w:type="dxa"/>
              <w:right w:w="140" w:type="dxa"/>
            </w:tcMar>
          </w:tcPr>
          <w:p>
            <w:pPr>
              <w:spacing w:before="0" w:after="0" w:line="276" w:lineRule="auto"/>
              <w:jc w:val="left"/>
            </w:pPr>
            <w:r>
              <w:rPr>
                <w:rFonts w:ascii="Arial" w:hAnsi="Arial"/>
                <w:color w:val="1E293B"/>
                <w:sz w:val="18"/>
              </w:rPr>
              <w:t>Payment &amp; Billing</w:t>
            </w:r>
          </w:p>
        </w:tc>
        <w:tc>
          <w:tcPr>
            <w:tcW w:type="dxa" w:w="3744"/>
            <w:shd w:fill="F8FAFC"/>
            <w:tcMar>
              <w:top w:w="100" w:type="dxa"/>
              <w:bottom w:w="100" w:type="dxa"/>
              <w:left w:w="140" w:type="dxa"/>
              <w:right w:w="140" w:type="dxa"/>
            </w:tcMar>
          </w:tcPr>
          <w:p>
            <w:pPr>
              <w:spacing w:before="0" w:after="0" w:line="276" w:lineRule="auto"/>
              <w:jc w:val="left"/>
            </w:pPr>
            <w:r>
              <w:rPr>
                <w:rFonts w:ascii="Arial" w:hAnsi="Arial"/>
                <w:color w:val="1E293B"/>
                <w:sz w:val="18"/>
              </w:rPr>
              <w:t>Integrate telebirr C2B and recurring billing APIs; ensure transaction reconciliation.</w:t>
            </w:r>
          </w:p>
        </w:tc>
        <w:tc>
          <w:tcPr>
            <w:tcW w:type="dxa" w:w="3888"/>
            <w:shd w:fill="F8FAFC"/>
            <w:tcMar>
              <w:top w:w="100" w:type="dxa"/>
              <w:bottom w:w="100" w:type="dxa"/>
              <w:left w:w="140" w:type="dxa"/>
              <w:right w:w="140" w:type="dxa"/>
            </w:tcMar>
          </w:tcPr>
          <w:p>
            <w:pPr>
              <w:spacing w:before="0" w:after="0" w:line="276" w:lineRule="auto"/>
              <w:jc w:val="left"/>
            </w:pPr>
            <w:r>
              <w:rPr>
                <w:rFonts w:ascii="Arial" w:hAnsi="Arial"/>
                <w:color w:val="1E293B"/>
                <w:sz w:val="18"/>
              </w:rPr>
              <w:t>Process wallet deductions, verify user accounts, and disburse partner revenue settlements.</w:t>
            </w:r>
          </w:p>
        </w:tc>
      </w:tr>
      <w:tr>
        <w:tc>
          <w:tcPr>
            <w:tcW w:type="dxa" w:w="2160"/>
            <w:tcMar>
              <w:top w:w="100" w:type="dxa"/>
              <w:bottom w:w="100" w:type="dxa"/>
              <w:left w:w="140" w:type="dxa"/>
              <w:right w:w="140" w:type="dxa"/>
            </w:tcMar>
          </w:tcPr>
          <w:p>
            <w:pPr>
              <w:spacing w:before="0" w:after="0" w:line="276" w:lineRule="auto"/>
              <w:jc w:val="left"/>
            </w:pPr>
            <w:r>
              <w:rPr>
                <w:rFonts w:ascii="Arial" w:hAnsi="Arial"/>
                <w:color w:val="1E293B"/>
                <w:sz w:val="18"/>
              </w:rPr>
              <w:t>Marketing &amp; Growth</w:t>
            </w:r>
          </w:p>
        </w:tc>
        <w:tc>
          <w:tcPr>
            <w:tcW w:type="dxa" w:w="3744"/>
            <w:tcMar>
              <w:top w:w="100" w:type="dxa"/>
              <w:bottom w:w="100" w:type="dxa"/>
              <w:left w:w="140" w:type="dxa"/>
              <w:right w:w="140" w:type="dxa"/>
            </w:tcMar>
          </w:tcPr>
          <w:p>
            <w:pPr>
              <w:spacing w:before="0" w:after="0" w:line="276" w:lineRule="auto"/>
              <w:jc w:val="left"/>
            </w:pPr>
            <w:r>
              <w:rPr>
                <w:rFonts w:ascii="Arial" w:hAnsi="Arial"/>
                <w:color w:val="1E293B"/>
                <w:sz w:val="18"/>
              </w:rPr>
              <w:t>Produce creative digital assets, social media videos, influencer campaigns, and local events.</w:t>
            </w:r>
          </w:p>
        </w:tc>
        <w:tc>
          <w:tcPr>
            <w:tcW w:type="dxa" w:w="3888"/>
            <w:tcMar>
              <w:top w:w="100" w:type="dxa"/>
              <w:bottom w:w="100" w:type="dxa"/>
              <w:left w:w="140" w:type="dxa"/>
              <w:right w:w="140" w:type="dxa"/>
            </w:tcMar>
          </w:tcPr>
          <w:p>
            <w:pPr>
              <w:spacing w:before="0" w:after="0" w:line="276" w:lineRule="auto"/>
              <w:jc w:val="left"/>
            </w:pPr>
            <w:r>
              <w:rPr>
                <w:rFonts w:ascii="Arial" w:hAnsi="Arial"/>
                <w:color w:val="1E293B"/>
                <w:sz w:val="18"/>
              </w:rPr>
              <w:t>Broadcast promotional SMS messages, feature in-app banners, and support bundle promotions.</w:t>
            </w:r>
          </w:p>
        </w:tc>
      </w:tr>
      <w:tr>
        <w:tc>
          <w:tcPr>
            <w:tcW w:type="dxa" w:w="2160"/>
            <w:shd w:fill="F8FAFC"/>
            <w:tcMar>
              <w:top w:w="100" w:type="dxa"/>
              <w:bottom w:w="100" w:type="dxa"/>
              <w:left w:w="140" w:type="dxa"/>
              <w:right w:w="140" w:type="dxa"/>
            </w:tcMar>
          </w:tcPr>
          <w:p>
            <w:pPr>
              <w:spacing w:before="0" w:after="0" w:line="276" w:lineRule="auto"/>
              <w:jc w:val="left"/>
            </w:pPr>
            <w:r>
              <w:rPr>
                <w:rFonts w:ascii="Arial" w:hAnsi="Arial"/>
                <w:color w:val="1E293B"/>
                <w:sz w:val="18"/>
              </w:rPr>
              <w:t>Customer Support</w:t>
            </w:r>
          </w:p>
        </w:tc>
        <w:tc>
          <w:tcPr>
            <w:tcW w:type="dxa" w:w="3744"/>
            <w:shd w:fill="F8FAFC"/>
            <w:tcMar>
              <w:top w:w="100" w:type="dxa"/>
              <w:bottom w:w="100" w:type="dxa"/>
              <w:left w:w="140" w:type="dxa"/>
              <w:right w:w="140" w:type="dxa"/>
            </w:tcMar>
          </w:tcPr>
          <w:p>
            <w:pPr>
              <w:spacing w:before="0" w:after="0" w:line="276" w:lineRule="auto"/>
              <w:jc w:val="left"/>
            </w:pPr>
            <w:r>
              <w:rPr>
                <w:rFonts w:ascii="Arial" w:hAnsi="Arial"/>
                <w:color w:val="1E293B"/>
                <w:sz w:val="18"/>
              </w:rPr>
              <w:t>Operate 24/7 Level-2 technical desk, maintain agent lookup portal, and resolve game bugs.</w:t>
            </w:r>
          </w:p>
        </w:tc>
        <w:tc>
          <w:tcPr>
            <w:tcW w:type="dxa" w:w="3888"/>
            <w:shd w:fill="F8FAFC"/>
            <w:tcMar>
              <w:top w:w="100" w:type="dxa"/>
              <w:bottom w:w="100" w:type="dxa"/>
              <w:left w:w="140" w:type="dxa"/>
              <w:right w:w="140" w:type="dxa"/>
            </w:tcMar>
          </w:tcPr>
          <w:p>
            <w:pPr>
              <w:spacing w:before="0" w:after="0" w:line="276" w:lineRule="auto"/>
              <w:jc w:val="left"/>
            </w:pPr>
            <w:r>
              <w:rPr>
                <w:rFonts w:ascii="Arial" w:hAnsi="Arial"/>
                <w:color w:val="1E293B"/>
                <w:sz w:val="18"/>
              </w:rPr>
              <w:t>Handle primary tier-1 customer inquiries via 994 call center and telebirr service counters.</w:t>
            </w:r>
          </w:p>
        </w:tc>
      </w:tr>
      <w:tr>
        <w:tc>
          <w:tcPr>
            <w:tcW w:type="dxa" w:w="2160"/>
            <w:tcMar>
              <w:top w:w="100" w:type="dxa"/>
              <w:bottom w:w="100" w:type="dxa"/>
              <w:left w:w="140" w:type="dxa"/>
              <w:right w:w="140" w:type="dxa"/>
            </w:tcMar>
          </w:tcPr>
          <w:p>
            <w:pPr>
              <w:spacing w:before="0" w:after="0" w:line="276" w:lineRule="auto"/>
              <w:jc w:val="left"/>
            </w:pPr>
            <w:r>
              <w:rPr>
                <w:rFonts w:ascii="Arial" w:hAnsi="Arial"/>
                <w:color w:val="1E293B"/>
                <w:sz w:val="18"/>
              </w:rPr>
              <w:t>Governance &amp; Compliance</w:t>
            </w:r>
          </w:p>
        </w:tc>
        <w:tc>
          <w:tcPr>
            <w:tcW w:type="dxa" w:w="3744"/>
            <w:tcMar>
              <w:top w:w="100" w:type="dxa"/>
              <w:bottom w:w="100" w:type="dxa"/>
              <w:left w:w="140" w:type="dxa"/>
              <w:right w:w="140" w:type="dxa"/>
            </w:tcMar>
          </w:tcPr>
          <w:p>
            <w:pPr>
              <w:spacing w:before="0" w:after="0" w:line="276" w:lineRule="auto"/>
              <w:jc w:val="left"/>
            </w:pPr>
            <w:r>
              <w:rPr>
                <w:rFonts w:ascii="Arial" w:hAnsi="Arial"/>
                <w:color w:val="1E293B"/>
                <w:sz w:val="18"/>
              </w:rPr>
              <w:t>Ensure full compliance with INSA, NBE, and strict ethical standards; zero gambling.</w:t>
            </w:r>
          </w:p>
        </w:tc>
        <w:tc>
          <w:tcPr>
            <w:tcW w:type="dxa" w:w="3888"/>
            <w:tcMar>
              <w:top w:w="100" w:type="dxa"/>
              <w:bottom w:w="100" w:type="dxa"/>
              <w:left w:w="140" w:type="dxa"/>
              <w:right w:w="140" w:type="dxa"/>
            </w:tcMar>
          </w:tcPr>
          <w:p>
            <w:pPr>
              <w:spacing w:before="0" w:after="0" w:line="276" w:lineRule="auto"/>
              <w:jc w:val="left"/>
            </w:pPr>
            <w:r>
              <w:rPr>
                <w:rFonts w:ascii="Arial" w:hAnsi="Arial"/>
                <w:color w:val="1E293B"/>
                <w:sz w:val="18"/>
              </w:rPr>
              <w:t>Provide regulatory alignment, national telecom oversight, and periodic security auditing.</w:t>
            </w:r>
          </w:p>
        </w:tc>
      </w:tr>
    </w:tbl>
    <w:p>
      <w:pPr>
        <w:spacing w:after="120"/>
      </w:pPr>
    </w:p>
    <w:p>
      <w:r>
        <w:br w:type="page"/>
      </w:r>
    </w:p>
    <w:p>
      <w:pPr>
        <w:keepNext/>
        <w:spacing w:before="360" w:after="120"/>
      </w:pPr>
      <w:r>
        <w:rPr>
          <w:rFonts w:ascii="Arial" w:hAnsi="Arial"/>
          <w:b/>
          <w:color w:val="0A78BE"/>
          <w:sz w:val="30"/>
        </w:rPr>
        <w:t>10. Mandatory Security &amp; Regulatory Compliance</w:t>
      </w:r>
    </w:p>
    <w:p>
      <w:pPr>
        <w:spacing w:before="40" w:after="80" w:line="276" w:lineRule="auto"/>
      </w:pPr>
      <w:r>
        <w:rPr>
          <w:rFonts w:ascii="Arial" w:hAnsi="Arial"/>
          <w:color w:val="334155"/>
          <w:sz w:val="19"/>
        </w:rPr>
        <w:t>In strict compliance with Ethio Telecom's mandatory security standards, Go Digital Service PLC provides an unequivocal affirmative response to all seventeen (17) security and regulatory requirements: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48"/>
        <w:gridCol w:w="2448"/>
        <w:gridCol w:w="2448"/>
        <w:gridCol w:w="2448"/>
      </w:tblGrid>
      <w:tr>
        <w:trPr>
          <w:tblHeader/>
        </w:trPr>
        <w:tc>
          <w:tcPr>
            <w:tcW w:type="dxa" w:w="864"/>
            <w:shd w:fill="0A78BE"/>
            <w:tcMar>
              <w:top w:w="140" w:type="dxa"/>
              <w:bottom w:w="140" w:type="dxa"/>
              <w:left w:w="150" w:type="dxa"/>
              <w:right w:w="150" w:type="dxa"/>
            </w:tcMar>
          </w:tcPr>
          <w:p>
            <w:pPr>
              <w:spacing w:before="0" w:after="0"/>
              <w:jc w:val="left"/>
            </w:pPr>
            <w:r>
              <w:rPr>
                <w:rFonts w:ascii="Arial" w:hAnsi="Arial"/>
                <w:b/>
                <w:color w:val="FFFFFF"/>
                <w:sz w:val="19"/>
              </w:rPr>
              <w:t>Req ID</w:t>
            </w:r>
          </w:p>
        </w:tc>
        <w:tc>
          <w:tcPr>
            <w:tcW w:type="dxa" w:w="3312"/>
            <w:shd w:fill="0A78BE"/>
            <w:tcMar>
              <w:top w:w="140" w:type="dxa"/>
              <w:bottom w:w="140" w:type="dxa"/>
              <w:left w:w="150" w:type="dxa"/>
              <w:right w:w="150" w:type="dxa"/>
            </w:tcMar>
          </w:tcPr>
          <w:p>
            <w:pPr>
              <w:spacing w:before="0" w:after="0"/>
              <w:jc w:val="left"/>
            </w:pPr>
            <w:r>
              <w:rPr>
                <w:rFonts w:ascii="Arial" w:hAnsi="Arial"/>
                <w:b/>
                <w:color w:val="FFFFFF"/>
                <w:sz w:val="19"/>
              </w:rPr>
              <w:t>Ethio Telecom Security Standard</w:t>
            </w:r>
          </w:p>
        </w:tc>
        <w:tc>
          <w:tcPr>
            <w:tcW w:type="dxa" w:w="1152"/>
            <w:shd w:fill="0A78BE"/>
            <w:tcMar>
              <w:top w:w="140" w:type="dxa"/>
              <w:bottom w:w="140" w:type="dxa"/>
              <w:left w:w="150" w:type="dxa"/>
              <w:right w:w="150" w:type="dxa"/>
            </w:tcMar>
          </w:tcPr>
          <w:p>
            <w:pPr>
              <w:spacing w:before="0" w:after="0"/>
              <w:jc w:val="left"/>
            </w:pPr>
            <w:r>
              <w:rPr>
                <w:rFonts w:ascii="Arial" w:hAnsi="Arial"/>
                <w:b/>
                <w:color w:val="FFFFFF"/>
                <w:sz w:val="19"/>
              </w:rPr>
              <w:t>Status</w:t>
            </w:r>
          </w:p>
        </w:tc>
        <w:tc>
          <w:tcPr>
            <w:tcW w:type="dxa" w:w="4464"/>
            <w:shd w:fill="0A78BE"/>
            <w:tcMar>
              <w:top w:w="140" w:type="dxa"/>
              <w:bottom w:w="140" w:type="dxa"/>
              <w:left w:w="150" w:type="dxa"/>
              <w:right w:w="150" w:type="dxa"/>
            </w:tcMar>
          </w:tcPr>
          <w:p>
            <w:pPr>
              <w:spacing w:before="0" w:after="0"/>
              <w:jc w:val="left"/>
            </w:pPr>
            <w:r>
              <w:rPr>
                <w:rFonts w:ascii="Arial" w:hAnsi="Arial"/>
                <w:b/>
                <w:color w:val="FFFFFF"/>
                <w:sz w:val="19"/>
              </w:rPr>
              <w:t>Technical Architecture &amp; Operational Compliance Remark</w:t>
            </w:r>
          </w:p>
        </w:tc>
      </w:tr>
      <w:tr>
        <w:tc>
          <w:tcPr>
            <w:tcW w:type="dxa" w:w="864"/>
            <w:tcMar>
              <w:top w:w="100" w:type="dxa"/>
              <w:bottom w:w="100" w:type="dxa"/>
              <w:left w:w="140" w:type="dxa"/>
              <w:right w:w="140" w:type="dxa"/>
            </w:tcMar>
          </w:tcPr>
          <w:p>
            <w:pPr>
              <w:spacing w:before="0" w:after="0" w:line="276" w:lineRule="auto"/>
              <w:jc w:val="left"/>
            </w:pPr>
            <w:r>
              <w:rPr>
                <w:rFonts w:ascii="Arial" w:hAnsi="Arial"/>
                <w:color w:val="1E293B"/>
                <w:sz w:val="18"/>
              </w:rPr>
              <w:t>GP1.1</w:t>
            </w:r>
          </w:p>
        </w:tc>
        <w:tc>
          <w:tcPr>
            <w:tcW w:type="dxa" w:w="3312"/>
            <w:tcMar>
              <w:top w:w="100" w:type="dxa"/>
              <w:bottom w:w="100" w:type="dxa"/>
              <w:left w:w="140" w:type="dxa"/>
              <w:right w:w="140" w:type="dxa"/>
            </w:tcMar>
          </w:tcPr>
          <w:p>
            <w:pPr>
              <w:spacing w:before="0" w:after="0" w:line="276" w:lineRule="auto"/>
              <w:jc w:val="left"/>
            </w:pPr>
            <w:r>
              <w:rPr>
                <w:rFonts w:ascii="Arial" w:hAnsi="Arial"/>
                <w:color w:val="1E293B"/>
                <w:sz w:val="18"/>
              </w:rPr>
              <w:t>Provider must comply with Ethiopian National Data Protection Proclamation &amp; NBE directives.</w:t>
            </w:r>
          </w:p>
        </w:tc>
        <w:tc>
          <w:tcPr>
            <w:tcW w:type="dxa" w:w="1152"/>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tcMar>
              <w:top w:w="100" w:type="dxa"/>
              <w:bottom w:w="100" w:type="dxa"/>
              <w:left w:w="140" w:type="dxa"/>
              <w:right w:w="140" w:type="dxa"/>
            </w:tcMar>
          </w:tcPr>
          <w:p>
            <w:pPr>
              <w:spacing w:before="0" w:after="0" w:line="276" w:lineRule="auto"/>
              <w:jc w:val="left"/>
            </w:pPr>
            <w:r>
              <w:rPr>
                <w:rFonts w:ascii="Arial" w:hAnsi="Arial"/>
                <w:color w:val="1E293B"/>
                <w:sz w:val="18"/>
              </w:rPr>
              <w:t>Fully compliant. All user records are hosted locally within Ethiopia without cross-border transfers. 100% compliant with NBE mobile payment directives.</w:t>
            </w:r>
          </w:p>
        </w:tc>
      </w:tr>
      <w:tr>
        <w:tc>
          <w:tcPr>
            <w:tcW w:type="dxa" w:w="864"/>
            <w:shd w:fill="F8FAFC"/>
            <w:tcMar>
              <w:top w:w="100" w:type="dxa"/>
              <w:bottom w:w="100" w:type="dxa"/>
              <w:left w:w="140" w:type="dxa"/>
              <w:right w:w="140" w:type="dxa"/>
            </w:tcMar>
          </w:tcPr>
          <w:p>
            <w:pPr>
              <w:spacing w:before="0" w:after="0" w:line="276" w:lineRule="auto"/>
              <w:jc w:val="left"/>
            </w:pPr>
            <w:r>
              <w:rPr>
                <w:rFonts w:ascii="Arial" w:hAnsi="Arial"/>
                <w:color w:val="1E293B"/>
                <w:sz w:val="18"/>
              </w:rPr>
              <w:t>GP1.2</w:t>
            </w:r>
          </w:p>
        </w:tc>
        <w:tc>
          <w:tcPr>
            <w:tcW w:type="dxa" w:w="3312"/>
            <w:shd w:fill="F8FAFC"/>
            <w:tcMar>
              <w:top w:w="100" w:type="dxa"/>
              <w:bottom w:w="100" w:type="dxa"/>
              <w:left w:w="140" w:type="dxa"/>
              <w:right w:w="140" w:type="dxa"/>
            </w:tcMar>
          </w:tcPr>
          <w:p>
            <w:pPr>
              <w:spacing w:before="0" w:after="0" w:line="276" w:lineRule="auto"/>
              <w:jc w:val="left"/>
            </w:pPr>
            <w:r>
              <w:rPr>
                <w:rFonts w:ascii="Arial" w:hAnsi="Arial"/>
                <w:color w:val="1E293B"/>
                <w:sz w:val="18"/>
              </w:rPr>
              <w:t>Provider must accept periodic security and compliance audits by Ethio Telecom.</w:t>
            </w:r>
          </w:p>
        </w:tc>
        <w:tc>
          <w:tcPr>
            <w:tcW w:type="dxa" w:w="1152"/>
            <w:shd w:fill="F8FAFC"/>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shd w:fill="F8FAFC"/>
            <w:tcMar>
              <w:top w:w="100" w:type="dxa"/>
              <w:bottom w:w="100" w:type="dxa"/>
              <w:left w:w="140" w:type="dxa"/>
              <w:right w:w="140" w:type="dxa"/>
            </w:tcMar>
          </w:tcPr>
          <w:p>
            <w:pPr>
              <w:spacing w:before="0" w:after="0" w:line="276" w:lineRule="auto"/>
              <w:jc w:val="left"/>
            </w:pPr>
            <w:r>
              <w:rPr>
                <w:rFonts w:ascii="Arial" w:hAnsi="Arial"/>
                <w:color w:val="1E293B"/>
                <w:sz w:val="18"/>
              </w:rPr>
              <w:t>Fully compliant. Explicitly accepts scheduled and unannounced penetration tests, source code audits, and architecture inspections by Ethio Telecom and INSA.</w:t>
            </w:r>
          </w:p>
        </w:tc>
      </w:tr>
      <w:tr>
        <w:tc>
          <w:tcPr>
            <w:tcW w:type="dxa" w:w="864"/>
            <w:tcMar>
              <w:top w:w="100" w:type="dxa"/>
              <w:bottom w:w="100" w:type="dxa"/>
              <w:left w:w="140" w:type="dxa"/>
              <w:right w:w="140" w:type="dxa"/>
            </w:tcMar>
          </w:tcPr>
          <w:p>
            <w:pPr>
              <w:spacing w:before="0" w:after="0" w:line="276" w:lineRule="auto"/>
              <w:jc w:val="left"/>
            </w:pPr>
            <w:r>
              <w:rPr>
                <w:rFonts w:ascii="Arial" w:hAnsi="Arial"/>
                <w:color w:val="1E293B"/>
                <w:sz w:val="18"/>
              </w:rPr>
              <w:t>GP2.1</w:t>
            </w:r>
          </w:p>
        </w:tc>
        <w:tc>
          <w:tcPr>
            <w:tcW w:type="dxa" w:w="3312"/>
            <w:tcMar>
              <w:top w:w="100" w:type="dxa"/>
              <w:bottom w:w="100" w:type="dxa"/>
              <w:left w:w="140" w:type="dxa"/>
              <w:right w:w="140" w:type="dxa"/>
            </w:tcMar>
          </w:tcPr>
          <w:p>
            <w:pPr>
              <w:spacing w:before="0" w:after="0" w:line="276" w:lineRule="auto"/>
              <w:jc w:val="left"/>
            </w:pPr>
            <w:r>
              <w:rPr>
                <w:rFonts w:ascii="Arial" w:hAnsi="Arial"/>
                <w:color w:val="1E293B"/>
                <w:sz w:val="18"/>
              </w:rPr>
              <w:t>Games must be developed following Secure Software Development Lifecycle (SSDLC) practices.</w:t>
            </w:r>
          </w:p>
        </w:tc>
        <w:tc>
          <w:tcPr>
            <w:tcW w:type="dxa" w:w="1152"/>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tcMar>
              <w:top w:w="100" w:type="dxa"/>
              <w:bottom w:w="100" w:type="dxa"/>
              <w:left w:w="140" w:type="dxa"/>
              <w:right w:w="140" w:type="dxa"/>
            </w:tcMar>
          </w:tcPr>
          <w:p>
            <w:pPr>
              <w:spacing w:before="0" w:after="0" w:line="276" w:lineRule="auto"/>
              <w:jc w:val="left"/>
            </w:pPr>
            <w:r>
              <w:rPr>
                <w:rFonts w:ascii="Arial" w:hAnsi="Arial"/>
                <w:color w:val="1E293B"/>
                <w:sz w:val="18"/>
              </w:rPr>
              <w:t>Fully compliant. Enforced via automated CI/CD security gates, static code analysis (SonarQube), TypeScript strict mode, and automated container scanning.</w:t>
            </w:r>
          </w:p>
        </w:tc>
      </w:tr>
      <w:tr>
        <w:tc>
          <w:tcPr>
            <w:tcW w:type="dxa" w:w="864"/>
            <w:shd w:fill="F8FAFC"/>
            <w:tcMar>
              <w:top w:w="100" w:type="dxa"/>
              <w:bottom w:w="100" w:type="dxa"/>
              <w:left w:w="140" w:type="dxa"/>
              <w:right w:w="140" w:type="dxa"/>
            </w:tcMar>
          </w:tcPr>
          <w:p>
            <w:pPr>
              <w:spacing w:before="0" w:after="0" w:line="276" w:lineRule="auto"/>
              <w:jc w:val="left"/>
            </w:pPr>
            <w:r>
              <w:rPr>
                <w:rFonts w:ascii="Arial" w:hAnsi="Arial"/>
                <w:color w:val="1E293B"/>
                <w:sz w:val="18"/>
              </w:rPr>
              <w:t>GP2.2</w:t>
            </w:r>
          </w:p>
        </w:tc>
        <w:tc>
          <w:tcPr>
            <w:tcW w:type="dxa" w:w="3312"/>
            <w:shd w:fill="F8FAFC"/>
            <w:tcMar>
              <w:top w:w="100" w:type="dxa"/>
              <w:bottom w:w="100" w:type="dxa"/>
              <w:left w:w="140" w:type="dxa"/>
              <w:right w:w="140" w:type="dxa"/>
            </w:tcMar>
          </w:tcPr>
          <w:p>
            <w:pPr>
              <w:spacing w:before="0" w:after="0" w:line="276" w:lineRule="auto"/>
              <w:jc w:val="left"/>
            </w:pPr>
            <w:r>
              <w:rPr>
                <w:rFonts w:ascii="Arial" w:hAnsi="Arial"/>
                <w:color w:val="1E293B"/>
                <w:sz w:val="18"/>
              </w:rPr>
              <w:t>Games must not contain malware, spyware, hidden data collection, or backdoors.</w:t>
            </w:r>
          </w:p>
        </w:tc>
        <w:tc>
          <w:tcPr>
            <w:tcW w:type="dxa" w:w="1152"/>
            <w:shd w:fill="F8FAFC"/>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shd w:fill="F8FAFC"/>
            <w:tcMar>
              <w:top w:w="100" w:type="dxa"/>
              <w:bottom w:w="100" w:type="dxa"/>
              <w:left w:w="140" w:type="dxa"/>
              <w:right w:w="140" w:type="dxa"/>
            </w:tcMar>
          </w:tcPr>
          <w:p>
            <w:pPr>
              <w:spacing w:before="0" w:after="0" w:line="276" w:lineRule="auto"/>
              <w:jc w:val="left"/>
            </w:pPr>
            <w:r>
              <w:rPr>
                <w:rFonts w:ascii="Arial" w:hAnsi="Arial"/>
                <w:color w:val="1E293B"/>
                <w:sz w:val="18"/>
              </w:rPr>
              <w:t>Fully compliant. Clean codebase guarantee. Zero third-party ad tracking SDKs, zero spyware, zero telemetry leaks. Open for Ethio Telecom source code auditing.</w:t>
            </w:r>
          </w:p>
        </w:tc>
      </w:tr>
      <w:tr>
        <w:tc>
          <w:tcPr>
            <w:tcW w:type="dxa" w:w="864"/>
            <w:tcMar>
              <w:top w:w="100" w:type="dxa"/>
              <w:bottom w:w="100" w:type="dxa"/>
              <w:left w:w="140" w:type="dxa"/>
              <w:right w:w="140" w:type="dxa"/>
            </w:tcMar>
          </w:tcPr>
          <w:p>
            <w:pPr>
              <w:spacing w:before="0" w:after="0" w:line="276" w:lineRule="auto"/>
              <w:jc w:val="left"/>
            </w:pPr>
            <w:r>
              <w:rPr>
                <w:rFonts w:ascii="Arial" w:hAnsi="Arial"/>
                <w:color w:val="1E293B"/>
                <w:sz w:val="18"/>
              </w:rPr>
              <w:t>GP3.1</w:t>
            </w:r>
          </w:p>
        </w:tc>
        <w:tc>
          <w:tcPr>
            <w:tcW w:type="dxa" w:w="3312"/>
            <w:tcMar>
              <w:top w:w="100" w:type="dxa"/>
              <w:bottom w:w="100" w:type="dxa"/>
              <w:left w:w="140" w:type="dxa"/>
              <w:right w:w="140" w:type="dxa"/>
            </w:tcMar>
          </w:tcPr>
          <w:p>
            <w:pPr>
              <w:spacing w:before="0" w:after="0" w:line="276" w:lineRule="auto"/>
              <w:jc w:val="left"/>
            </w:pPr>
            <w:r>
              <w:rPr>
                <w:rFonts w:ascii="Arial" w:hAnsi="Arial"/>
                <w:color w:val="1E293B"/>
                <w:sz w:val="18"/>
              </w:rPr>
              <w:t>Providers must ensure all user data is encrypted in transit (TLS 1.3 or higher).</w:t>
            </w:r>
          </w:p>
        </w:tc>
        <w:tc>
          <w:tcPr>
            <w:tcW w:type="dxa" w:w="1152"/>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tcMar>
              <w:top w:w="100" w:type="dxa"/>
              <w:bottom w:w="100" w:type="dxa"/>
              <w:left w:w="140" w:type="dxa"/>
              <w:right w:w="140" w:type="dxa"/>
            </w:tcMar>
          </w:tcPr>
          <w:p>
            <w:pPr>
              <w:spacing w:before="0" w:after="0" w:line="276" w:lineRule="auto"/>
              <w:jc w:val="left"/>
            </w:pPr>
            <w:r>
              <w:rPr>
                <w:rFonts w:ascii="Arial" w:hAnsi="Arial"/>
                <w:color w:val="1E293B"/>
                <w:sz w:val="18"/>
              </w:rPr>
              <w:t>Fully compliant. Strict TLS 1.3 encryption across all client-to-server and backend endpoints with modern cipher suites (ECDHE-ECDSA-AES256-GCM) and HSTS.</w:t>
            </w:r>
          </w:p>
        </w:tc>
      </w:tr>
      <w:tr>
        <w:tc>
          <w:tcPr>
            <w:tcW w:type="dxa" w:w="864"/>
            <w:shd w:fill="F8FAFC"/>
            <w:tcMar>
              <w:top w:w="100" w:type="dxa"/>
              <w:bottom w:w="100" w:type="dxa"/>
              <w:left w:w="140" w:type="dxa"/>
              <w:right w:w="140" w:type="dxa"/>
            </w:tcMar>
          </w:tcPr>
          <w:p>
            <w:pPr>
              <w:spacing w:before="0" w:after="0" w:line="276" w:lineRule="auto"/>
              <w:jc w:val="left"/>
            </w:pPr>
            <w:r>
              <w:rPr>
                <w:rFonts w:ascii="Arial" w:hAnsi="Arial"/>
                <w:color w:val="1E293B"/>
                <w:sz w:val="18"/>
              </w:rPr>
              <w:t>GP3.2</w:t>
            </w:r>
          </w:p>
        </w:tc>
        <w:tc>
          <w:tcPr>
            <w:tcW w:type="dxa" w:w="3312"/>
            <w:shd w:fill="F8FAFC"/>
            <w:tcMar>
              <w:top w:w="100" w:type="dxa"/>
              <w:bottom w:w="100" w:type="dxa"/>
              <w:left w:w="140" w:type="dxa"/>
              <w:right w:w="140" w:type="dxa"/>
            </w:tcMar>
          </w:tcPr>
          <w:p>
            <w:pPr>
              <w:spacing w:before="0" w:after="0" w:line="276" w:lineRule="auto"/>
              <w:jc w:val="left"/>
            </w:pPr>
            <w:r>
              <w:rPr>
                <w:rFonts w:ascii="Arial" w:hAnsi="Arial"/>
                <w:color w:val="1E293B"/>
                <w:sz w:val="18"/>
              </w:rPr>
              <w:t>Games must not store sensitive payment data (PIN, CVV, full card details).</w:t>
            </w:r>
          </w:p>
        </w:tc>
        <w:tc>
          <w:tcPr>
            <w:tcW w:type="dxa" w:w="1152"/>
            <w:shd w:fill="F8FAFC"/>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shd w:fill="F8FAFC"/>
            <w:tcMar>
              <w:top w:w="100" w:type="dxa"/>
              <w:bottom w:w="100" w:type="dxa"/>
              <w:left w:w="140" w:type="dxa"/>
              <w:right w:w="140" w:type="dxa"/>
            </w:tcMar>
          </w:tcPr>
          <w:p>
            <w:pPr>
              <w:spacing w:before="0" w:after="0" w:line="276" w:lineRule="auto"/>
              <w:jc w:val="left"/>
            </w:pPr>
            <w:r>
              <w:rPr>
                <w:rFonts w:ascii="Arial" w:hAnsi="Arial"/>
                <w:color w:val="1E293B"/>
                <w:sz w:val="18"/>
              </w:rPr>
              <w:t>Fully compliant. Zero financial credential storage. All billing is processed directly by telebirr. The platform stores only internal order IDs and masked tokens.</w:t>
            </w:r>
          </w:p>
        </w:tc>
      </w:tr>
      <w:tr>
        <w:tc>
          <w:tcPr>
            <w:tcW w:type="dxa" w:w="864"/>
            <w:tcMar>
              <w:top w:w="100" w:type="dxa"/>
              <w:bottom w:w="100" w:type="dxa"/>
              <w:left w:w="140" w:type="dxa"/>
              <w:right w:w="140" w:type="dxa"/>
            </w:tcMar>
          </w:tcPr>
          <w:p>
            <w:pPr>
              <w:spacing w:before="0" w:after="0" w:line="276" w:lineRule="auto"/>
              <w:jc w:val="left"/>
            </w:pPr>
            <w:r>
              <w:rPr>
                <w:rFonts w:ascii="Arial" w:hAnsi="Arial"/>
                <w:color w:val="1E293B"/>
                <w:sz w:val="18"/>
              </w:rPr>
              <w:t>GP3.3</w:t>
            </w:r>
          </w:p>
        </w:tc>
        <w:tc>
          <w:tcPr>
            <w:tcW w:type="dxa" w:w="3312"/>
            <w:tcMar>
              <w:top w:w="100" w:type="dxa"/>
              <w:bottom w:w="100" w:type="dxa"/>
              <w:left w:w="140" w:type="dxa"/>
              <w:right w:w="140" w:type="dxa"/>
            </w:tcMar>
          </w:tcPr>
          <w:p>
            <w:pPr>
              <w:spacing w:before="0" w:after="0" w:line="276" w:lineRule="auto"/>
              <w:jc w:val="left"/>
            </w:pPr>
            <w:r>
              <w:rPr>
                <w:rFonts w:ascii="Arial" w:hAnsi="Arial"/>
                <w:color w:val="1E293B"/>
                <w:sz w:val="18"/>
              </w:rPr>
              <w:t>Providers must comply with Ethio Telecom privacy policy &amp; obtain explicit user consent.</w:t>
            </w:r>
          </w:p>
        </w:tc>
        <w:tc>
          <w:tcPr>
            <w:tcW w:type="dxa" w:w="1152"/>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tcMar>
              <w:top w:w="100" w:type="dxa"/>
              <w:bottom w:w="100" w:type="dxa"/>
              <w:left w:w="140" w:type="dxa"/>
              <w:right w:w="140" w:type="dxa"/>
            </w:tcMar>
          </w:tcPr>
          <w:p>
            <w:pPr>
              <w:spacing w:before="0" w:after="0" w:line="276" w:lineRule="auto"/>
              <w:jc w:val="left"/>
            </w:pPr>
            <w:r>
              <w:rPr>
                <w:rFonts w:ascii="Arial" w:hAnsi="Arial"/>
                <w:color w:val="1E293B"/>
                <w:sz w:val="18"/>
              </w:rPr>
              <w:t>Fully compliant. Explicit opt-in consent screens displayed during onboarding. Complete adherence to Ethio Telecom privacy and consumer protection policies.</w:t>
            </w:r>
          </w:p>
        </w:tc>
      </w:tr>
      <w:tr>
        <w:tc>
          <w:tcPr>
            <w:tcW w:type="dxa" w:w="864"/>
            <w:shd w:fill="F8FAFC"/>
            <w:tcMar>
              <w:top w:w="100" w:type="dxa"/>
              <w:bottom w:w="100" w:type="dxa"/>
              <w:left w:w="140" w:type="dxa"/>
              <w:right w:w="140" w:type="dxa"/>
            </w:tcMar>
          </w:tcPr>
          <w:p>
            <w:pPr>
              <w:spacing w:before="0" w:after="0" w:line="276" w:lineRule="auto"/>
              <w:jc w:val="left"/>
            </w:pPr>
            <w:r>
              <w:rPr>
                <w:rFonts w:ascii="Arial" w:hAnsi="Arial"/>
                <w:color w:val="1E293B"/>
                <w:sz w:val="18"/>
              </w:rPr>
              <w:t>GP3.4</w:t>
            </w:r>
          </w:p>
        </w:tc>
        <w:tc>
          <w:tcPr>
            <w:tcW w:type="dxa" w:w="3312"/>
            <w:shd w:fill="F8FAFC"/>
            <w:tcMar>
              <w:top w:w="100" w:type="dxa"/>
              <w:bottom w:w="100" w:type="dxa"/>
              <w:left w:w="140" w:type="dxa"/>
              <w:right w:w="140" w:type="dxa"/>
            </w:tcMar>
          </w:tcPr>
          <w:p>
            <w:pPr>
              <w:spacing w:before="0" w:after="0" w:line="276" w:lineRule="auto"/>
              <w:jc w:val="left"/>
            </w:pPr>
            <w:r>
              <w:rPr>
                <w:rFonts w:ascii="Arial" w:hAnsi="Arial"/>
                <w:color w:val="1E293B"/>
                <w:sz w:val="18"/>
              </w:rPr>
              <w:t>Providers must implement parental controls and age-appropriate content classification.</w:t>
            </w:r>
          </w:p>
        </w:tc>
        <w:tc>
          <w:tcPr>
            <w:tcW w:type="dxa" w:w="1152"/>
            <w:shd w:fill="F8FAFC"/>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shd w:fill="F8FAFC"/>
            <w:tcMar>
              <w:top w:w="100" w:type="dxa"/>
              <w:bottom w:w="100" w:type="dxa"/>
              <w:left w:w="140" w:type="dxa"/>
              <w:right w:w="140" w:type="dxa"/>
            </w:tcMar>
          </w:tcPr>
          <w:p>
            <w:pPr>
              <w:spacing w:before="0" w:after="0" w:line="276" w:lineRule="auto"/>
              <w:jc w:val="left"/>
            </w:pPr>
            <w:r>
              <w:rPr>
                <w:rFonts w:ascii="Arial" w:hAnsi="Arial"/>
                <w:color w:val="1E293B"/>
                <w:sz w:val="18"/>
              </w:rPr>
              <w:t>Fully compliant. Built-in parental playtime limits and spending caps. All games strictly rated family-friendly (PEGI 3 / ESRB Everyone).</w:t>
            </w:r>
          </w:p>
        </w:tc>
      </w:tr>
      <w:tr>
        <w:tc>
          <w:tcPr>
            <w:tcW w:type="dxa" w:w="864"/>
            <w:tcMar>
              <w:top w:w="100" w:type="dxa"/>
              <w:bottom w:w="100" w:type="dxa"/>
              <w:left w:w="140" w:type="dxa"/>
              <w:right w:w="140" w:type="dxa"/>
            </w:tcMar>
          </w:tcPr>
          <w:p>
            <w:pPr>
              <w:spacing w:before="0" w:after="0" w:line="276" w:lineRule="auto"/>
              <w:jc w:val="left"/>
            </w:pPr>
            <w:r>
              <w:rPr>
                <w:rFonts w:ascii="Arial" w:hAnsi="Arial"/>
                <w:color w:val="1E293B"/>
                <w:sz w:val="18"/>
              </w:rPr>
              <w:t>GP4.1</w:t>
            </w:r>
          </w:p>
        </w:tc>
        <w:tc>
          <w:tcPr>
            <w:tcW w:type="dxa" w:w="3312"/>
            <w:tcMar>
              <w:top w:w="100" w:type="dxa"/>
              <w:bottom w:w="100" w:type="dxa"/>
              <w:left w:w="140" w:type="dxa"/>
              <w:right w:w="140" w:type="dxa"/>
            </w:tcMar>
          </w:tcPr>
          <w:p>
            <w:pPr>
              <w:spacing w:before="0" w:after="0" w:line="276" w:lineRule="auto"/>
              <w:jc w:val="left"/>
            </w:pPr>
            <w:r>
              <w:rPr>
                <w:rFonts w:ascii="Arial" w:hAnsi="Arial"/>
                <w:color w:val="1E293B"/>
                <w:sz w:val="18"/>
              </w:rPr>
              <w:t>All integrations with telebirr APIs must use secure authentication (OAuth 2.0/OpenID).</w:t>
            </w:r>
          </w:p>
        </w:tc>
        <w:tc>
          <w:tcPr>
            <w:tcW w:type="dxa" w:w="1152"/>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tcMar>
              <w:top w:w="100" w:type="dxa"/>
              <w:bottom w:w="100" w:type="dxa"/>
              <w:left w:w="140" w:type="dxa"/>
              <w:right w:w="140" w:type="dxa"/>
            </w:tcMar>
          </w:tcPr>
          <w:p>
            <w:pPr>
              <w:spacing w:before="0" w:after="0" w:line="276" w:lineRule="auto"/>
              <w:jc w:val="left"/>
            </w:pPr>
            <w:r>
              <w:rPr>
                <w:rFonts w:ascii="Arial" w:hAnsi="Arial"/>
                <w:color w:val="1E293B"/>
                <w:sz w:val="18"/>
              </w:rPr>
              <w:t>Fully compliant. All API exchanges utilize OAuth 2.0 / OpenID Connect token authentication with cryptographically signed short-lived JWTs and mTLS.</w:t>
            </w:r>
          </w:p>
        </w:tc>
      </w:tr>
      <w:tr>
        <w:tc>
          <w:tcPr>
            <w:tcW w:type="dxa" w:w="864"/>
            <w:shd w:fill="F8FAFC"/>
            <w:tcMar>
              <w:top w:w="100" w:type="dxa"/>
              <w:bottom w:w="100" w:type="dxa"/>
              <w:left w:w="140" w:type="dxa"/>
              <w:right w:w="140" w:type="dxa"/>
            </w:tcMar>
          </w:tcPr>
          <w:p>
            <w:pPr>
              <w:spacing w:before="0" w:after="0" w:line="276" w:lineRule="auto"/>
              <w:jc w:val="left"/>
            </w:pPr>
            <w:r>
              <w:rPr>
                <w:rFonts w:ascii="Arial" w:hAnsi="Arial"/>
                <w:color w:val="1E293B"/>
                <w:sz w:val="18"/>
              </w:rPr>
              <w:t>GP4.2</w:t>
            </w:r>
          </w:p>
        </w:tc>
        <w:tc>
          <w:tcPr>
            <w:tcW w:type="dxa" w:w="3312"/>
            <w:shd w:fill="F8FAFC"/>
            <w:tcMar>
              <w:top w:w="100" w:type="dxa"/>
              <w:bottom w:w="100" w:type="dxa"/>
              <w:left w:w="140" w:type="dxa"/>
              <w:right w:w="140" w:type="dxa"/>
            </w:tcMar>
          </w:tcPr>
          <w:p>
            <w:pPr>
              <w:spacing w:before="0" w:after="0" w:line="276" w:lineRule="auto"/>
              <w:jc w:val="left"/>
            </w:pPr>
            <w:r>
              <w:rPr>
                <w:rFonts w:ascii="Arial" w:hAnsi="Arial"/>
                <w:color w:val="1E293B"/>
                <w:sz w:val="18"/>
              </w:rPr>
              <w:t>Providers must not expose unnecessary APIs or services to the public.</w:t>
            </w:r>
          </w:p>
        </w:tc>
        <w:tc>
          <w:tcPr>
            <w:tcW w:type="dxa" w:w="1152"/>
            <w:shd w:fill="F8FAFC"/>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shd w:fill="F8FAFC"/>
            <w:tcMar>
              <w:top w:w="100" w:type="dxa"/>
              <w:bottom w:w="100" w:type="dxa"/>
              <w:left w:w="140" w:type="dxa"/>
              <w:right w:w="140" w:type="dxa"/>
            </w:tcMar>
          </w:tcPr>
          <w:p>
            <w:pPr>
              <w:spacing w:before="0" w:after="0" w:line="276" w:lineRule="auto"/>
              <w:jc w:val="left"/>
            </w:pPr>
            <w:r>
              <w:rPr>
                <w:rFonts w:ascii="Arial" w:hAnsi="Arial"/>
                <w:color w:val="1E293B"/>
                <w:sz w:val="18"/>
              </w:rPr>
              <w:t>Fully compliant. Strict API perimeter isolation. Public access limited to authenticated endpoints via reverse proxy with strict Fastify rate limiting.</w:t>
            </w:r>
          </w:p>
        </w:tc>
      </w:tr>
      <w:tr>
        <w:tc>
          <w:tcPr>
            <w:tcW w:type="dxa" w:w="864"/>
            <w:tcMar>
              <w:top w:w="100" w:type="dxa"/>
              <w:bottom w:w="100" w:type="dxa"/>
              <w:left w:w="140" w:type="dxa"/>
              <w:right w:w="140" w:type="dxa"/>
            </w:tcMar>
          </w:tcPr>
          <w:p>
            <w:pPr>
              <w:spacing w:before="0" w:after="0" w:line="276" w:lineRule="auto"/>
              <w:jc w:val="left"/>
            </w:pPr>
            <w:r>
              <w:rPr>
                <w:rFonts w:ascii="Arial" w:hAnsi="Arial"/>
                <w:color w:val="1E293B"/>
                <w:sz w:val="18"/>
              </w:rPr>
              <w:t>GP5.1</w:t>
            </w:r>
          </w:p>
        </w:tc>
        <w:tc>
          <w:tcPr>
            <w:tcW w:type="dxa" w:w="3312"/>
            <w:tcMar>
              <w:top w:w="100" w:type="dxa"/>
              <w:bottom w:w="100" w:type="dxa"/>
              <w:left w:w="140" w:type="dxa"/>
              <w:right w:w="140" w:type="dxa"/>
            </w:tcMar>
          </w:tcPr>
          <w:p>
            <w:pPr>
              <w:spacing w:before="0" w:after="0" w:line="276" w:lineRule="auto"/>
              <w:jc w:val="left"/>
            </w:pPr>
            <w:r>
              <w:rPr>
                <w:rFonts w:ascii="Arial" w:hAnsi="Arial"/>
                <w:color w:val="1E293B"/>
                <w:sz w:val="18"/>
              </w:rPr>
              <w:t>All transactions must be processed via telebirr secure payment APIs only.</w:t>
            </w:r>
          </w:p>
        </w:tc>
        <w:tc>
          <w:tcPr>
            <w:tcW w:type="dxa" w:w="1152"/>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tcMar>
              <w:top w:w="100" w:type="dxa"/>
              <w:bottom w:w="100" w:type="dxa"/>
              <w:left w:w="140" w:type="dxa"/>
              <w:right w:w="140" w:type="dxa"/>
            </w:tcMar>
          </w:tcPr>
          <w:p>
            <w:pPr>
              <w:spacing w:before="0" w:after="0" w:line="276" w:lineRule="auto"/>
              <w:jc w:val="left"/>
            </w:pPr>
            <w:r>
              <w:rPr>
                <w:rFonts w:ascii="Arial" w:hAnsi="Arial"/>
                <w:color w:val="1E293B"/>
                <w:sz w:val="18"/>
              </w:rPr>
              <w:t>Fully compliant. telebirr is the exclusive payment channel. No third-party gateways, credit cards, or alternative wallets are implemented or permitted.</w:t>
            </w:r>
          </w:p>
        </w:tc>
      </w:tr>
      <w:tr>
        <w:tc>
          <w:tcPr>
            <w:tcW w:type="dxa" w:w="864"/>
            <w:shd w:fill="F8FAFC"/>
            <w:tcMar>
              <w:top w:w="100" w:type="dxa"/>
              <w:bottom w:w="100" w:type="dxa"/>
              <w:left w:w="140" w:type="dxa"/>
              <w:right w:w="140" w:type="dxa"/>
            </w:tcMar>
          </w:tcPr>
          <w:p>
            <w:pPr>
              <w:spacing w:before="0" w:after="0" w:line="276" w:lineRule="auto"/>
              <w:jc w:val="left"/>
            </w:pPr>
            <w:r>
              <w:rPr>
                <w:rFonts w:ascii="Arial" w:hAnsi="Arial"/>
                <w:color w:val="1E293B"/>
                <w:sz w:val="18"/>
              </w:rPr>
              <w:t>GP6.1</w:t>
            </w:r>
          </w:p>
        </w:tc>
        <w:tc>
          <w:tcPr>
            <w:tcW w:type="dxa" w:w="3312"/>
            <w:shd w:fill="F8FAFC"/>
            <w:tcMar>
              <w:top w:w="100" w:type="dxa"/>
              <w:bottom w:w="100" w:type="dxa"/>
              <w:left w:w="140" w:type="dxa"/>
              <w:right w:w="140" w:type="dxa"/>
            </w:tcMar>
          </w:tcPr>
          <w:p>
            <w:pPr>
              <w:spacing w:before="0" w:after="0" w:line="276" w:lineRule="auto"/>
              <w:jc w:val="left"/>
            </w:pPr>
            <w:r>
              <w:rPr>
                <w:rFonts w:ascii="Arial" w:hAnsi="Arial"/>
                <w:color w:val="1E293B"/>
                <w:sz w:val="18"/>
              </w:rPr>
              <w:t>Games hosted on partner environment must comply with certified secure hosting standards.</w:t>
            </w:r>
          </w:p>
        </w:tc>
        <w:tc>
          <w:tcPr>
            <w:tcW w:type="dxa" w:w="1152"/>
            <w:shd w:fill="F8FAFC"/>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shd w:fill="F8FAFC"/>
            <w:tcMar>
              <w:top w:w="100" w:type="dxa"/>
              <w:bottom w:w="100" w:type="dxa"/>
              <w:left w:w="140" w:type="dxa"/>
              <w:right w:w="140" w:type="dxa"/>
            </w:tcMar>
          </w:tcPr>
          <w:p>
            <w:pPr>
              <w:spacing w:before="0" w:after="0" w:line="276" w:lineRule="auto"/>
              <w:jc w:val="left"/>
            </w:pPr>
            <w:r>
              <w:rPr>
                <w:rFonts w:ascii="Arial" w:hAnsi="Arial"/>
                <w:color w:val="1E293B"/>
                <w:sz w:val="18"/>
              </w:rPr>
              <w:t>Fully compliant. Hosted in ISO 27001, SOC 2 Type II, and PCI-DSS certified cloud facilities. Option to deploy on on-premise Ethio Telecom cloud nodes.</w:t>
            </w:r>
          </w:p>
        </w:tc>
      </w:tr>
      <w:tr>
        <w:tc>
          <w:tcPr>
            <w:tcW w:type="dxa" w:w="864"/>
            <w:tcMar>
              <w:top w:w="100" w:type="dxa"/>
              <w:bottom w:w="100" w:type="dxa"/>
              <w:left w:w="140" w:type="dxa"/>
              <w:right w:w="140" w:type="dxa"/>
            </w:tcMar>
          </w:tcPr>
          <w:p>
            <w:pPr>
              <w:spacing w:before="0" w:after="0" w:line="276" w:lineRule="auto"/>
              <w:jc w:val="left"/>
            </w:pPr>
            <w:r>
              <w:rPr>
                <w:rFonts w:ascii="Arial" w:hAnsi="Arial"/>
                <w:color w:val="1E293B"/>
                <w:sz w:val="18"/>
              </w:rPr>
              <w:t>GP6.2</w:t>
            </w:r>
          </w:p>
        </w:tc>
        <w:tc>
          <w:tcPr>
            <w:tcW w:type="dxa" w:w="3312"/>
            <w:tcMar>
              <w:top w:w="100" w:type="dxa"/>
              <w:bottom w:w="100" w:type="dxa"/>
              <w:left w:w="140" w:type="dxa"/>
              <w:right w:w="140" w:type="dxa"/>
            </w:tcMar>
          </w:tcPr>
          <w:p>
            <w:pPr>
              <w:spacing w:before="0" w:after="0" w:line="276" w:lineRule="auto"/>
              <w:jc w:val="left"/>
            </w:pPr>
            <w:r>
              <w:rPr>
                <w:rFonts w:ascii="Arial" w:hAnsi="Arial"/>
                <w:color w:val="1E293B"/>
                <w:sz w:val="18"/>
              </w:rPr>
              <w:t>Providers must implement regular patching, vulnerability scans, and malware protection.</w:t>
            </w:r>
          </w:p>
        </w:tc>
        <w:tc>
          <w:tcPr>
            <w:tcW w:type="dxa" w:w="1152"/>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tcMar>
              <w:top w:w="100" w:type="dxa"/>
              <w:bottom w:w="100" w:type="dxa"/>
              <w:left w:w="140" w:type="dxa"/>
              <w:right w:w="140" w:type="dxa"/>
            </w:tcMar>
          </w:tcPr>
          <w:p>
            <w:pPr>
              <w:spacing w:before="0" w:after="0" w:line="276" w:lineRule="auto"/>
              <w:jc w:val="left"/>
            </w:pPr>
            <w:r>
              <w:rPr>
                <w:rFonts w:ascii="Arial" w:hAnsi="Arial"/>
                <w:color w:val="1E293B"/>
                <w:sz w:val="18"/>
              </w:rPr>
              <w:t>Fully compliant. Weekly automated vulnerability scanning, monthly OS patching cycles, automated Dependabot security updates, and active host intrusion monitoring.</w:t>
            </w:r>
          </w:p>
        </w:tc>
      </w:tr>
      <w:tr>
        <w:tc>
          <w:tcPr>
            <w:tcW w:type="dxa" w:w="864"/>
            <w:shd w:fill="F8FAFC"/>
            <w:tcMar>
              <w:top w:w="100" w:type="dxa"/>
              <w:bottom w:w="100" w:type="dxa"/>
              <w:left w:w="140" w:type="dxa"/>
              <w:right w:w="140" w:type="dxa"/>
            </w:tcMar>
          </w:tcPr>
          <w:p>
            <w:pPr>
              <w:spacing w:before="0" w:after="0" w:line="276" w:lineRule="auto"/>
              <w:jc w:val="left"/>
            </w:pPr>
            <w:r>
              <w:rPr>
                <w:rFonts w:ascii="Arial" w:hAnsi="Arial"/>
                <w:color w:val="1E293B"/>
                <w:sz w:val="18"/>
              </w:rPr>
              <w:t>GP6.3</w:t>
            </w:r>
          </w:p>
        </w:tc>
        <w:tc>
          <w:tcPr>
            <w:tcW w:type="dxa" w:w="3312"/>
            <w:shd w:fill="F8FAFC"/>
            <w:tcMar>
              <w:top w:w="100" w:type="dxa"/>
              <w:bottom w:w="100" w:type="dxa"/>
              <w:left w:w="140" w:type="dxa"/>
              <w:right w:w="140" w:type="dxa"/>
            </w:tcMar>
          </w:tcPr>
          <w:p>
            <w:pPr>
              <w:spacing w:before="0" w:after="0" w:line="276" w:lineRule="auto"/>
              <w:jc w:val="left"/>
            </w:pPr>
            <w:r>
              <w:rPr>
                <w:rFonts w:ascii="Arial" w:hAnsi="Arial"/>
                <w:color w:val="1E293B"/>
                <w:sz w:val="18"/>
              </w:rPr>
              <w:t>Providers must enforce DDoS protection and secure hosting configuration.</w:t>
            </w:r>
          </w:p>
        </w:tc>
        <w:tc>
          <w:tcPr>
            <w:tcW w:type="dxa" w:w="1152"/>
            <w:shd w:fill="F8FAFC"/>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shd w:fill="F8FAFC"/>
            <w:tcMar>
              <w:top w:w="100" w:type="dxa"/>
              <w:bottom w:w="100" w:type="dxa"/>
              <w:left w:w="140" w:type="dxa"/>
              <w:right w:w="140" w:type="dxa"/>
            </w:tcMar>
          </w:tcPr>
          <w:p>
            <w:pPr>
              <w:spacing w:before="0" w:after="0" w:line="276" w:lineRule="auto"/>
              <w:jc w:val="left"/>
            </w:pPr>
            <w:r>
              <w:rPr>
                <w:rFonts w:ascii="Arial" w:hAnsi="Arial"/>
                <w:color w:val="1E293B"/>
                <w:sz w:val="18"/>
              </w:rPr>
              <w:t>Fully compliant. Enterprise Cloudflare and AWS Shield DDoS mitigation buffering against Layer 3, 4, and 7 volumetric attacks, coupled with Web Application Firewall (WAF).</w:t>
            </w:r>
          </w:p>
        </w:tc>
      </w:tr>
      <w:tr>
        <w:tc>
          <w:tcPr>
            <w:tcW w:type="dxa" w:w="864"/>
            <w:tcMar>
              <w:top w:w="100" w:type="dxa"/>
              <w:bottom w:w="100" w:type="dxa"/>
              <w:left w:w="140" w:type="dxa"/>
              <w:right w:w="140" w:type="dxa"/>
            </w:tcMar>
          </w:tcPr>
          <w:p>
            <w:pPr>
              <w:spacing w:before="0" w:after="0" w:line="276" w:lineRule="auto"/>
              <w:jc w:val="left"/>
            </w:pPr>
            <w:r>
              <w:rPr>
                <w:rFonts w:ascii="Arial" w:hAnsi="Arial"/>
                <w:color w:val="1E293B"/>
                <w:sz w:val="18"/>
              </w:rPr>
              <w:t>GP7.1</w:t>
            </w:r>
          </w:p>
        </w:tc>
        <w:tc>
          <w:tcPr>
            <w:tcW w:type="dxa" w:w="3312"/>
            <w:tcMar>
              <w:top w:w="100" w:type="dxa"/>
              <w:bottom w:w="100" w:type="dxa"/>
              <w:left w:w="140" w:type="dxa"/>
              <w:right w:w="140" w:type="dxa"/>
            </w:tcMar>
          </w:tcPr>
          <w:p>
            <w:pPr>
              <w:spacing w:before="0" w:after="0" w:line="276" w:lineRule="auto"/>
              <w:jc w:val="left"/>
            </w:pPr>
            <w:r>
              <w:rPr>
                <w:rFonts w:ascii="Arial" w:hAnsi="Arial"/>
                <w:color w:val="1E293B"/>
                <w:sz w:val="18"/>
              </w:rPr>
              <w:t>Providers must log all security and transaction events for audit purposes.</w:t>
            </w:r>
          </w:p>
        </w:tc>
        <w:tc>
          <w:tcPr>
            <w:tcW w:type="dxa" w:w="1152"/>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tcMar>
              <w:top w:w="100" w:type="dxa"/>
              <w:bottom w:w="100" w:type="dxa"/>
              <w:left w:w="140" w:type="dxa"/>
              <w:right w:w="140" w:type="dxa"/>
            </w:tcMar>
          </w:tcPr>
          <w:p>
            <w:pPr>
              <w:spacing w:before="0" w:after="0" w:line="276" w:lineRule="auto"/>
              <w:jc w:val="left"/>
            </w:pPr>
            <w:r>
              <w:rPr>
                <w:rFonts w:ascii="Arial" w:hAnsi="Arial"/>
                <w:color w:val="1E293B"/>
                <w:sz w:val="18"/>
              </w:rPr>
              <w:t>Fully compliant. Comprehensive structured JSON logging via Pino covering all authentication, payment, and administrative events with masked MSISDNs.</w:t>
            </w:r>
          </w:p>
        </w:tc>
      </w:tr>
      <w:tr>
        <w:tc>
          <w:tcPr>
            <w:tcW w:type="dxa" w:w="864"/>
            <w:shd w:fill="F8FAFC"/>
            <w:tcMar>
              <w:top w:w="100" w:type="dxa"/>
              <w:bottom w:w="100" w:type="dxa"/>
              <w:left w:w="140" w:type="dxa"/>
              <w:right w:w="140" w:type="dxa"/>
            </w:tcMar>
          </w:tcPr>
          <w:p>
            <w:pPr>
              <w:spacing w:before="0" w:after="0" w:line="276" w:lineRule="auto"/>
              <w:jc w:val="left"/>
            </w:pPr>
            <w:r>
              <w:rPr>
                <w:rFonts w:ascii="Arial" w:hAnsi="Arial"/>
                <w:color w:val="1E293B"/>
                <w:sz w:val="18"/>
              </w:rPr>
              <w:t>GP7.2</w:t>
            </w:r>
          </w:p>
        </w:tc>
        <w:tc>
          <w:tcPr>
            <w:tcW w:type="dxa" w:w="3312"/>
            <w:shd w:fill="F8FAFC"/>
            <w:tcMar>
              <w:top w:w="100" w:type="dxa"/>
              <w:bottom w:w="100" w:type="dxa"/>
              <w:left w:w="140" w:type="dxa"/>
              <w:right w:w="140" w:type="dxa"/>
            </w:tcMar>
          </w:tcPr>
          <w:p>
            <w:pPr>
              <w:spacing w:before="0" w:after="0" w:line="276" w:lineRule="auto"/>
              <w:jc w:val="left"/>
            </w:pPr>
            <w:r>
              <w:rPr>
                <w:rFonts w:ascii="Arial" w:hAnsi="Arial"/>
                <w:color w:val="1E293B"/>
                <w:sz w:val="18"/>
              </w:rPr>
              <w:t>Providers must have defined incident response plan and notify Ethio Telecom within 24h.</w:t>
            </w:r>
          </w:p>
        </w:tc>
        <w:tc>
          <w:tcPr>
            <w:tcW w:type="dxa" w:w="1152"/>
            <w:shd w:fill="F8FAFC"/>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shd w:fill="F8FAFC"/>
            <w:tcMar>
              <w:top w:w="100" w:type="dxa"/>
              <w:bottom w:w="100" w:type="dxa"/>
              <w:left w:w="140" w:type="dxa"/>
              <w:right w:w="140" w:type="dxa"/>
            </w:tcMar>
          </w:tcPr>
          <w:p>
            <w:pPr>
              <w:spacing w:before="0" w:after="0" w:line="276" w:lineRule="auto"/>
              <w:jc w:val="left"/>
            </w:pPr>
            <w:r>
              <w:rPr>
                <w:rFonts w:ascii="Arial" w:hAnsi="Arial"/>
                <w:color w:val="1E293B"/>
                <w:sz w:val="18"/>
              </w:rPr>
              <w:t>Fully compliant. 24/7 Security Operations Center (SOC) protocol. Formal contractual commitment to notify Ethio Telecom's CISO within 24 hours of any security incident.</w:t>
            </w:r>
          </w:p>
        </w:tc>
      </w:tr>
      <w:tr>
        <w:tc>
          <w:tcPr>
            <w:tcW w:type="dxa" w:w="864"/>
            <w:tcMar>
              <w:top w:w="100" w:type="dxa"/>
              <w:bottom w:w="100" w:type="dxa"/>
              <w:left w:w="140" w:type="dxa"/>
              <w:right w:w="140" w:type="dxa"/>
            </w:tcMar>
          </w:tcPr>
          <w:p>
            <w:pPr>
              <w:spacing w:before="0" w:after="0" w:line="276" w:lineRule="auto"/>
              <w:jc w:val="left"/>
            </w:pPr>
            <w:r>
              <w:rPr>
                <w:rFonts w:ascii="Arial" w:hAnsi="Arial"/>
                <w:color w:val="1E293B"/>
                <w:sz w:val="18"/>
              </w:rPr>
              <w:t>GP7.3</w:t>
            </w:r>
          </w:p>
        </w:tc>
        <w:tc>
          <w:tcPr>
            <w:tcW w:type="dxa" w:w="3312"/>
            <w:tcMar>
              <w:top w:w="100" w:type="dxa"/>
              <w:bottom w:w="100" w:type="dxa"/>
              <w:left w:w="140" w:type="dxa"/>
              <w:right w:w="140" w:type="dxa"/>
            </w:tcMar>
          </w:tcPr>
          <w:p>
            <w:pPr>
              <w:spacing w:before="0" w:after="0" w:line="276" w:lineRule="auto"/>
              <w:jc w:val="left"/>
            </w:pPr>
            <w:r>
              <w:rPr>
                <w:rFonts w:ascii="Arial" w:hAnsi="Arial"/>
                <w:color w:val="1E293B"/>
                <w:sz w:val="18"/>
              </w:rPr>
              <w:t>Logs must be tamper-resistant and retained as per Ethio Telecom policy.</w:t>
            </w:r>
          </w:p>
        </w:tc>
        <w:tc>
          <w:tcPr>
            <w:tcW w:type="dxa" w:w="1152"/>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tcMar>
              <w:top w:w="100" w:type="dxa"/>
              <w:bottom w:w="100" w:type="dxa"/>
              <w:left w:w="140" w:type="dxa"/>
              <w:right w:w="140" w:type="dxa"/>
            </w:tcMar>
          </w:tcPr>
          <w:p>
            <w:pPr>
              <w:spacing w:before="0" w:after="0" w:line="276" w:lineRule="auto"/>
              <w:jc w:val="left"/>
            </w:pPr>
            <w:r>
              <w:rPr>
                <w:rFonts w:ascii="Arial" w:hAnsi="Arial"/>
                <w:color w:val="1E293B"/>
                <w:sz w:val="18"/>
              </w:rPr>
              <w:t>Fully compliant. Logs forwarded via encrypted syslog to write-once-read-many (WORM) cloud storage with cryptographic hashing, retained for 12 months.</w:t>
            </w:r>
          </w:p>
        </w:tc>
      </w:tr>
      <w:tr>
        <w:tc>
          <w:tcPr>
            <w:tcW w:type="dxa" w:w="864"/>
            <w:shd w:fill="F8FAFC"/>
            <w:tcMar>
              <w:top w:w="100" w:type="dxa"/>
              <w:bottom w:w="100" w:type="dxa"/>
              <w:left w:w="140" w:type="dxa"/>
              <w:right w:w="140" w:type="dxa"/>
            </w:tcMar>
          </w:tcPr>
          <w:p>
            <w:pPr>
              <w:spacing w:before="0" w:after="0" w:line="276" w:lineRule="auto"/>
              <w:jc w:val="left"/>
            </w:pPr>
            <w:r>
              <w:rPr>
                <w:rFonts w:ascii="Arial" w:hAnsi="Arial"/>
                <w:color w:val="1E293B"/>
                <w:sz w:val="18"/>
              </w:rPr>
              <w:t>GP8.1</w:t>
            </w:r>
          </w:p>
        </w:tc>
        <w:tc>
          <w:tcPr>
            <w:tcW w:type="dxa" w:w="3312"/>
            <w:shd w:fill="F8FAFC"/>
            <w:tcMar>
              <w:top w:w="100" w:type="dxa"/>
              <w:bottom w:w="100" w:type="dxa"/>
              <w:left w:w="140" w:type="dxa"/>
              <w:right w:w="140" w:type="dxa"/>
            </w:tcMar>
          </w:tcPr>
          <w:p>
            <w:pPr>
              <w:spacing w:before="0" w:after="0" w:line="276" w:lineRule="auto"/>
              <w:jc w:val="left"/>
            </w:pPr>
            <w:r>
              <w:rPr>
                <w:rFonts w:ascii="Arial" w:hAnsi="Arial"/>
                <w:color w:val="1E293B"/>
                <w:sz w:val="18"/>
              </w:rPr>
              <w:t>Games must not include harmful, illegal, or culturally inappropriate content.</w:t>
            </w:r>
          </w:p>
        </w:tc>
        <w:tc>
          <w:tcPr>
            <w:tcW w:type="dxa" w:w="1152"/>
            <w:shd w:fill="F8FAFC"/>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shd w:fill="F8FAFC"/>
            <w:tcMar>
              <w:top w:w="100" w:type="dxa"/>
              <w:bottom w:w="100" w:type="dxa"/>
              <w:left w:w="140" w:type="dxa"/>
              <w:right w:w="140" w:type="dxa"/>
            </w:tcMar>
          </w:tcPr>
          <w:p>
            <w:pPr>
              <w:spacing w:before="0" w:after="0" w:line="276" w:lineRule="auto"/>
              <w:jc w:val="left"/>
            </w:pPr>
            <w:r>
              <w:rPr>
                <w:rFonts w:ascii="Arial" w:hAnsi="Arial"/>
                <w:color w:val="1E293B"/>
                <w:sz w:val="18"/>
              </w:rPr>
              <w:t>Fully compliant. Strict ethical guarantee. Zero gambling, betting, adult themes, violence, political controversy, religious clash, or predatory monetization.</w:t>
            </w:r>
          </w:p>
        </w:tc>
      </w:tr>
    </w:tbl>
    <w:p>
      <w:pPr>
        <w:spacing w:after="120"/>
      </w:pPr>
    </w:p>
    <w:p>
      <w:r>
        <w:br w:type="page"/>
      </w:r>
    </w:p>
    <w:p>
      <w:pPr>
        <w:keepNext/>
        <w:spacing w:before="360" w:after="120"/>
      </w:pPr>
      <w:r>
        <w:rPr>
          <w:rFonts w:ascii="Arial" w:hAnsi="Arial"/>
          <w:b/>
          <w:color w:val="0A78BE"/>
          <w:sz w:val="30"/>
        </w:rPr>
        <w:t>11. Legal &amp; Regulatory Documentation</w:t>
      </w:r>
    </w:p>
    <w:p>
      <w:pPr>
        <w:spacing w:before="40" w:after="80" w:line="276" w:lineRule="auto"/>
      </w:pPr>
      <w:r>
        <w:rPr>
          <w:rFonts w:ascii="Arial" w:hAnsi="Arial"/>
          <w:color w:val="334155"/>
          <w:sz w:val="19"/>
        </w:rPr>
        <w:t>Go Digital Service PLC confirms that all corporate and statutory legal documentation required by Ethio Telecom has been fully verified, renewed for the current Ethiopian fiscal year, and is submitted as certified copies: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48"/>
        <w:gridCol w:w="2448"/>
        <w:gridCol w:w="2448"/>
        <w:gridCol w:w="2448"/>
      </w:tblGrid>
      <w:tr>
        <w:trPr>
          <w:tblHeader/>
        </w:trPr>
        <w:tc>
          <w:tcPr>
            <w:tcW w:type="dxa" w:w="3024"/>
            <w:shd w:fill="0A78BE"/>
            <w:tcMar>
              <w:top w:w="140" w:type="dxa"/>
              <w:bottom w:w="140" w:type="dxa"/>
              <w:left w:w="150" w:type="dxa"/>
              <w:right w:w="150" w:type="dxa"/>
            </w:tcMar>
          </w:tcPr>
          <w:p>
            <w:pPr>
              <w:spacing w:before="0" w:after="0"/>
              <w:jc w:val="left"/>
            </w:pPr>
            <w:r>
              <w:rPr>
                <w:rFonts w:ascii="Arial" w:hAnsi="Arial"/>
                <w:b/>
                <w:color w:val="FFFFFF"/>
                <w:sz w:val="19"/>
              </w:rPr>
              <w:t>Required Legal Document</w:t>
            </w:r>
          </w:p>
        </w:tc>
        <w:tc>
          <w:tcPr>
            <w:tcW w:type="dxa" w:w="2304"/>
            <w:shd w:fill="0A78BE"/>
            <w:tcMar>
              <w:top w:w="140" w:type="dxa"/>
              <w:bottom w:w="140" w:type="dxa"/>
              <w:left w:w="150" w:type="dxa"/>
              <w:right w:w="150" w:type="dxa"/>
            </w:tcMar>
          </w:tcPr>
          <w:p>
            <w:pPr>
              <w:spacing w:before="0" w:after="0"/>
              <w:jc w:val="left"/>
            </w:pPr>
            <w:r>
              <w:rPr>
                <w:rFonts w:ascii="Arial" w:hAnsi="Arial"/>
                <w:b/>
                <w:color w:val="FFFFFF"/>
                <w:sz w:val="19"/>
              </w:rPr>
              <w:t>Registration / Certificate ID</w:t>
            </w:r>
          </w:p>
        </w:tc>
        <w:tc>
          <w:tcPr>
            <w:tcW w:type="dxa" w:w="2736"/>
            <w:shd w:fill="0A78BE"/>
            <w:tcMar>
              <w:top w:w="140" w:type="dxa"/>
              <w:bottom w:w="140" w:type="dxa"/>
              <w:left w:w="150" w:type="dxa"/>
              <w:right w:w="150" w:type="dxa"/>
            </w:tcMar>
          </w:tcPr>
          <w:p>
            <w:pPr>
              <w:spacing w:before="0" w:after="0"/>
              <w:jc w:val="left"/>
            </w:pPr>
            <w:r>
              <w:rPr>
                <w:rFonts w:ascii="Arial" w:hAnsi="Arial"/>
                <w:b/>
                <w:color w:val="FFFFFF"/>
                <w:sz w:val="19"/>
              </w:rPr>
              <w:t>Statutory Authority</w:t>
            </w:r>
          </w:p>
        </w:tc>
        <w:tc>
          <w:tcPr>
            <w:tcW w:type="dxa" w:w="1728"/>
            <w:shd w:fill="0A78BE"/>
            <w:tcMar>
              <w:top w:w="140" w:type="dxa"/>
              <w:bottom w:w="140" w:type="dxa"/>
              <w:left w:w="150" w:type="dxa"/>
              <w:right w:w="150" w:type="dxa"/>
            </w:tcMar>
          </w:tcPr>
          <w:p>
            <w:pPr>
              <w:spacing w:before="0" w:after="0"/>
              <w:jc w:val="left"/>
            </w:pPr>
            <w:r>
              <w:rPr>
                <w:rFonts w:ascii="Arial" w:hAnsi="Arial"/>
                <w:b/>
                <w:color w:val="FFFFFF"/>
                <w:sz w:val="19"/>
              </w:rPr>
              <w:t>Compliance Status</w:t>
            </w:r>
          </w:p>
        </w:tc>
      </w:tr>
      <w:tr>
        <w:tc>
          <w:tcPr>
            <w:tcW w:type="dxa" w:w="3024"/>
            <w:tcMar>
              <w:top w:w="100" w:type="dxa"/>
              <w:bottom w:w="100" w:type="dxa"/>
              <w:left w:w="140" w:type="dxa"/>
              <w:right w:w="140" w:type="dxa"/>
            </w:tcMar>
          </w:tcPr>
          <w:p>
            <w:pPr>
              <w:spacing w:before="0" w:after="0" w:line="276" w:lineRule="auto"/>
              <w:jc w:val="left"/>
            </w:pPr>
            <w:r>
              <w:rPr>
                <w:rFonts w:ascii="Arial" w:hAnsi="Arial"/>
                <w:color w:val="1E293B"/>
                <w:sz w:val="18"/>
              </w:rPr>
              <w:t>Business License for Digital &amp; VAS Services</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AACATB/2/0245101/2024</w:t>
            </w:r>
          </w:p>
        </w:tc>
        <w:tc>
          <w:tcPr>
            <w:tcW w:type="dxa" w:w="2736"/>
            <w:tcMar>
              <w:top w:w="100" w:type="dxa"/>
              <w:bottom w:w="100" w:type="dxa"/>
              <w:left w:w="140" w:type="dxa"/>
              <w:right w:w="140" w:type="dxa"/>
            </w:tcMar>
          </w:tcPr>
          <w:p>
            <w:pPr>
              <w:spacing w:before="0" w:after="0" w:line="276" w:lineRule="auto"/>
              <w:jc w:val="left"/>
            </w:pPr>
            <w:r>
              <w:rPr>
                <w:rFonts w:ascii="Arial" w:hAnsi="Arial"/>
                <w:color w:val="1E293B"/>
                <w:sz w:val="18"/>
              </w:rPr>
              <w:t>Ministry of Trade &amp; Regional Integration</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Certified &amp; Active for Current FY</w:t>
            </w:r>
          </w:p>
        </w:tc>
      </w:tr>
      <w:tr>
        <w:tc>
          <w:tcPr>
            <w:tcW w:type="dxa" w:w="3024"/>
            <w:shd w:fill="F8FAFC"/>
            <w:tcMar>
              <w:top w:w="100" w:type="dxa"/>
              <w:bottom w:w="100" w:type="dxa"/>
              <w:left w:w="140" w:type="dxa"/>
              <w:right w:w="140" w:type="dxa"/>
            </w:tcMar>
          </w:tcPr>
          <w:p>
            <w:pPr>
              <w:spacing w:before="0" w:after="0" w:line="276" w:lineRule="auto"/>
              <w:jc w:val="left"/>
            </w:pPr>
            <w:r>
              <w:rPr>
                <w:rFonts w:ascii="Arial" w:hAnsi="Arial"/>
                <w:color w:val="1E293B"/>
                <w:sz w:val="18"/>
              </w:rPr>
              <w:t>Renewed Commercial Trade License</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AACATB/2/0245101/2024</w:t>
            </w:r>
          </w:p>
        </w:tc>
        <w:tc>
          <w:tcPr>
            <w:tcW w:type="dxa" w:w="2736"/>
            <w:shd w:fill="F8FAFC"/>
            <w:tcMar>
              <w:top w:w="100" w:type="dxa"/>
              <w:bottom w:w="100" w:type="dxa"/>
              <w:left w:w="140" w:type="dxa"/>
              <w:right w:w="140" w:type="dxa"/>
            </w:tcMar>
          </w:tcPr>
          <w:p>
            <w:pPr>
              <w:spacing w:before="0" w:after="0" w:line="276" w:lineRule="auto"/>
              <w:jc w:val="left"/>
            </w:pPr>
            <w:r>
              <w:rPr>
                <w:rFonts w:ascii="Arial" w:hAnsi="Arial"/>
                <w:color w:val="1E293B"/>
                <w:sz w:val="18"/>
              </w:rPr>
              <w:t>Bole Sub-City Trade Administration</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Renewed for Current FY</w:t>
            </w:r>
          </w:p>
        </w:tc>
      </w:tr>
      <w:tr>
        <w:tc>
          <w:tcPr>
            <w:tcW w:type="dxa" w:w="3024"/>
            <w:tcMar>
              <w:top w:w="100" w:type="dxa"/>
              <w:bottom w:w="100" w:type="dxa"/>
              <w:left w:w="140" w:type="dxa"/>
              <w:right w:w="140" w:type="dxa"/>
            </w:tcMar>
          </w:tcPr>
          <w:p>
            <w:pPr>
              <w:spacing w:before="0" w:after="0" w:line="276" w:lineRule="auto"/>
              <w:jc w:val="left"/>
            </w:pPr>
            <w:r>
              <w:rPr>
                <w:rFonts w:ascii="Arial" w:hAnsi="Arial"/>
                <w:color w:val="1E293B"/>
                <w:sz w:val="18"/>
              </w:rPr>
              <w:t>Commercial Registration Certificate</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AA/BOL/03/98421/2024</w:t>
            </w:r>
          </w:p>
        </w:tc>
        <w:tc>
          <w:tcPr>
            <w:tcW w:type="dxa" w:w="2736"/>
            <w:tcMar>
              <w:top w:w="100" w:type="dxa"/>
              <w:bottom w:w="100" w:type="dxa"/>
              <w:left w:w="140" w:type="dxa"/>
              <w:right w:w="140" w:type="dxa"/>
            </w:tcMar>
          </w:tcPr>
          <w:p>
            <w:pPr>
              <w:spacing w:before="0" w:after="0" w:line="276" w:lineRule="auto"/>
              <w:jc w:val="left"/>
            </w:pPr>
            <w:r>
              <w:rPr>
                <w:rFonts w:ascii="Arial" w:hAnsi="Arial"/>
                <w:color w:val="1E293B"/>
                <w:sz w:val="18"/>
              </w:rPr>
              <w:t>Federal Ministry of Trade</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Certified Official Copy Attached</w:t>
            </w:r>
          </w:p>
        </w:tc>
      </w:tr>
      <w:tr>
        <w:tc>
          <w:tcPr>
            <w:tcW w:type="dxa" w:w="3024"/>
            <w:shd w:fill="F8FAFC"/>
            <w:tcMar>
              <w:top w:w="100" w:type="dxa"/>
              <w:bottom w:w="100" w:type="dxa"/>
              <w:left w:w="140" w:type="dxa"/>
              <w:right w:w="140" w:type="dxa"/>
            </w:tcMar>
          </w:tcPr>
          <w:p>
            <w:pPr>
              <w:spacing w:before="0" w:after="0" w:line="276" w:lineRule="auto"/>
              <w:jc w:val="left"/>
            </w:pPr>
            <w:r>
              <w:rPr>
                <w:rFonts w:ascii="Arial" w:hAnsi="Arial"/>
                <w:color w:val="1E293B"/>
                <w:sz w:val="18"/>
              </w:rPr>
              <w:t>Taxpayer Identification (TIN) Certificate</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0102191145</w:t>
            </w:r>
          </w:p>
        </w:tc>
        <w:tc>
          <w:tcPr>
            <w:tcW w:type="dxa" w:w="2736"/>
            <w:shd w:fill="F8FAFC"/>
            <w:tcMar>
              <w:top w:w="100" w:type="dxa"/>
              <w:bottom w:w="100" w:type="dxa"/>
              <w:left w:w="140" w:type="dxa"/>
              <w:right w:w="140" w:type="dxa"/>
            </w:tcMar>
          </w:tcPr>
          <w:p>
            <w:pPr>
              <w:spacing w:before="0" w:after="0" w:line="276" w:lineRule="auto"/>
              <w:jc w:val="left"/>
            </w:pPr>
            <w:r>
              <w:rPr>
                <w:rFonts w:ascii="Arial" w:hAnsi="Arial"/>
                <w:color w:val="1E293B"/>
                <w:sz w:val="18"/>
              </w:rPr>
              <w:t>Ministry of Revenues</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Certified Copy Attached</w:t>
            </w:r>
          </w:p>
        </w:tc>
      </w:tr>
      <w:tr>
        <w:tc>
          <w:tcPr>
            <w:tcW w:type="dxa" w:w="3024"/>
            <w:tcMar>
              <w:top w:w="100" w:type="dxa"/>
              <w:bottom w:w="100" w:type="dxa"/>
              <w:left w:w="140" w:type="dxa"/>
              <w:right w:w="140" w:type="dxa"/>
            </w:tcMar>
          </w:tcPr>
          <w:p>
            <w:pPr>
              <w:spacing w:before="0" w:after="0" w:line="276" w:lineRule="auto"/>
              <w:jc w:val="left"/>
            </w:pPr>
            <w:r>
              <w:rPr>
                <w:rFonts w:ascii="Arial" w:hAnsi="Arial"/>
                <w:color w:val="1E293B"/>
                <w:sz w:val="18"/>
              </w:rPr>
              <w:t>Value Added Tax (VAT) Registration</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198273645</w:t>
            </w:r>
          </w:p>
        </w:tc>
        <w:tc>
          <w:tcPr>
            <w:tcW w:type="dxa" w:w="2736"/>
            <w:tcMar>
              <w:top w:w="100" w:type="dxa"/>
              <w:bottom w:w="100" w:type="dxa"/>
              <w:left w:w="140" w:type="dxa"/>
              <w:right w:w="140" w:type="dxa"/>
            </w:tcMar>
          </w:tcPr>
          <w:p>
            <w:pPr>
              <w:spacing w:before="0" w:after="0" w:line="276" w:lineRule="auto"/>
              <w:jc w:val="left"/>
            </w:pPr>
            <w:r>
              <w:rPr>
                <w:rFonts w:ascii="Arial" w:hAnsi="Arial"/>
                <w:color w:val="1E293B"/>
                <w:sz w:val="18"/>
              </w:rPr>
              <w:t>Ministry of Revenues</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Active Taxpayer Good Standing</w:t>
            </w:r>
          </w:p>
        </w:tc>
      </w:tr>
      <w:tr>
        <w:tc>
          <w:tcPr>
            <w:tcW w:type="dxa" w:w="3024"/>
            <w:shd w:fill="F8FAFC"/>
            <w:tcMar>
              <w:top w:w="100" w:type="dxa"/>
              <w:bottom w:w="100" w:type="dxa"/>
              <w:left w:w="140" w:type="dxa"/>
              <w:right w:w="140" w:type="dxa"/>
            </w:tcMar>
          </w:tcPr>
          <w:p>
            <w:pPr>
              <w:spacing w:before="0" w:after="0" w:line="276" w:lineRule="auto"/>
              <w:jc w:val="left"/>
            </w:pPr>
            <w:r>
              <w:rPr>
                <w:rFonts w:ascii="Arial" w:hAnsi="Arial"/>
                <w:color w:val="1E293B"/>
                <w:sz w:val="18"/>
              </w:rPr>
              <w:t>INSA Security Authorization Certificate</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INSA/SEC/TB/9821-2026</w:t>
            </w:r>
          </w:p>
        </w:tc>
        <w:tc>
          <w:tcPr>
            <w:tcW w:type="dxa" w:w="2736"/>
            <w:shd w:fill="F8FAFC"/>
            <w:tcMar>
              <w:top w:w="100" w:type="dxa"/>
              <w:bottom w:w="100" w:type="dxa"/>
              <w:left w:w="140" w:type="dxa"/>
              <w:right w:w="140" w:type="dxa"/>
            </w:tcMar>
          </w:tcPr>
          <w:p>
            <w:pPr>
              <w:spacing w:before="0" w:after="0" w:line="276" w:lineRule="auto"/>
              <w:jc w:val="left"/>
            </w:pPr>
            <w:r>
              <w:rPr>
                <w:rFonts w:ascii="Arial" w:hAnsi="Arial"/>
                <w:color w:val="1E293B"/>
                <w:sz w:val="18"/>
              </w:rPr>
              <w:t>Information Network Security Administration</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Audit Verified for telebirr Staging</w:t>
            </w:r>
          </w:p>
        </w:tc>
      </w:tr>
      <w:tr>
        <w:tc>
          <w:tcPr>
            <w:tcW w:type="dxa" w:w="3024"/>
            <w:tcMar>
              <w:top w:w="100" w:type="dxa"/>
              <w:bottom w:w="100" w:type="dxa"/>
              <w:left w:w="140" w:type="dxa"/>
              <w:right w:w="140" w:type="dxa"/>
            </w:tcMar>
          </w:tcPr>
          <w:p>
            <w:pPr>
              <w:spacing w:before="0" w:after="0" w:line="276" w:lineRule="auto"/>
              <w:jc w:val="left"/>
            </w:pPr>
            <w:r>
              <w:rPr>
                <w:rFonts w:ascii="Arial" w:hAnsi="Arial"/>
                <w:color w:val="1E293B"/>
                <w:sz w:val="18"/>
              </w:rPr>
              <w:t>Memorandum &amp; Articles of Association</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REG/DOC/8821/AA</w:t>
            </w:r>
          </w:p>
        </w:tc>
        <w:tc>
          <w:tcPr>
            <w:tcW w:type="dxa" w:w="2736"/>
            <w:tcMar>
              <w:top w:w="100" w:type="dxa"/>
              <w:bottom w:w="100" w:type="dxa"/>
              <w:left w:w="140" w:type="dxa"/>
              <w:right w:w="140" w:type="dxa"/>
            </w:tcMar>
          </w:tcPr>
          <w:p>
            <w:pPr>
              <w:spacing w:before="0" w:after="0" w:line="276" w:lineRule="auto"/>
              <w:jc w:val="left"/>
            </w:pPr>
            <w:r>
              <w:rPr>
                <w:rFonts w:ascii="Arial" w:hAnsi="Arial"/>
                <w:color w:val="1E293B"/>
                <w:sz w:val="18"/>
              </w:rPr>
              <w:t>Ministry of Trade &amp; Regional Integration</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On Official File in Addis Ababa</w:t>
            </w:r>
          </w:p>
        </w:tc>
      </w:tr>
    </w:tbl>
    <w:p>
      <w:pPr>
        <w:spacing w:after="120"/>
      </w:pPr>
    </w:p>
    <w:p>
      <w:pPr>
        <w:keepNext/>
        <w:spacing w:before="280" w:after="80"/>
      </w:pPr>
      <w:r>
        <w:rPr>
          <w:rFonts w:ascii="Arial" w:hAnsi="Arial"/>
          <w:b/>
          <w:color w:val="0F172A"/>
          <w:sz w:val="24"/>
        </w:rPr>
        <w:t>11.1 Strict Ethical Gaming &amp; Social Harmony Warranty</w:t>
      </w:r>
    </w:p>
    <w:p>
      <w:pPr>
        <w:spacing w:before="40" w:after="80" w:line="276" w:lineRule="auto"/>
      </w:pPr>
      <w:r>
        <w:rPr>
          <w:rFonts w:ascii="Arial" w:hAnsi="Arial"/>
          <w:color w:val="334155"/>
          <w:sz w:val="19"/>
        </w:rPr>
        <w:t>Go Digital Service PLC provides an absolute, legally binding warranty that the GoPlay platform complies with Ethiopian cultural norms, societal values, and health guidelines. Specifically, the platform:</w:t>
      </w:r>
    </w:p>
    <w:p>
      <w:pPr>
        <w:pStyle w:val="ListBullet"/>
        <w:spacing w:before="20" w:after="60" w:line="276" w:lineRule="auto"/>
      </w:pPr>
      <w:r>
        <w:rPr>
          <w:rFonts w:ascii="Arial" w:hAnsi="Arial"/>
          <w:b/>
          <w:color w:val="0F172A"/>
          <w:sz w:val="19"/>
        </w:rPr>
        <w:t>• Anti-Gambling Guarantee:</w:t>
      </w:r>
      <w:r>
        <w:rPr>
          <w:rFonts w:ascii="Arial" w:hAnsi="Arial"/>
          <w:color w:val="334155"/>
          <w:sz w:val="19"/>
        </w:rPr>
        <w:t xml:space="preserve"> Strictly zero gambling, sports betting, lottery, or casino-style risk-to-money mechanisms.</w:t>
      </w:r>
    </w:p>
    <w:p>
      <w:pPr>
        <w:pStyle w:val="ListBullet"/>
        <w:spacing w:before="20" w:after="60" w:line="276" w:lineRule="auto"/>
      </w:pPr>
      <w:r>
        <w:rPr>
          <w:rFonts w:ascii="Arial" w:hAnsi="Arial"/>
          <w:b/>
          <w:color w:val="0F172A"/>
          <w:sz w:val="19"/>
        </w:rPr>
        <w:t>• Anti-Cryptocurrency Guarantee:</w:t>
      </w:r>
      <w:r>
        <w:rPr>
          <w:rFonts w:ascii="Arial" w:hAnsi="Arial"/>
          <w:color w:val="334155"/>
          <w:sz w:val="19"/>
        </w:rPr>
        <w:t xml:space="preserve"> Strictly zero Bitcoin, Ethereum, NFTs, or unregulated virtual currency mechanisms.</w:t>
      </w:r>
    </w:p>
    <w:p>
      <w:pPr>
        <w:pStyle w:val="ListBullet"/>
        <w:spacing w:before="20" w:after="60" w:line="276" w:lineRule="auto"/>
      </w:pPr>
      <w:r>
        <w:rPr>
          <w:rFonts w:ascii="Arial" w:hAnsi="Arial"/>
          <w:b/>
          <w:color w:val="0F172A"/>
          <w:sz w:val="19"/>
        </w:rPr>
        <w:t>• Family-Friendly Content:</w:t>
      </w:r>
      <w:r>
        <w:rPr>
          <w:rFonts w:ascii="Arial" w:hAnsi="Arial"/>
          <w:color w:val="334155"/>
          <w:sz w:val="19"/>
        </w:rPr>
        <w:t xml:space="preserve"> Zero nudity, sexual innuendo, vulgar language, or inappropriate content.</w:t>
      </w:r>
    </w:p>
    <w:p>
      <w:pPr>
        <w:pStyle w:val="ListBullet"/>
        <w:spacing w:before="20" w:after="60" w:line="276" w:lineRule="auto"/>
      </w:pPr>
      <w:r>
        <w:rPr>
          <w:rFonts w:ascii="Arial" w:hAnsi="Arial"/>
          <w:b/>
          <w:color w:val="0F172A"/>
          <w:sz w:val="19"/>
        </w:rPr>
        <w:t>• Social &amp; Cultural Harmony:</w:t>
      </w:r>
      <w:r>
        <w:rPr>
          <w:rFonts w:ascii="Arial" w:hAnsi="Arial"/>
          <w:color w:val="334155"/>
          <w:sz w:val="19"/>
        </w:rPr>
        <w:t xml:space="preserve"> Does not promote social unrest, political discord, or religious intolerance.</w:t>
      </w:r>
    </w:p>
    <w:p>
      <w:pPr>
        <w:keepNext/>
        <w:spacing w:before="360" w:after="120"/>
      </w:pPr>
      <w:r>
        <w:rPr>
          <w:rFonts w:ascii="Arial" w:hAnsi="Arial"/>
          <w:b/>
          <w:color w:val="0A78BE"/>
          <w:sz w:val="30"/>
        </w:rPr>
        <w:t>12. Conclusion &amp; Commercial Request</w:t>
      </w:r>
    </w:p>
    <w:p>
      <w:pPr>
        <w:spacing w:before="40" w:after="80" w:line="276" w:lineRule="auto"/>
      </w:pPr>
      <w:r>
        <w:rPr>
          <w:rFonts w:ascii="Arial" w:hAnsi="Arial"/>
          <w:color w:val="334155"/>
          <w:sz w:val="19"/>
        </w:rPr>
        <w:t>Proposal Option 1 delivers an exceptional, turnkey opportunity for Ethio Telecom to establish telebirr as the preeminent casual and family entertainment destination in Ethiopia. By blending mass-market pricing (Daily 3 ETB, Weekly 10 ETB, Monthly 30 ETB) with ultra-lightweight, zero-install HTML5 technology, GoPlay eliminates all barriers to adoption while unlocking over 20,400,000 ETB in projected annual net revenue for Ethio Telecom.</w:t>
      </w:r>
    </w:p>
    <w:p>
      <w:pPr>
        <w:spacing w:before="40" w:after="80" w:line="276" w:lineRule="auto"/>
      </w:pPr>
      <w:r>
        <w:rPr>
          <w:rFonts w:ascii="Arial" w:hAnsi="Arial"/>
          <w:color w:val="334155"/>
          <w:sz w:val="19"/>
        </w:rPr>
        <w:t>With a verified production codebase, dedicated staging environment, 26 production-ready titles, and complete compliance across all 17 Ethio Telecom security standards, Go Digital Service PLC is prepared to execute a rapid pilot deployment within fourteen (14) days of approval.</w:t>
      </w:r>
    </w:p>
    <w:tbl>
      <w:tblPr>
        <w:tblW w:type="auto" w:w="0"/>
        <w:jc w:val="center"/>
        <w:tblLayout w:type="fixed"/>
        <w:tblLook w:firstColumn="1" w:firstRow="1" w:lastColumn="0" w:lastRow="0" w:noHBand="0" w:noVBand="1" w:val="04A0"/>
      </w:tblPr>
      <w:tblGrid>
        <w:gridCol w:w="9792"/>
      </w:tblGrid>
      <w:tr>
        <w:tc>
          <w:tcPr>
            <w:tcW w:type="dxa" w:w="9792"/>
            <w:shd w:fill="F0F7FF"/>
            <w:tcMar>
              <w:top w:w="140" w:type="dxa"/>
              <w:bottom w:w="140" w:type="dxa"/>
              <w:left w:w="200" w:type="dxa"/>
              <w:right w:w="180" w:type="dxa"/>
            </w:tcMar>
            <w:tcBorders>
              <w:left w:val="single" w:sz="24" w:space="0" w:color="0A78BE"/>
              <w:top w:val="none"/>
              <w:right w:val="none"/>
              <w:bottom w:val="none"/>
            </w:tcBorders>
          </w:tcPr>
          <w:p>
            <w:pPr>
              <w:spacing w:before="40" w:after="40" w:line="276" w:lineRule="auto"/>
            </w:pPr>
            <w:r>
              <w:rPr>
                <w:rFonts w:ascii="Arial" w:hAnsi="Arial"/>
                <w:b/>
                <w:color w:val="0A78BE"/>
                <w:sz w:val="21"/>
              </w:rPr>
              <w:t>Formal Commercial Request</w:t>
              <w:br/>
            </w:r>
            <w:r>
              <w:rPr>
                <w:rFonts w:ascii="Arial" w:hAnsi="Arial"/>
                <w:i/>
                <w:color w:val="334155"/>
                <w:sz w:val="20"/>
              </w:rPr>
              <w:t>Go Digital Service PLC formally requests Ethio Telecom's commercial approval to commence sandbox technical integration and schedule joint User Acceptance Testing (UAT) for Proposal Option 1.</w:t>
            </w:r>
          </w:p>
        </w:tc>
      </w:tr>
    </w:tbl>
    <w:p>
      <w:pPr>
        <w:spacing w:after="80"/>
      </w:pPr>
    </w:p>
    <w:p>
      <w:pPr>
        <w:spacing w:before="480" w:line="288" w:lineRule="auto"/>
      </w:pPr>
      <w:r>
        <w:rPr>
          <w:rFonts w:ascii="Arial" w:hAnsi="Arial"/>
          <w:b/>
          <w:sz w:val="19"/>
        </w:rPr>
        <w:t>Submitted Respectfully on Behalf of:</w:t>
        <w:br/>
      </w:r>
      <w:r>
        <w:rPr>
          <w:rFonts w:ascii="Arial" w:hAnsi="Arial"/>
          <w:b/>
          <w:color w:val="0A78BE"/>
          <w:sz w:val="22"/>
        </w:rPr>
        <w:t>Go Digital Service PLC (in technical partnership with InnoGames)</w:t>
        <w:br/>
      </w:r>
      <w:r>
        <w:rPr>
          <w:rFonts w:ascii="Arial" w:hAnsi="Arial"/>
          <w:color w:val="64748B"/>
          <w:sz w:val="19"/>
        </w:rPr>
        <w:t>Addis Ababa, Ethiopia | September 2026</w:t>
        <w:br/>
        <w:t>Official Web: https://goplay.innopulseplatform.com | Email: proposals@goplay.et</w:t>
      </w:r>
    </w:p>
    <w:sectPr w:rsidR="00FC693F" w:rsidRPr="0006063C" w:rsidSect="00034616">
      <w:headerReference w:type="default" r:id="rId9"/>
      <w:footerReference w:type="default" r:id="rId10"/>
      <w:pgSz w:w="12240" w:h="15840"/>
      <w:pgMar w:top="1152" w:right="1224" w:bottom="1152"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Arial" w:hAnsi="Arial"/>
        <w:color w:val="94A3B8"/>
        <w:sz w:val="17"/>
      </w:rPr>
      <w:t>GO DIGITAL SERVICE PLC | TELEBIRR SUPER APP GAME PROVISIONING</w:t>
      <w:tab/>
      <w:tab/>
    </w:r>
    <w:r>
      <w:rPr>
        <w:rFonts w:ascii="Arial" w:hAnsi="Arial"/>
        <w:color w:val="64748B"/>
        <w:sz w:val="17"/>
      </w:rPr>
      <w:t xml:space="preserve">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GOPLAY: CASUAL &amp; EDUTAINMENT GAMING PROPOSAL — ETHIO TELECOM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