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1F38" w14:textId="77777777" w:rsidR="00093D02" w:rsidRDefault="00093D02" w:rsidP="00093D02">
      <w:pPr>
        <w:jc w:val="both"/>
      </w:pPr>
      <w:r>
        <w:t>Dual-Stack solution provides the following system-level features, which helps the user integrate it as a full IoT solution.</w:t>
      </w:r>
    </w:p>
    <w:p w14:paraId="4ECE87ED" w14:textId="77777777" w:rsidR="00093D02" w:rsidRDefault="00093D02" w:rsidP="00093D02">
      <w:pPr>
        <w:pStyle w:val="ListParagraph"/>
        <w:numPr>
          <w:ilvl w:val="0"/>
          <w:numId w:val="1"/>
        </w:numPr>
        <w:spacing w:before="0" w:after="160"/>
        <w:jc w:val="both"/>
      </w:pPr>
      <w:r>
        <w:t>FOTA</w:t>
      </w:r>
    </w:p>
    <w:p w14:paraId="64416E1B" w14:textId="77777777" w:rsidR="00093D02" w:rsidRDefault="00093D02" w:rsidP="00093D02">
      <w:pPr>
        <w:pStyle w:val="ListParagraph"/>
        <w:ind w:left="1080"/>
        <w:jc w:val="both"/>
      </w:pPr>
      <w:r>
        <w:t>FOTA provides the following:</w:t>
      </w:r>
    </w:p>
    <w:p w14:paraId="3D29E7F0" w14:textId="77777777" w:rsidR="00093D02" w:rsidRDefault="00093D02" w:rsidP="00093D02">
      <w:pPr>
        <w:pStyle w:val="ListParagraph"/>
        <w:numPr>
          <w:ilvl w:val="1"/>
          <w:numId w:val="1"/>
        </w:numPr>
        <w:spacing w:before="0" w:after="160"/>
        <w:jc w:val="both"/>
      </w:pPr>
      <w:r>
        <w:t xml:space="preserve">Facility to check for the availability of new upgrades on the WLAN </w:t>
      </w:r>
      <w:proofErr w:type="gramStart"/>
      <w:r>
        <w:t>firmware</w:t>
      </w:r>
      <w:proofErr w:type="gramEnd"/>
    </w:p>
    <w:p w14:paraId="0BB3ABC5" w14:textId="77777777" w:rsidR="00093D02" w:rsidRDefault="00093D02" w:rsidP="00093D02">
      <w:pPr>
        <w:pStyle w:val="ListParagraph"/>
        <w:numPr>
          <w:ilvl w:val="1"/>
          <w:numId w:val="1"/>
        </w:numPr>
        <w:spacing w:before="0" w:after="160"/>
        <w:jc w:val="both"/>
      </w:pPr>
      <w:r>
        <w:t>Securely download the image into flash</w:t>
      </w:r>
    </w:p>
    <w:p w14:paraId="06D16648" w14:textId="77777777" w:rsidR="00093D02" w:rsidRDefault="00093D02" w:rsidP="00093D02">
      <w:pPr>
        <w:pStyle w:val="ListParagraph"/>
        <w:numPr>
          <w:ilvl w:val="1"/>
          <w:numId w:val="1"/>
        </w:numPr>
        <w:spacing w:before="0" w:after="160"/>
        <w:jc w:val="both"/>
      </w:pPr>
      <w:r>
        <w:t xml:space="preserve">Check the validity of the downloaded </w:t>
      </w:r>
      <w:proofErr w:type="gramStart"/>
      <w:r>
        <w:t>image</w:t>
      </w:r>
      <w:proofErr w:type="gramEnd"/>
    </w:p>
    <w:p w14:paraId="2A4D9719" w14:textId="77777777" w:rsidR="00093D02" w:rsidRDefault="00093D02" w:rsidP="00093D02">
      <w:pPr>
        <w:pStyle w:val="ListParagraph"/>
        <w:numPr>
          <w:ilvl w:val="1"/>
          <w:numId w:val="1"/>
        </w:numPr>
        <w:spacing w:before="0" w:after="160"/>
        <w:jc w:val="both"/>
      </w:pPr>
      <w:r>
        <w:t xml:space="preserve">Set the new image as the boot image. </w:t>
      </w:r>
    </w:p>
    <w:p w14:paraId="7DAA63BC" w14:textId="77777777" w:rsidR="00093D02" w:rsidRDefault="00093D02" w:rsidP="00093D02">
      <w:pPr>
        <w:pStyle w:val="ListParagraph"/>
        <w:ind w:left="1080"/>
        <w:jc w:val="both"/>
      </w:pPr>
      <w:r>
        <w:t>In conjunction with SSBL, it enables booting the latest downloaded image. The firmware is downloaded into application image partition in flash.</w:t>
      </w:r>
    </w:p>
    <w:p w14:paraId="0CC11258" w14:textId="77777777" w:rsidR="00093D02" w:rsidRDefault="00093D02" w:rsidP="00093D02">
      <w:pPr>
        <w:pStyle w:val="ListParagraph"/>
        <w:ind w:left="1080"/>
        <w:jc w:val="both"/>
      </w:pPr>
      <w:r>
        <w:t xml:space="preserve">FOTA can be extended to support the upgradation of the host application. This helps achieve </w:t>
      </w:r>
      <w:proofErr w:type="gramStart"/>
      <w:r>
        <w:t>complete</w:t>
      </w:r>
      <w:proofErr w:type="gramEnd"/>
      <w:r>
        <w:t xml:space="preserve"> product solution.</w:t>
      </w:r>
    </w:p>
    <w:p w14:paraId="65E974EF" w14:textId="77777777" w:rsidR="00093D02" w:rsidRDefault="00093D02" w:rsidP="00093D02">
      <w:pPr>
        <w:pStyle w:val="ListParagraph"/>
        <w:ind w:left="1080"/>
        <w:jc w:val="both"/>
      </w:pPr>
      <w:r>
        <w:t xml:space="preserve">The solution also supports serial FOTA, in which the host can upgrade the Talaria TWO Wi-Fi module firmware over SPI/SDIO interface. This feature is provided through connection manager. </w:t>
      </w:r>
    </w:p>
    <w:p w14:paraId="4837F327" w14:textId="77777777" w:rsidR="00093D02" w:rsidRDefault="00093D02" w:rsidP="00093D02">
      <w:pPr>
        <w:pStyle w:val="ListParagraph"/>
        <w:ind w:left="1080"/>
        <w:jc w:val="both"/>
      </w:pPr>
    </w:p>
    <w:p w14:paraId="25780273" w14:textId="77777777" w:rsidR="00093D02" w:rsidRDefault="00093D02" w:rsidP="00093D02">
      <w:pPr>
        <w:pStyle w:val="ListParagraph"/>
        <w:numPr>
          <w:ilvl w:val="0"/>
          <w:numId w:val="1"/>
        </w:numPr>
        <w:spacing w:before="0" w:after="160"/>
        <w:jc w:val="both"/>
      </w:pPr>
      <w:r>
        <w:t>Device Provisioning over BLE</w:t>
      </w:r>
    </w:p>
    <w:p w14:paraId="0802C31B" w14:textId="77777777" w:rsidR="00093D02" w:rsidRDefault="00093D02" w:rsidP="00093D02">
      <w:pPr>
        <w:pStyle w:val="ListParagraph"/>
        <w:ind w:left="1080"/>
        <w:jc w:val="both"/>
      </w:pPr>
      <w:r>
        <w:t>Provisioning is a method to configure parameters required for the Wi-Fi Connection and cloud details. This can be achieved via Talaria TWO BLE provisioning method. Mobile-based provisioning application can be used for the same. This feature is provided through connection manager.</w:t>
      </w:r>
    </w:p>
    <w:p w14:paraId="6D03A7AA" w14:textId="77777777" w:rsidR="00093D02" w:rsidRDefault="00093D02" w:rsidP="00093D02">
      <w:pPr>
        <w:pStyle w:val="ListParagraph"/>
        <w:ind w:left="1080"/>
        <w:jc w:val="both"/>
      </w:pPr>
    </w:p>
    <w:p w14:paraId="40442230" w14:textId="77777777" w:rsidR="00093D02" w:rsidRDefault="00093D02" w:rsidP="00093D02">
      <w:pPr>
        <w:pStyle w:val="ListParagraph"/>
        <w:numPr>
          <w:ilvl w:val="0"/>
          <w:numId w:val="1"/>
        </w:numPr>
        <w:spacing w:before="0" w:after="160"/>
        <w:jc w:val="both"/>
      </w:pPr>
      <w:r>
        <w:t xml:space="preserve">Connection Manager </w:t>
      </w:r>
    </w:p>
    <w:p w14:paraId="10E067FA" w14:textId="77777777" w:rsidR="00093D02" w:rsidRDefault="00093D02" w:rsidP="00093D02">
      <w:pPr>
        <w:pStyle w:val="ListParagraph"/>
        <w:ind w:left="1080"/>
        <w:jc w:val="both"/>
      </w:pPr>
      <w:r>
        <w:t xml:space="preserve">Connection Manager is a utility which is a stripped version of Wi-Fi utilities like </w:t>
      </w:r>
      <w:proofErr w:type="spellStart"/>
      <w:r>
        <w:rPr>
          <w:rFonts w:ascii="Courier New" w:hAnsi="Courier New" w:cs="Courier New"/>
        </w:rPr>
        <w:t>iwconfig</w:t>
      </w:r>
      <w:proofErr w:type="spellEnd"/>
      <w:r>
        <w:t xml:space="preserve"> that enables the application to use Wi-Fi connection/disconnection and static/dynamic IP settings. </w:t>
      </w:r>
    </w:p>
    <w:p w14:paraId="0C01A1D0" w14:textId="77777777" w:rsidR="00093D02" w:rsidRDefault="00093D02" w:rsidP="00093D02">
      <w:pPr>
        <w:pStyle w:val="ListParagraph"/>
        <w:ind w:left="1080"/>
        <w:jc w:val="both"/>
      </w:pPr>
      <w:r>
        <w:t xml:space="preserve">For more details on the connection management features and commands, refer: </w:t>
      </w:r>
      <w:hyperlink w:anchor="_Connection_Manager_Commands">
        <w:r>
          <w:rPr>
            <w:rStyle w:val="Hyperlink"/>
          </w:rPr>
          <w:t>Connection Manager Commands</w:t>
        </w:r>
      </w:hyperlink>
    </w:p>
    <w:p w14:paraId="35A960AF" w14:textId="77777777" w:rsidR="00093D02" w:rsidRDefault="00093D02" w:rsidP="00093D02">
      <w:pPr>
        <w:pStyle w:val="ListParagraph"/>
        <w:ind w:left="1080"/>
        <w:jc w:val="both"/>
      </w:pPr>
    </w:p>
    <w:p w14:paraId="3DEEF549" w14:textId="77777777" w:rsidR="00093D02" w:rsidRDefault="00093D02" w:rsidP="00093D02">
      <w:pPr>
        <w:pStyle w:val="ListParagraph"/>
        <w:numPr>
          <w:ilvl w:val="0"/>
          <w:numId w:val="1"/>
        </w:numPr>
        <w:spacing w:before="0" w:after="160"/>
        <w:jc w:val="both"/>
      </w:pPr>
      <w:r>
        <w:t xml:space="preserve">Low Power </w:t>
      </w:r>
    </w:p>
    <w:p w14:paraId="1344D7F3" w14:textId="77777777" w:rsidR="00093D02" w:rsidRDefault="00093D02" w:rsidP="00093D02">
      <w:pPr>
        <w:pStyle w:val="ListParagraph"/>
        <w:ind w:left="1080"/>
        <w:jc w:val="both"/>
      </w:pPr>
      <w:r>
        <w:t>This solution allows the host and/or Talaria TWO to be put to sleep. There are two GPIOs available, one of which is used as a wakeup source of host and other is used for the host to interrupt Talaria TWO.</w:t>
      </w:r>
    </w:p>
    <w:p w14:paraId="531D445E" w14:textId="77777777" w:rsidR="00093D02" w:rsidRDefault="00093D02" w:rsidP="00093D02">
      <w:pPr>
        <w:pStyle w:val="ListParagraph"/>
        <w:ind w:left="1080"/>
        <w:jc w:val="both"/>
      </w:pPr>
      <w:r>
        <w:t xml:space="preserve">In idle mode, the host can go to sleep and can be woken up by Talaria TWO using the GPIO. The advantage of this solution is, even if the host is in sleep mode, Talaria TWO running on low power keeps the device (keepalive) in an always connected state. Talaria TWO can wake the host up by using the GPIO when it receives the wake-up command from the cloud or from predefined events. </w:t>
      </w:r>
    </w:p>
    <w:p w14:paraId="24D4A1BE" w14:textId="77777777" w:rsidR="00093D02" w:rsidRDefault="00093D02" w:rsidP="00093D02">
      <w:pPr>
        <w:jc w:val="both"/>
      </w:pPr>
    </w:p>
    <w:p w14:paraId="0C4DB677" w14:textId="77777777" w:rsidR="00093D02" w:rsidRDefault="00093D02" w:rsidP="00093D02">
      <w:pPr>
        <w:pStyle w:val="ListParagraph"/>
        <w:numPr>
          <w:ilvl w:val="0"/>
          <w:numId w:val="1"/>
        </w:numPr>
        <w:spacing w:before="0" w:after="160"/>
        <w:jc w:val="both"/>
      </w:pPr>
      <w:r>
        <w:t>Keepalive/Shadow service</w:t>
      </w:r>
    </w:p>
    <w:p w14:paraId="1C5DAECD" w14:textId="77777777" w:rsidR="00093D02" w:rsidRDefault="00093D02" w:rsidP="00093D02">
      <w:pPr>
        <w:pStyle w:val="ListParagraph"/>
        <w:ind w:left="1080"/>
        <w:jc w:val="both"/>
      </w:pPr>
      <w:r>
        <w:t>This is a feature supported by the Dual-Stack solution to achieve maximum power saving without losing cloud connectivity.</w:t>
      </w:r>
    </w:p>
    <w:p w14:paraId="5107B175" w14:textId="77777777" w:rsidR="00093D02" w:rsidRDefault="00093D02" w:rsidP="00093D02">
      <w:pPr>
        <w:pStyle w:val="ListParagraph"/>
        <w:ind w:left="1080"/>
        <w:jc w:val="both"/>
      </w:pPr>
      <w:r>
        <w:t xml:space="preserve">It enables the device to stay connected to the cloud even when the host is in sleep mode. When the host processor is in </w:t>
      </w:r>
      <w:proofErr w:type="gramStart"/>
      <w:r>
        <w:t>the sleep</w:t>
      </w:r>
      <w:proofErr w:type="gramEnd"/>
      <w:r>
        <w:t xml:space="preserve"> mode, Talaria TWO acts as the shadow of the host. With the keepalive/heartbeat mechanism, it keeps the device in an always connected state. This ensures device availability even when the host processor </w:t>
      </w:r>
      <w:proofErr w:type="gramStart"/>
      <w:r>
        <w:t>is in</w:t>
      </w:r>
      <w:proofErr w:type="gramEnd"/>
      <w:r>
        <w:t xml:space="preserve"> sleep.</w:t>
      </w:r>
    </w:p>
    <w:p w14:paraId="2F2FBE2E" w14:textId="77777777" w:rsidR="00093D02" w:rsidRDefault="00093D02" w:rsidP="00093D02">
      <w:pPr>
        <w:pStyle w:val="ListParagraph"/>
        <w:ind w:left="1080"/>
        <w:jc w:val="both"/>
      </w:pPr>
    </w:p>
    <w:p w14:paraId="559FBB08" w14:textId="77777777" w:rsidR="00093D02" w:rsidRDefault="00093D02" w:rsidP="00093D02">
      <w:pPr>
        <w:pStyle w:val="ListParagraph"/>
        <w:ind w:left="1080"/>
      </w:pPr>
      <w:r>
        <w:t>The main advantage of this ultra-power saving option is in high-performance devices like video/audio processing solutions.</w:t>
      </w:r>
    </w:p>
    <w:p w14:paraId="6BD71751" w14:textId="77777777" w:rsidR="00093D02" w:rsidRDefault="00093D02" w:rsidP="00093D02">
      <w:pPr>
        <w:pStyle w:val="ListParagraph"/>
        <w:ind w:left="1080"/>
        <w:jc w:val="both"/>
      </w:pPr>
    </w:p>
    <w:p w14:paraId="35A67078" w14:textId="77777777" w:rsidR="00093D02" w:rsidRDefault="00093D02" w:rsidP="00093D02">
      <w:pPr>
        <w:pStyle w:val="ListParagraph"/>
        <w:ind w:left="1080"/>
        <w:jc w:val="both"/>
      </w:pPr>
      <w:r>
        <w:t>Dual-Stack solution supports both MQTT and TCP based keep alive connections. The entire operation can be described as two states:</w:t>
      </w:r>
    </w:p>
    <w:p w14:paraId="4D3570C1" w14:textId="77777777" w:rsidR="00093D02" w:rsidRDefault="00093D02" w:rsidP="00093D02">
      <w:pPr>
        <w:pStyle w:val="ListParagraph"/>
        <w:numPr>
          <w:ilvl w:val="1"/>
          <w:numId w:val="1"/>
        </w:numPr>
        <w:spacing w:before="0" w:after="160"/>
        <w:jc w:val="both"/>
      </w:pPr>
      <w:r>
        <w:t>Normal State:</w:t>
      </w:r>
    </w:p>
    <w:p w14:paraId="163368B1" w14:textId="77777777" w:rsidR="00093D02" w:rsidRDefault="00093D02" w:rsidP="00093D02">
      <w:pPr>
        <w:pStyle w:val="ListParagraph"/>
        <w:numPr>
          <w:ilvl w:val="2"/>
          <w:numId w:val="1"/>
        </w:numPr>
        <w:spacing w:before="0" w:after="160"/>
        <w:jc w:val="both"/>
      </w:pPr>
      <w:r>
        <w:t>Host processes the data (video/audio/sensor) and streams the data to the cloud using Talaria TWO.</w:t>
      </w:r>
    </w:p>
    <w:p w14:paraId="4D441A34" w14:textId="77777777" w:rsidR="00093D02" w:rsidRDefault="00093D02" w:rsidP="00093D02">
      <w:pPr>
        <w:pStyle w:val="ListParagraph"/>
        <w:numPr>
          <w:ilvl w:val="2"/>
          <w:numId w:val="1"/>
        </w:numPr>
        <w:spacing w:before="0" w:after="160"/>
        <w:jc w:val="both"/>
      </w:pPr>
      <w:proofErr w:type="gramStart"/>
      <w:r>
        <w:t>Host</w:t>
      </w:r>
      <w:proofErr w:type="gramEnd"/>
      <w:r>
        <w:t xml:space="preserve"> triggers Talaria TWO for the keepalive (heartbeat) process.</w:t>
      </w:r>
    </w:p>
    <w:p w14:paraId="48AE16CE" w14:textId="77777777" w:rsidR="00093D02" w:rsidRDefault="00093D02" w:rsidP="00093D02">
      <w:pPr>
        <w:pStyle w:val="ListParagraph"/>
        <w:numPr>
          <w:ilvl w:val="2"/>
          <w:numId w:val="1"/>
        </w:numPr>
        <w:spacing w:before="0" w:after="160"/>
        <w:jc w:val="both"/>
      </w:pPr>
      <w:r>
        <w:t>Host closes the cloud data stream connection.</w:t>
      </w:r>
    </w:p>
    <w:p w14:paraId="59ADB57A" w14:textId="77777777" w:rsidR="00093D02" w:rsidRDefault="00093D02" w:rsidP="00093D02">
      <w:pPr>
        <w:pStyle w:val="ListParagraph"/>
        <w:numPr>
          <w:ilvl w:val="1"/>
          <w:numId w:val="1"/>
        </w:numPr>
        <w:spacing w:before="0" w:after="160"/>
        <w:jc w:val="both"/>
      </w:pPr>
      <w:r>
        <w:t>Power save/keepalive state:</w:t>
      </w:r>
    </w:p>
    <w:p w14:paraId="7817DE96" w14:textId="77777777" w:rsidR="00093D02" w:rsidRDefault="00093D02" w:rsidP="00093D02">
      <w:pPr>
        <w:pStyle w:val="ListParagraph"/>
        <w:numPr>
          <w:ilvl w:val="2"/>
          <w:numId w:val="1"/>
        </w:numPr>
        <w:spacing w:before="0" w:after="160"/>
        <w:jc w:val="both"/>
      </w:pPr>
      <w:proofErr w:type="gramStart"/>
      <w:r>
        <w:t>Host</w:t>
      </w:r>
      <w:proofErr w:type="gramEnd"/>
      <w:r>
        <w:t xml:space="preserve"> goes to sleep.</w:t>
      </w:r>
    </w:p>
    <w:p w14:paraId="46C31575" w14:textId="77777777" w:rsidR="00093D02" w:rsidRDefault="00093D02" w:rsidP="00093D02">
      <w:pPr>
        <w:pStyle w:val="ListParagraph"/>
        <w:numPr>
          <w:ilvl w:val="2"/>
          <w:numId w:val="1"/>
        </w:numPr>
        <w:spacing w:before="0" w:after="160"/>
        <w:jc w:val="both"/>
      </w:pPr>
      <w:r>
        <w:t>Talaria TWO sends/receives the keepalive (heartbeat) packets to the cloud.</w:t>
      </w:r>
    </w:p>
    <w:p w14:paraId="451AF1CF" w14:textId="77777777" w:rsidR="00093D02" w:rsidRDefault="00093D02" w:rsidP="00093D02">
      <w:pPr>
        <w:pStyle w:val="ListParagraph"/>
        <w:numPr>
          <w:ilvl w:val="2"/>
          <w:numId w:val="1"/>
        </w:numPr>
        <w:spacing w:before="0" w:after="160"/>
        <w:jc w:val="both"/>
      </w:pPr>
      <w:r>
        <w:t>Talaria TWO wakes the up host when it receives a wake-up request from the cloud using GPIO.</w:t>
      </w:r>
    </w:p>
    <w:p w14:paraId="35BB76E7" w14:textId="77777777" w:rsidR="00093D02" w:rsidRDefault="00093D02" w:rsidP="00093D02">
      <w:pPr>
        <w:pStyle w:val="ListParagraph"/>
        <w:numPr>
          <w:ilvl w:val="2"/>
          <w:numId w:val="1"/>
        </w:numPr>
        <w:spacing w:before="0" w:after="160"/>
        <w:jc w:val="both"/>
      </w:pPr>
      <w:r>
        <w:t xml:space="preserve">Talaria TWO </w:t>
      </w:r>
      <w:proofErr w:type="gramStart"/>
      <w:r>
        <w:t>goes</w:t>
      </w:r>
      <w:proofErr w:type="gramEnd"/>
      <w:r>
        <w:t xml:space="preserve"> back to normal state.</w:t>
      </w:r>
    </w:p>
    <w:p w14:paraId="73CD5A8D" w14:textId="77777777" w:rsidR="00093D02" w:rsidRDefault="00093D02" w:rsidP="00093D02">
      <w:pPr>
        <w:pStyle w:val="ListParagraph"/>
        <w:spacing w:before="0" w:after="160"/>
        <w:ind w:left="2520"/>
        <w:jc w:val="both"/>
      </w:pPr>
    </w:p>
    <w:p w14:paraId="2817BCE0" w14:textId="77777777" w:rsidR="00093D02" w:rsidRDefault="00093D02" w:rsidP="00093D02">
      <w:pPr>
        <w:pStyle w:val="ListParagraph"/>
        <w:numPr>
          <w:ilvl w:val="0"/>
          <w:numId w:val="1"/>
        </w:numPr>
        <w:spacing w:before="0" w:after="160"/>
        <w:jc w:val="both"/>
      </w:pPr>
      <w:r>
        <w:t>Heartbeat</w:t>
      </w:r>
    </w:p>
    <w:p w14:paraId="31B59559" w14:textId="77777777" w:rsidR="00093D02" w:rsidRDefault="00093D02" w:rsidP="00093D02">
      <w:pPr>
        <w:pStyle w:val="ListParagraph"/>
        <w:spacing w:before="0" w:after="160"/>
        <w:ind w:left="1080"/>
        <w:jc w:val="both"/>
      </w:pPr>
      <w:r>
        <w:t xml:space="preserve">Under normal working, if Talaria TWO crashes or hangs, </w:t>
      </w:r>
      <w:proofErr w:type="gramStart"/>
      <w:r>
        <w:t>host</w:t>
      </w:r>
      <w:proofErr w:type="gramEnd"/>
      <w:r>
        <w:t xml:space="preserve"> application will not be able to detect this. The heartbeat feature helps avoid this situation. Every 10 seconds, the host sends a heartbeat signal to Talaria TWO and Talaria TWO acknowledges by sending an indication of its normal working. If Talaria TWO stops responding, the host detects the issue and notifies this in the custom application: </w:t>
      </w:r>
      <w:proofErr w:type="spellStart"/>
      <w:r>
        <w:rPr>
          <w:rFonts w:ascii="Courier New" w:hAnsi="Courier New" w:cs="Courier New"/>
        </w:rPr>
        <w:t>heartbeat_monitor</w:t>
      </w:r>
      <w:proofErr w:type="spellEnd"/>
      <w:r>
        <w:t>.</w:t>
      </w:r>
    </w:p>
    <w:p w14:paraId="1E2F451C" w14:textId="77777777" w:rsidR="00093D02" w:rsidRDefault="00093D02" w:rsidP="00093D02">
      <w:pPr>
        <w:pStyle w:val="ListParagraph"/>
        <w:spacing w:before="0" w:after="160"/>
        <w:ind w:left="1080"/>
        <w:jc w:val="both"/>
      </w:pPr>
    </w:p>
    <w:p w14:paraId="167B0B7B" w14:textId="77777777" w:rsidR="00093D02" w:rsidRDefault="00093D02" w:rsidP="00093D02">
      <w:pPr>
        <w:pStyle w:val="ListParagraph"/>
        <w:spacing w:before="0" w:after="160"/>
        <w:ind w:left="1080"/>
        <w:jc w:val="both"/>
      </w:pPr>
      <w:r>
        <w:t xml:space="preserve">By default, the heartbeat feature is disabled. To run this feature along with </w:t>
      </w:r>
      <w:proofErr w:type="spellStart"/>
      <w:r>
        <w:t>tunadapter</w:t>
      </w:r>
      <w:proofErr w:type="spellEnd"/>
      <w:r>
        <w:t xml:space="preserve">, provide </w:t>
      </w:r>
      <w:r>
        <w:rPr>
          <w:rFonts w:ascii="Courier New" w:hAnsi="Courier New" w:cs="Courier New"/>
        </w:rPr>
        <w:t>heartbeat=1</w:t>
      </w:r>
      <w:r>
        <w:t xml:space="preserve"> as one of the parameters. Heartbeat message frequency is set to 10 seconds. </w:t>
      </w:r>
    </w:p>
    <w:p w14:paraId="09742C07" w14:textId="77777777" w:rsidR="00093D02" w:rsidRDefault="00093D02" w:rsidP="00093D02">
      <w:pPr>
        <w:pStyle w:val="ListParagraph"/>
        <w:spacing w:before="0" w:after="160"/>
        <w:ind w:left="1080"/>
        <w:jc w:val="both"/>
      </w:pPr>
    </w:p>
    <w:p w14:paraId="48C9C0D0" w14:textId="77777777" w:rsidR="00093D02" w:rsidRDefault="00093D02" w:rsidP="00093D02">
      <w:pPr>
        <w:pStyle w:val="ListParagraph"/>
        <w:spacing w:before="0" w:after="160"/>
        <w:ind w:left="1080"/>
        <w:jc w:val="both"/>
      </w:pPr>
      <w:r>
        <w:t>Run the custom application (</w:t>
      </w:r>
      <w:proofErr w:type="spellStart"/>
      <w:r>
        <w:rPr>
          <w:rFonts w:ascii="Courier New" w:hAnsi="Courier New" w:cs="Courier New"/>
        </w:rPr>
        <w:t>heartbeat_monitor</w:t>
      </w:r>
      <w:proofErr w:type="spellEnd"/>
      <w:r>
        <w:t xml:space="preserve">), to monitor heartbeat feature. When Talaria TWO crashes or is out-of-sync with the host, the host notifies the custom application and displays the same. The custom application is available at: </w:t>
      </w:r>
      <w:proofErr w:type="spellStart"/>
      <w:r>
        <w:rPr>
          <w:rFonts w:cs="Arial"/>
          <w:i/>
          <w:iCs/>
        </w:rPr>
        <w:t>hapi</w:t>
      </w:r>
      <w:proofErr w:type="spellEnd"/>
      <w:r>
        <w:rPr>
          <w:rFonts w:cs="Arial"/>
          <w:i/>
          <w:iCs/>
        </w:rPr>
        <w:t>/</w:t>
      </w:r>
      <w:proofErr w:type="spellStart"/>
      <w:r>
        <w:rPr>
          <w:rFonts w:cs="Arial"/>
          <w:i/>
          <w:iCs/>
        </w:rPr>
        <w:t>dual_stack</w:t>
      </w:r>
      <w:proofErr w:type="spellEnd"/>
      <w:r>
        <w:rPr>
          <w:rFonts w:cs="Arial"/>
          <w:i/>
          <w:iCs/>
        </w:rPr>
        <w:t>/bins</w:t>
      </w:r>
      <w:r>
        <w:t>. The custom application waits for the indication message from the host and once received, prints the message.</w:t>
      </w:r>
    </w:p>
    <w:p w14:paraId="7EF6D535" w14:textId="77777777" w:rsidR="00093D02" w:rsidRDefault="00093D02" w:rsidP="00093D02">
      <w:pPr>
        <w:pStyle w:val="ListParagraph"/>
        <w:spacing w:before="0" w:after="160"/>
        <w:ind w:left="1080"/>
        <w:jc w:val="both"/>
      </w:pPr>
    </w:p>
    <w:p w14:paraId="5E5E56CD" w14:textId="77777777" w:rsidR="00093D02" w:rsidRDefault="00093D02" w:rsidP="00093D02">
      <w:pPr>
        <w:pStyle w:val="ListParagraph"/>
        <w:numPr>
          <w:ilvl w:val="0"/>
          <w:numId w:val="1"/>
        </w:numPr>
        <w:spacing w:before="0" w:after="160"/>
        <w:jc w:val="both"/>
      </w:pPr>
      <w:r>
        <w:t>Port-range Configuration</w:t>
      </w:r>
    </w:p>
    <w:p w14:paraId="6434DCBF" w14:textId="77777777" w:rsidR="00093D02" w:rsidRDefault="00093D02" w:rsidP="00093D02">
      <w:pPr>
        <w:pStyle w:val="ListParagraph"/>
        <w:spacing w:before="0" w:after="160"/>
        <w:ind w:left="1080"/>
        <w:jc w:val="both"/>
      </w:pPr>
      <w:r>
        <w:t xml:space="preserve">Since Dual-Stack provides sockets on both host and Talaria TWO, the source port needs to be partitioned and allocated to both Talaria TWO and host. Based on this, Talaria TWO routes the packet to host or sends it to </w:t>
      </w:r>
      <w:proofErr w:type="spellStart"/>
      <w:r>
        <w:t>LwIP</w:t>
      </w:r>
      <w:proofErr w:type="spellEnd"/>
      <w:r>
        <w:t>.</w:t>
      </w:r>
    </w:p>
    <w:p w14:paraId="5B058944" w14:textId="77777777" w:rsidR="00093D02" w:rsidRDefault="00093D02" w:rsidP="00093D02">
      <w:pPr>
        <w:pStyle w:val="ListParagraph"/>
        <w:spacing w:before="0" w:after="160"/>
        <w:ind w:left="1080"/>
        <w:jc w:val="both"/>
      </w:pPr>
    </w:p>
    <w:p w14:paraId="7E6FD588" w14:textId="77777777" w:rsidR="00093D02" w:rsidRDefault="00093D02" w:rsidP="00093D02">
      <w:pPr>
        <w:pStyle w:val="ListParagraph"/>
        <w:spacing w:before="0" w:after="160"/>
        <w:ind w:left="1080"/>
        <w:jc w:val="both"/>
      </w:pPr>
      <w:r>
        <w:t xml:space="preserve">Following boot arguments configures the source port ranges for both host and Talaria TWO: </w:t>
      </w:r>
    </w:p>
    <w:tbl>
      <w:tblPr>
        <w:tblStyle w:val="TableGrid"/>
        <w:tblW w:w="9710" w:type="dxa"/>
        <w:tblInd w:w="1080" w:type="dxa"/>
        <w:tblLook w:val="04A0" w:firstRow="1" w:lastRow="0" w:firstColumn="1" w:lastColumn="0" w:noHBand="0" w:noVBand="1"/>
      </w:tblPr>
      <w:tblGrid>
        <w:gridCol w:w="3304"/>
        <w:gridCol w:w="3541"/>
        <w:gridCol w:w="2865"/>
      </w:tblGrid>
      <w:tr w:rsidR="00093D02" w14:paraId="03CDCD7C" w14:textId="77777777" w:rsidTr="00C86F4B">
        <w:tc>
          <w:tcPr>
            <w:tcW w:w="3304" w:type="dxa"/>
            <w:shd w:val="clear" w:color="auto" w:fill="E7E6E6" w:themeFill="background2"/>
          </w:tcPr>
          <w:p w14:paraId="235FCED3" w14:textId="77777777" w:rsidR="00093D02" w:rsidRDefault="00093D02" w:rsidP="00C86F4B">
            <w:pPr>
              <w:pStyle w:val="ListParagraph"/>
              <w:spacing w:before="0" w:after="160"/>
              <w:ind w:left="0"/>
              <w:jc w:val="both"/>
              <w:rPr>
                <w:b/>
                <w:bCs/>
              </w:rPr>
            </w:pPr>
            <w:r>
              <w:rPr>
                <w:b/>
                <w:bCs/>
              </w:rPr>
              <w:t>Boot argument</w:t>
            </w:r>
          </w:p>
        </w:tc>
        <w:tc>
          <w:tcPr>
            <w:tcW w:w="3541" w:type="dxa"/>
            <w:shd w:val="clear" w:color="auto" w:fill="E7E6E6" w:themeFill="background2"/>
          </w:tcPr>
          <w:p w14:paraId="2D8E376A" w14:textId="77777777" w:rsidR="00093D02" w:rsidRDefault="00093D02" w:rsidP="00C86F4B">
            <w:pPr>
              <w:pStyle w:val="ListParagraph"/>
              <w:spacing w:before="0" w:after="160"/>
              <w:ind w:left="0"/>
              <w:jc w:val="both"/>
              <w:rPr>
                <w:b/>
                <w:bCs/>
              </w:rPr>
            </w:pPr>
            <w:r>
              <w:rPr>
                <w:b/>
                <w:bCs/>
              </w:rPr>
              <w:t>Description</w:t>
            </w:r>
          </w:p>
        </w:tc>
        <w:tc>
          <w:tcPr>
            <w:tcW w:w="2865" w:type="dxa"/>
            <w:shd w:val="clear" w:color="auto" w:fill="E7E6E6" w:themeFill="background2"/>
          </w:tcPr>
          <w:p w14:paraId="43F0B147" w14:textId="77777777" w:rsidR="00093D02" w:rsidRDefault="00093D02" w:rsidP="00C86F4B">
            <w:pPr>
              <w:pStyle w:val="ListParagraph"/>
              <w:spacing w:before="0" w:after="160"/>
              <w:ind w:left="0"/>
              <w:jc w:val="both"/>
              <w:rPr>
                <w:b/>
                <w:bCs/>
              </w:rPr>
            </w:pPr>
            <w:r>
              <w:rPr>
                <w:b/>
                <w:bCs/>
              </w:rPr>
              <w:t>Default Values</w:t>
            </w:r>
          </w:p>
        </w:tc>
      </w:tr>
      <w:tr w:rsidR="00093D02" w14:paraId="58FDE320" w14:textId="77777777" w:rsidTr="00C86F4B">
        <w:tc>
          <w:tcPr>
            <w:tcW w:w="3304" w:type="dxa"/>
          </w:tcPr>
          <w:p w14:paraId="0950B59D" w14:textId="77777777" w:rsidR="00093D02" w:rsidRDefault="00093D02" w:rsidP="00C86F4B">
            <w:pPr>
              <w:pStyle w:val="ListParagraph"/>
              <w:spacing w:before="0" w:after="160"/>
              <w:ind w:left="0"/>
              <w:jc w:val="both"/>
            </w:pPr>
            <w:proofErr w:type="spellStart"/>
            <w:proofErr w:type="gramStart"/>
            <w:r>
              <w:t>ds.host</w:t>
            </w:r>
            <w:proofErr w:type="gramEnd"/>
            <w:r>
              <w:t>_src_port_start</w:t>
            </w:r>
            <w:proofErr w:type="spellEnd"/>
          </w:p>
        </w:tc>
        <w:tc>
          <w:tcPr>
            <w:tcW w:w="3541" w:type="dxa"/>
          </w:tcPr>
          <w:p w14:paraId="7853F7E9" w14:textId="77777777" w:rsidR="00093D02" w:rsidRDefault="00093D02" w:rsidP="00C86F4B">
            <w:pPr>
              <w:pStyle w:val="ListParagraph"/>
              <w:spacing w:before="0" w:after="160"/>
              <w:ind w:left="0"/>
              <w:jc w:val="both"/>
            </w:pPr>
            <w:r>
              <w:t>Host starting source port number</w:t>
            </w:r>
          </w:p>
        </w:tc>
        <w:tc>
          <w:tcPr>
            <w:tcW w:w="2865" w:type="dxa"/>
          </w:tcPr>
          <w:p w14:paraId="485AA878" w14:textId="77777777" w:rsidR="00093D02" w:rsidRDefault="00093D02" w:rsidP="00C86F4B">
            <w:pPr>
              <w:pStyle w:val="ListParagraph"/>
              <w:spacing w:before="0" w:after="160"/>
              <w:ind w:left="0"/>
              <w:jc w:val="both"/>
            </w:pPr>
            <w:r>
              <w:t>70</w:t>
            </w:r>
          </w:p>
        </w:tc>
      </w:tr>
      <w:tr w:rsidR="00093D02" w14:paraId="30CDAF5D" w14:textId="77777777" w:rsidTr="00C86F4B">
        <w:tc>
          <w:tcPr>
            <w:tcW w:w="3304" w:type="dxa"/>
          </w:tcPr>
          <w:p w14:paraId="1EFF332B" w14:textId="77777777" w:rsidR="00093D02" w:rsidRDefault="00093D02" w:rsidP="00C86F4B">
            <w:pPr>
              <w:pStyle w:val="ListParagraph"/>
              <w:spacing w:before="0" w:after="160"/>
              <w:ind w:left="0"/>
              <w:jc w:val="both"/>
            </w:pPr>
            <w:proofErr w:type="spellStart"/>
            <w:proofErr w:type="gramStart"/>
            <w:r>
              <w:t>ds.host</w:t>
            </w:r>
            <w:proofErr w:type="gramEnd"/>
            <w:r>
              <w:t>_src_port_end</w:t>
            </w:r>
            <w:proofErr w:type="spellEnd"/>
          </w:p>
        </w:tc>
        <w:tc>
          <w:tcPr>
            <w:tcW w:w="3541" w:type="dxa"/>
          </w:tcPr>
          <w:p w14:paraId="3F5ACBB8" w14:textId="77777777" w:rsidR="00093D02" w:rsidRDefault="00093D02" w:rsidP="00C86F4B">
            <w:pPr>
              <w:pStyle w:val="ListParagraph"/>
              <w:spacing w:before="0" w:after="160"/>
              <w:ind w:left="0"/>
              <w:jc w:val="both"/>
            </w:pPr>
            <w:r>
              <w:t>Host ending source port number</w:t>
            </w:r>
          </w:p>
        </w:tc>
        <w:tc>
          <w:tcPr>
            <w:tcW w:w="2865" w:type="dxa"/>
          </w:tcPr>
          <w:p w14:paraId="1946162E" w14:textId="77777777" w:rsidR="00093D02" w:rsidRDefault="00093D02" w:rsidP="00C86F4B">
            <w:pPr>
              <w:pStyle w:val="ListParagraph"/>
              <w:spacing w:before="0" w:after="160"/>
              <w:ind w:left="0"/>
              <w:jc w:val="both"/>
            </w:pPr>
            <w:r>
              <w:t>40000</w:t>
            </w:r>
          </w:p>
        </w:tc>
      </w:tr>
      <w:tr w:rsidR="00093D02" w14:paraId="40B3E7DE" w14:textId="77777777" w:rsidTr="00C86F4B">
        <w:tc>
          <w:tcPr>
            <w:tcW w:w="3304" w:type="dxa"/>
          </w:tcPr>
          <w:p w14:paraId="5DCD55A8" w14:textId="77777777" w:rsidR="00093D02" w:rsidRDefault="00093D02" w:rsidP="00C86F4B">
            <w:pPr>
              <w:pStyle w:val="ListParagraph"/>
              <w:spacing w:before="0" w:after="160"/>
              <w:ind w:left="0"/>
              <w:jc w:val="both"/>
            </w:pPr>
            <w:proofErr w:type="spellStart"/>
            <w:proofErr w:type="gramStart"/>
            <w:r>
              <w:t>ds.local</w:t>
            </w:r>
            <w:proofErr w:type="gramEnd"/>
            <w:r>
              <w:t>_udp_port_range_start</w:t>
            </w:r>
            <w:proofErr w:type="spellEnd"/>
          </w:p>
        </w:tc>
        <w:tc>
          <w:tcPr>
            <w:tcW w:w="3541" w:type="dxa"/>
          </w:tcPr>
          <w:p w14:paraId="295BE3D3" w14:textId="77777777" w:rsidR="00093D02" w:rsidRDefault="00093D02" w:rsidP="00C86F4B">
            <w:pPr>
              <w:pStyle w:val="ListParagraph"/>
              <w:spacing w:before="0" w:after="160"/>
              <w:ind w:left="0"/>
              <w:jc w:val="both"/>
            </w:pPr>
            <w:r>
              <w:t>Talaria TWO starting UDP source port number</w:t>
            </w:r>
          </w:p>
        </w:tc>
        <w:tc>
          <w:tcPr>
            <w:tcW w:w="2865" w:type="dxa"/>
          </w:tcPr>
          <w:p w14:paraId="453FEEAB" w14:textId="77777777" w:rsidR="00093D02" w:rsidRDefault="00093D02" w:rsidP="00C86F4B">
            <w:pPr>
              <w:pStyle w:val="ListParagraph"/>
              <w:spacing w:before="0" w:after="160"/>
              <w:ind w:left="0"/>
              <w:jc w:val="both"/>
            </w:pPr>
            <w:r>
              <w:t>49152</w:t>
            </w:r>
          </w:p>
        </w:tc>
      </w:tr>
      <w:tr w:rsidR="00093D02" w14:paraId="16AC54AF" w14:textId="77777777" w:rsidTr="00C86F4B">
        <w:tc>
          <w:tcPr>
            <w:tcW w:w="3304" w:type="dxa"/>
          </w:tcPr>
          <w:p w14:paraId="50D31001" w14:textId="77777777" w:rsidR="00093D02" w:rsidRDefault="00093D02" w:rsidP="00C86F4B">
            <w:pPr>
              <w:pStyle w:val="ListParagraph"/>
              <w:spacing w:before="0" w:after="160"/>
              <w:ind w:left="0"/>
              <w:jc w:val="both"/>
            </w:pPr>
            <w:proofErr w:type="spellStart"/>
            <w:proofErr w:type="gramStart"/>
            <w:r>
              <w:t>ds.local</w:t>
            </w:r>
            <w:proofErr w:type="gramEnd"/>
            <w:r>
              <w:t>_udp_port_range_end</w:t>
            </w:r>
            <w:proofErr w:type="spellEnd"/>
          </w:p>
        </w:tc>
        <w:tc>
          <w:tcPr>
            <w:tcW w:w="3541" w:type="dxa"/>
          </w:tcPr>
          <w:p w14:paraId="4C19E6D5" w14:textId="77777777" w:rsidR="00093D02" w:rsidRDefault="00093D02" w:rsidP="00C86F4B">
            <w:pPr>
              <w:pStyle w:val="ListParagraph"/>
              <w:spacing w:before="0" w:after="160"/>
              <w:ind w:left="0"/>
              <w:jc w:val="both"/>
            </w:pPr>
            <w:r>
              <w:t>Talaria TWO ending UDP source port number</w:t>
            </w:r>
          </w:p>
        </w:tc>
        <w:tc>
          <w:tcPr>
            <w:tcW w:w="2865" w:type="dxa"/>
          </w:tcPr>
          <w:p w14:paraId="18B94582" w14:textId="77777777" w:rsidR="00093D02" w:rsidRDefault="00093D02" w:rsidP="00C86F4B">
            <w:pPr>
              <w:pStyle w:val="ListParagraph"/>
              <w:spacing w:before="0" w:after="160"/>
              <w:ind w:left="0"/>
              <w:jc w:val="both"/>
            </w:pPr>
            <w:r>
              <w:t>65535</w:t>
            </w:r>
          </w:p>
        </w:tc>
      </w:tr>
      <w:tr w:rsidR="00093D02" w14:paraId="61042BEA" w14:textId="77777777" w:rsidTr="00C86F4B">
        <w:tc>
          <w:tcPr>
            <w:tcW w:w="3304" w:type="dxa"/>
          </w:tcPr>
          <w:p w14:paraId="6C3989D9" w14:textId="77777777" w:rsidR="00093D02" w:rsidRDefault="00093D02" w:rsidP="00C86F4B">
            <w:pPr>
              <w:pStyle w:val="ListParagraph"/>
              <w:spacing w:before="0" w:after="160"/>
              <w:ind w:left="0"/>
              <w:jc w:val="both"/>
            </w:pPr>
            <w:proofErr w:type="spellStart"/>
            <w:proofErr w:type="gramStart"/>
            <w:r>
              <w:lastRenderedPageBreak/>
              <w:t>ds.local</w:t>
            </w:r>
            <w:proofErr w:type="gramEnd"/>
            <w:r>
              <w:t>_tcp_port_range_start</w:t>
            </w:r>
            <w:proofErr w:type="spellEnd"/>
          </w:p>
        </w:tc>
        <w:tc>
          <w:tcPr>
            <w:tcW w:w="3541" w:type="dxa"/>
          </w:tcPr>
          <w:p w14:paraId="766A4696" w14:textId="77777777" w:rsidR="00093D02" w:rsidRDefault="00093D02" w:rsidP="00C86F4B">
            <w:pPr>
              <w:pStyle w:val="ListParagraph"/>
              <w:spacing w:before="0" w:after="160"/>
              <w:ind w:left="0"/>
              <w:jc w:val="both"/>
            </w:pPr>
            <w:r>
              <w:t>Talaria TWO starting TCP source port number</w:t>
            </w:r>
          </w:p>
        </w:tc>
        <w:tc>
          <w:tcPr>
            <w:tcW w:w="2865" w:type="dxa"/>
          </w:tcPr>
          <w:p w14:paraId="6622D2F7" w14:textId="77777777" w:rsidR="00093D02" w:rsidRDefault="00093D02" w:rsidP="00C86F4B">
            <w:pPr>
              <w:pStyle w:val="ListParagraph"/>
              <w:spacing w:before="0" w:after="160"/>
              <w:ind w:left="0"/>
              <w:jc w:val="both"/>
            </w:pPr>
            <w:r>
              <w:t>49152</w:t>
            </w:r>
          </w:p>
        </w:tc>
      </w:tr>
      <w:tr w:rsidR="00093D02" w14:paraId="6C58063D" w14:textId="77777777" w:rsidTr="00C86F4B">
        <w:tc>
          <w:tcPr>
            <w:tcW w:w="3304" w:type="dxa"/>
          </w:tcPr>
          <w:p w14:paraId="78159635" w14:textId="77777777" w:rsidR="00093D02" w:rsidRDefault="00093D02" w:rsidP="00C86F4B">
            <w:pPr>
              <w:pStyle w:val="ListParagraph"/>
              <w:spacing w:before="0" w:after="160"/>
              <w:ind w:left="0"/>
              <w:jc w:val="both"/>
            </w:pPr>
            <w:proofErr w:type="spellStart"/>
            <w:proofErr w:type="gramStart"/>
            <w:r>
              <w:t>ds.local</w:t>
            </w:r>
            <w:proofErr w:type="gramEnd"/>
            <w:r>
              <w:t>_tcp_port_range_end</w:t>
            </w:r>
            <w:proofErr w:type="spellEnd"/>
          </w:p>
        </w:tc>
        <w:tc>
          <w:tcPr>
            <w:tcW w:w="3541" w:type="dxa"/>
          </w:tcPr>
          <w:p w14:paraId="6F30662A" w14:textId="77777777" w:rsidR="00093D02" w:rsidRDefault="00093D02" w:rsidP="00C86F4B">
            <w:pPr>
              <w:pStyle w:val="ListParagraph"/>
              <w:spacing w:before="0" w:after="160"/>
              <w:ind w:left="0"/>
              <w:jc w:val="both"/>
            </w:pPr>
            <w:r>
              <w:t>Talaria TWO ending TCP source port number</w:t>
            </w:r>
          </w:p>
        </w:tc>
        <w:tc>
          <w:tcPr>
            <w:tcW w:w="2865" w:type="dxa"/>
          </w:tcPr>
          <w:p w14:paraId="2ECC3D4A" w14:textId="77777777" w:rsidR="00093D02" w:rsidRDefault="00093D02" w:rsidP="00C86F4B">
            <w:pPr>
              <w:pStyle w:val="ListParagraph"/>
              <w:spacing w:before="0" w:after="160"/>
              <w:ind w:left="0"/>
              <w:jc w:val="both"/>
            </w:pPr>
            <w:r>
              <w:t>65535</w:t>
            </w:r>
          </w:p>
        </w:tc>
      </w:tr>
      <w:tr w:rsidR="00093D02" w14:paraId="136CD594" w14:textId="77777777" w:rsidTr="00C86F4B">
        <w:tc>
          <w:tcPr>
            <w:tcW w:w="3304" w:type="dxa"/>
          </w:tcPr>
          <w:p w14:paraId="07F44182" w14:textId="77777777" w:rsidR="00093D02" w:rsidRDefault="00093D02" w:rsidP="00C86F4B">
            <w:pPr>
              <w:pStyle w:val="ListParagraph"/>
              <w:spacing w:before="0" w:after="160"/>
              <w:ind w:left="0"/>
              <w:jc w:val="both"/>
            </w:pPr>
            <w:proofErr w:type="spellStart"/>
            <w:r>
              <w:t>ds.dns_port_start</w:t>
            </w:r>
            <w:proofErr w:type="spellEnd"/>
          </w:p>
        </w:tc>
        <w:tc>
          <w:tcPr>
            <w:tcW w:w="3541" w:type="dxa"/>
          </w:tcPr>
          <w:p w14:paraId="4081C8B5" w14:textId="77777777" w:rsidR="00093D02" w:rsidRDefault="00093D02" w:rsidP="00C86F4B">
            <w:pPr>
              <w:pStyle w:val="ListParagraph"/>
              <w:keepNext/>
              <w:spacing w:before="0" w:after="160"/>
              <w:ind w:left="0"/>
              <w:jc w:val="both"/>
            </w:pPr>
            <w:r>
              <w:t>Talaria TWO starting DNS source port number</w:t>
            </w:r>
          </w:p>
        </w:tc>
        <w:tc>
          <w:tcPr>
            <w:tcW w:w="2865" w:type="dxa"/>
          </w:tcPr>
          <w:p w14:paraId="4DFD8F3C" w14:textId="77777777" w:rsidR="00093D02" w:rsidRDefault="00093D02" w:rsidP="00C86F4B">
            <w:pPr>
              <w:pStyle w:val="ListParagraph"/>
              <w:keepNext/>
              <w:spacing w:before="0" w:after="160"/>
              <w:ind w:left="0"/>
              <w:jc w:val="both"/>
            </w:pPr>
            <w:r>
              <w:t>49152</w:t>
            </w:r>
          </w:p>
        </w:tc>
      </w:tr>
    </w:tbl>
    <w:p w14:paraId="514A4E01" w14:textId="443A7E64" w:rsidR="00093D02" w:rsidRDefault="00093D02" w:rsidP="00093D02">
      <w:pPr>
        <w:pStyle w:val="Caption"/>
        <w:jc w:val="center"/>
      </w:pPr>
      <w:bookmarkStart w:id="0" w:name="_Toc148526150"/>
      <w:r>
        <w:t xml:space="preserve">Table </w:t>
      </w:r>
      <w:r>
        <w:fldChar w:fldCharType="begin"/>
      </w:r>
      <w:r>
        <w:instrText>SEQ Table \* ARABIC</w:instrText>
      </w:r>
      <w:r>
        <w:fldChar w:fldCharType="separate"/>
      </w:r>
      <w:r>
        <w:rPr>
          <w:noProof/>
        </w:rPr>
        <w:t>1</w:t>
      </w:r>
      <w:r>
        <w:fldChar w:fldCharType="end"/>
      </w:r>
      <w:r>
        <w:t xml:space="preserve">: Boot arguments to configure source port </w:t>
      </w:r>
      <w:proofErr w:type="gramStart"/>
      <w:r>
        <w:t>ranges</w:t>
      </w:r>
      <w:bookmarkEnd w:id="0"/>
      <w:proofErr w:type="gramEnd"/>
    </w:p>
    <w:p w14:paraId="2A9F61E5" w14:textId="77777777" w:rsidR="00093D02" w:rsidRDefault="00093D02" w:rsidP="00093D02"/>
    <w:p w14:paraId="3F7B4663" w14:textId="77777777" w:rsidR="00093D02" w:rsidRDefault="00093D02" w:rsidP="00093D02">
      <w:pPr>
        <w:pStyle w:val="ListParagraph"/>
        <w:numPr>
          <w:ilvl w:val="0"/>
          <w:numId w:val="1"/>
        </w:numPr>
      </w:pPr>
      <w:r>
        <w:t>Packet Forward Configuration</w:t>
      </w:r>
    </w:p>
    <w:p w14:paraId="774826A4" w14:textId="77777777" w:rsidR="00093D02" w:rsidRDefault="00093D02" w:rsidP="00093D02">
      <w:pPr>
        <w:pStyle w:val="ListParagraph"/>
        <w:ind w:left="1080"/>
        <w:jc w:val="both"/>
      </w:pPr>
      <w:r>
        <w:t xml:space="preserve">The packet forward configuration in the Dual-Stack solution extends the flexibility to configure multiple rules for packet forwarding. </w:t>
      </w:r>
    </w:p>
    <w:p w14:paraId="25FF6A40" w14:textId="77777777" w:rsidR="00093D02" w:rsidRDefault="00093D02" w:rsidP="00093D02">
      <w:pPr>
        <w:pStyle w:val="ListParagraph"/>
        <w:ind w:left="1080"/>
        <w:jc w:val="both"/>
      </w:pPr>
    </w:p>
    <w:p w14:paraId="529BD8B7" w14:textId="77777777" w:rsidR="00093D02" w:rsidRDefault="00093D02" w:rsidP="00093D02">
      <w:pPr>
        <w:pStyle w:val="ListParagraph"/>
        <w:ind w:left="1080"/>
        <w:jc w:val="both"/>
      </w:pPr>
      <w:r>
        <w:t>The packet forward module provides the following features:</w:t>
      </w:r>
    </w:p>
    <w:p w14:paraId="3FD5B88D" w14:textId="77777777" w:rsidR="00093D02" w:rsidRDefault="00093D02" w:rsidP="00093D02">
      <w:pPr>
        <w:pStyle w:val="ListParagraph"/>
        <w:numPr>
          <w:ilvl w:val="1"/>
          <w:numId w:val="1"/>
        </w:numPr>
        <w:jc w:val="both"/>
      </w:pPr>
      <w:r>
        <w:t xml:space="preserve">Packet forwarding based on multiple local port/port </w:t>
      </w:r>
      <w:proofErr w:type="gramStart"/>
      <w:r>
        <w:t>ranges</w:t>
      </w:r>
      <w:proofErr w:type="gramEnd"/>
    </w:p>
    <w:p w14:paraId="0515CB6C" w14:textId="77777777" w:rsidR="00093D02" w:rsidRDefault="00093D02" w:rsidP="00093D02">
      <w:pPr>
        <w:pStyle w:val="ListParagraph"/>
        <w:numPr>
          <w:ilvl w:val="1"/>
          <w:numId w:val="1"/>
        </w:numPr>
        <w:jc w:val="both"/>
      </w:pPr>
      <w:r>
        <w:t>Packet forwarding based on multiple remote IP/</w:t>
      </w:r>
      <w:proofErr w:type="gramStart"/>
      <w:r>
        <w:t>ports</w:t>
      </w:r>
      <w:proofErr w:type="gramEnd"/>
    </w:p>
    <w:p w14:paraId="3029ABAD" w14:textId="77777777" w:rsidR="00093D02" w:rsidRDefault="00093D02" w:rsidP="00093D02">
      <w:pPr>
        <w:pStyle w:val="ListParagraph"/>
        <w:numPr>
          <w:ilvl w:val="1"/>
          <w:numId w:val="1"/>
        </w:numPr>
      </w:pPr>
      <w:r>
        <w:t xml:space="preserve">Ability to be configured dynamically, providing the control to have product specific packet forwarding </w:t>
      </w:r>
      <w:proofErr w:type="gramStart"/>
      <w:r>
        <w:t>rule</w:t>
      </w:r>
      <w:proofErr w:type="gramEnd"/>
    </w:p>
    <w:p w14:paraId="49ABE397" w14:textId="77777777" w:rsidR="00093D02" w:rsidRDefault="00093D02" w:rsidP="00093D02">
      <w:pPr>
        <w:pStyle w:val="ListParagraph"/>
        <w:numPr>
          <w:ilvl w:val="1"/>
          <w:numId w:val="1"/>
        </w:numPr>
      </w:pPr>
      <w:r>
        <w:t xml:space="preserve">Ability to define the packet </w:t>
      </w:r>
      <w:proofErr w:type="gramStart"/>
      <w:r>
        <w:t>direction</w:t>
      </w:r>
      <w:proofErr w:type="gramEnd"/>
    </w:p>
    <w:p w14:paraId="6246E63B" w14:textId="77777777" w:rsidR="00093D02" w:rsidRDefault="00093D02" w:rsidP="00093D02">
      <w:pPr>
        <w:pStyle w:val="ListParagraph"/>
        <w:ind w:left="1800"/>
      </w:pPr>
    </w:p>
    <w:p w14:paraId="54FB3F1F" w14:textId="77777777" w:rsidR="00093D02" w:rsidRDefault="00093D02" w:rsidP="00093D02">
      <w:pPr>
        <w:pStyle w:val="ListParagraph"/>
        <w:ind w:left="1080"/>
      </w:pPr>
      <w:r>
        <w:t>Following boot argument helps configure the source port ranges for both Host and Talaria TWO:</w:t>
      </w:r>
    </w:p>
    <w:tbl>
      <w:tblPr>
        <w:tblStyle w:val="TableGrid"/>
        <w:tblW w:w="9710" w:type="dxa"/>
        <w:tblInd w:w="1080" w:type="dxa"/>
        <w:tblLook w:val="04A0" w:firstRow="1" w:lastRow="0" w:firstColumn="1" w:lastColumn="0" w:noHBand="0" w:noVBand="1"/>
      </w:tblPr>
      <w:tblGrid>
        <w:gridCol w:w="3273"/>
        <w:gridCol w:w="3255"/>
        <w:gridCol w:w="3182"/>
      </w:tblGrid>
      <w:tr w:rsidR="00093D02" w14:paraId="2666721C" w14:textId="77777777" w:rsidTr="00C86F4B">
        <w:tc>
          <w:tcPr>
            <w:tcW w:w="3273" w:type="dxa"/>
            <w:shd w:val="clear" w:color="auto" w:fill="E7E6E6"/>
            <w:vAlign w:val="center"/>
          </w:tcPr>
          <w:p w14:paraId="45B1725C" w14:textId="77777777" w:rsidR="00093D02" w:rsidRDefault="00093D02" w:rsidP="00C86F4B">
            <w:pPr>
              <w:pStyle w:val="ListParagraph"/>
              <w:spacing w:before="0"/>
              <w:ind w:left="0"/>
              <w:rPr>
                <w:b/>
                <w:bCs/>
              </w:rPr>
            </w:pPr>
            <w:r>
              <w:rPr>
                <w:b/>
                <w:bCs/>
              </w:rPr>
              <w:t>Boot argument</w:t>
            </w:r>
          </w:p>
        </w:tc>
        <w:tc>
          <w:tcPr>
            <w:tcW w:w="3255" w:type="dxa"/>
            <w:shd w:val="clear" w:color="auto" w:fill="E7E6E6"/>
            <w:vAlign w:val="center"/>
          </w:tcPr>
          <w:p w14:paraId="437D150E" w14:textId="77777777" w:rsidR="00093D02" w:rsidRDefault="00093D02" w:rsidP="00C86F4B">
            <w:pPr>
              <w:pStyle w:val="ListParagraph"/>
              <w:spacing w:before="0"/>
              <w:ind w:left="0"/>
              <w:rPr>
                <w:b/>
                <w:bCs/>
              </w:rPr>
            </w:pPr>
            <w:r>
              <w:rPr>
                <w:b/>
                <w:bCs/>
              </w:rPr>
              <w:t>Description</w:t>
            </w:r>
          </w:p>
        </w:tc>
        <w:tc>
          <w:tcPr>
            <w:tcW w:w="3182" w:type="dxa"/>
            <w:shd w:val="clear" w:color="auto" w:fill="E7E6E6"/>
            <w:vAlign w:val="center"/>
          </w:tcPr>
          <w:p w14:paraId="309D8790" w14:textId="77777777" w:rsidR="00093D02" w:rsidRDefault="00093D02" w:rsidP="00C86F4B">
            <w:pPr>
              <w:pStyle w:val="ListParagraph"/>
              <w:spacing w:before="0"/>
              <w:ind w:left="0"/>
              <w:rPr>
                <w:b/>
                <w:bCs/>
              </w:rPr>
            </w:pPr>
            <w:r>
              <w:rPr>
                <w:b/>
                <w:bCs/>
              </w:rPr>
              <w:t>Default Value</w:t>
            </w:r>
          </w:p>
        </w:tc>
      </w:tr>
      <w:tr w:rsidR="00093D02" w14:paraId="260CD3DB" w14:textId="77777777" w:rsidTr="00C86F4B">
        <w:tc>
          <w:tcPr>
            <w:tcW w:w="3273" w:type="dxa"/>
            <w:vAlign w:val="center"/>
          </w:tcPr>
          <w:p w14:paraId="43346AFF" w14:textId="77777777" w:rsidR="00093D02" w:rsidRDefault="00093D02" w:rsidP="00C86F4B">
            <w:pPr>
              <w:pStyle w:val="ListParagraph"/>
              <w:spacing w:before="0"/>
              <w:ind w:left="0"/>
            </w:pPr>
            <w:proofErr w:type="spellStart"/>
            <w:r>
              <w:t>ds.pf_method</w:t>
            </w:r>
            <w:proofErr w:type="spellEnd"/>
          </w:p>
        </w:tc>
        <w:tc>
          <w:tcPr>
            <w:tcW w:w="3255" w:type="dxa"/>
            <w:vAlign w:val="center"/>
          </w:tcPr>
          <w:p w14:paraId="4CF995C6" w14:textId="77777777" w:rsidR="00093D02" w:rsidRDefault="00093D02" w:rsidP="00C86F4B">
            <w:pPr>
              <w:pStyle w:val="ListParagraph"/>
              <w:spacing w:before="0"/>
              <w:ind w:left="0"/>
            </w:pPr>
            <w:r>
              <w:t>Packet forward approach</w:t>
            </w:r>
          </w:p>
        </w:tc>
        <w:tc>
          <w:tcPr>
            <w:tcW w:w="3182" w:type="dxa"/>
            <w:vAlign w:val="center"/>
          </w:tcPr>
          <w:p w14:paraId="1DF39E4E" w14:textId="77777777" w:rsidR="00093D02" w:rsidRDefault="00093D02" w:rsidP="00C86F4B">
            <w:pPr>
              <w:pStyle w:val="ListParagraph"/>
              <w:keepNext/>
              <w:spacing w:before="0"/>
              <w:ind w:left="0"/>
            </w:pPr>
            <w:r>
              <w:t>2</w:t>
            </w:r>
          </w:p>
        </w:tc>
      </w:tr>
    </w:tbl>
    <w:p w14:paraId="552830E7" w14:textId="21A5B3CB" w:rsidR="00093D02" w:rsidRDefault="00093D02" w:rsidP="00093D02">
      <w:pPr>
        <w:pStyle w:val="Caption"/>
        <w:jc w:val="center"/>
      </w:pPr>
      <w:bookmarkStart w:id="1" w:name="_Toc148526151"/>
      <w:r>
        <w:t xml:space="preserve">Table </w:t>
      </w:r>
      <w:r>
        <w:fldChar w:fldCharType="begin"/>
      </w:r>
      <w:r>
        <w:instrText>SEQ Table \* ARABIC</w:instrText>
      </w:r>
      <w:r>
        <w:fldChar w:fldCharType="separate"/>
      </w:r>
      <w:r>
        <w:rPr>
          <w:noProof/>
        </w:rPr>
        <w:t>2</w:t>
      </w:r>
      <w:r>
        <w:fldChar w:fldCharType="end"/>
      </w:r>
      <w:r>
        <w:t xml:space="preserve">: Boot argument for packet forwarding </w:t>
      </w:r>
      <w:proofErr w:type="gramStart"/>
      <w:r>
        <w:t>configuration</w:t>
      </w:r>
      <w:bookmarkEnd w:id="1"/>
      <w:proofErr w:type="gramEnd"/>
    </w:p>
    <w:p w14:paraId="01E8FE8A" w14:textId="77777777" w:rsidR="00093D02" w:rsidRDefault="00093D02" w:rsidP="00093D02"/>
    <w:p w14:paraId="6279A7D5" w14:textId="77777777" w:rsidR="00093D02" w:rsidRDefault="00093D02" w:rsidP="00093D02">
      <w:pPr>
        <w:pStyle w:val="ListParagraph"/>
        <w:numPr>
          <w:ilvl w:val="0"/>
          <w:numId w:val="1"/>
        </w:numPr>
      </w:pPr>
      <w:proofErr w:type="spellStart"/>
      <w:r>
        <w:t>custom_fos</w:t>
      </w:r>
      <w:proofErr w:type="spellEnd"/>
      <w:r>
        <w:t xml:space="preserve"> application</w:t>
      </w:r>
    </w:p>
    <w:p w14:paraId="70287CF5" w14:textId="77777777" w:rsidR="00093D02" w:rsidRDefault="00093D02" w:rsidP="00093D02">
      <w:pPr>
        <w:pStyle w:val="ListParagraph"/>
        <w:ind w:left="1080"/>
      </w:pPr>
      <w:r>
        <w:t xml:space="preserve">This application demonstrates the use of Firmware Upgrade Over Serial. Using this application, Talaria TWO ELF can be upgraded from the Host. Host provides the Talaria TWO ELF to be upgraded. The ELF will be sent over serial using FOS HAPI commands. </w:t>
      </w:r>
    </w:p>
    <w:p w14:paraId="35611F78"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0564B"/>
    <w:multiLevelType w:val="multilevel"/>
    <w:tmpl w:val="A108210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numFmt w:val="bullet"/>
      <w:lvlText w:val="•"/>
      <w:lvlJc w:val="left"/>
      <w:pPr>
        <w:tabs>
          <w:tab w:val="num" w:pos="0"/>
        </w:tabs>
        <w:ind w:left="3240" w:hanging="360"/>
      </w:pPr>
      <w:rPr>
        <w:rFonts w:ascii="Calibri" w:hAnsi="Calibri" w:cs="Calibri" w:hint="default"/>
      </w:r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18935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02"/>
    <w:rsid w:val="00093D02"/>
    <w:rsid w:val="002E1B78"/>
    <w:rsid w:val="003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AC7"/>
  <w15:chartTrackingRefBased/>
  <w15:docId w15:val="{13FF3836-882E-418D-BEFB-B14D5503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02"/>
    <w:pPr>
      <w:suppressAutoHyphens/>
      <w:spacing w:before="120" w:after="0"/>
    </w:pPr>
    <w:rPr>
      <w:rFonts w:ascii="Arial" w:hAnsi="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D02"/>
    <w:rPr>
      <w:color w:val="0563C1" w:themeColor="hyperlink"/>
      <w:u w:val="single"/>
    </w:rPr>
  </w:style>
  <w:style w:type="paragraph" w:styleId="Caption">
    <w:name w:val="caption"/>
    <w:basedOn w:val="Normal"/>
    <w:next w:val="Normal"/>
    <w:uiPriority w:val="35"/>
    <w:unhideWhenUsed/>
    <w:qFormat/>
    <w:rsid w:val="00093D02"/>
    <w:pPr>
      <w:spacing w:before="0" w:after="200" w:line="240" w:lineRule="auto"/>
      <w:ind w:left="720"/>
    </w:pPr>
    <w:rPr>
      <w:rFonts w:asciiTheme="minorHAnsi" w:hAnsiTheme="minorHAnsi"/>
      <w:i/>
      <w:iCs/>
      <w:color w:val="44546A" w:themeColor="text2"/>
      <w:sz w:val="18"/>
      <w:szCs w:val="18"/>
    </w:rPr>
  </w:style>
  <w:style w:type="paragraph" w:styleId="ListParagraph">
    <w:name w:val="List Paragraph"/>
    <w:basedOn w:val="Normal"/>
    <w:uiPriority w:val="34"/>
    <w:qFormat/>
    <w:rsid w:val="00093D02"/>
    <w:pPr>
      <w:ind w:left="720"/>
      <w:contextualSpacing/>
    </w:pPr>
  </w:style>
  <w:style w:type="table" w:styleId="TableGrid">
    <w:name w:val="Table Grid"/>
    <w:basedOn w:val="TableNormal"/>
    <w:uiPriority w:val="39"/>
    <w:rsid w:val="00093D02"/>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2023-10-28T06:53:00Z</dcterms:created>
  <dcterms:modified xsi:type="dcterms:W3CDTF">2023-10-28T06:53:00Z</dcterms:modified>
</cp:coreProperties>
</file>