
<file path=[Content_Types].xml><?xml version="1.0" encoding="utf-8"?>
<Types xmlns="http://schemas.openxmlformats.org/package/2006/content-types">
  <Default Extension="rels" ContentType="application/vnd.openxmlformats-package.relationships+xml"/>
  <Default Extension="svg" ContentType="image/svg+xml"/>
  <Default Extension="gif" ContentType="image/gif"/>
  <Default Extension="bmp" ContentType="image/bmp"/>
  <Default Extension="odttf" ContentType="application/vnd.openxmlformats-officedocument.obfuscatedFont"/>
  <Default Extension="jpeg" ContentType="image/jpeg"/>
  <Default Extension="png" ContentType="image/png"/>
  <Default Extension="jpg" ContentType="image/jpeg"/>
  <Default Extension="xml" ContentType="application/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 mc:Ignorable="w14 wp14 ">
  <w:body>
    <w:p w14:paraId="00000003">
      <w:pPr>
        <w:spacing w:before="200" w:beforeAutospacing="0" w:after="0" w:afterAutospacing="0"/>
        <w:rPr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>VULNERABILITY ASSESSMENT</w:t>
      </w:r>
    </w:p>
    <w:p w14:paraId="00000004">
      <w:pPr>
        <w:pBdr>
          <w:bottom w:val="single" w:color="2e75b6" w:sz="12" w:space="1"/>
        </w:pBdr>
        <w:spacing w:before="0" w:beforeAutospacing="0" w:after="40" w:afterAutospacing="0"/>
        <w:rPr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>REPORT</w:t>
      </w:r>
    </w:p>
    <w:p w14:paraId="00000005">
      <w:pPr>
        <w:spacing w:before="6" w:beforeAutospacing="0" w:after="0" w:afterAutospacing="0"/>
        <w:rPr/>
      </w:pPr>
      <w:r>
        <w:rPr>
          <w:rFonts w:ascii="Arial" w:cs="Arial" w:eastAsia="Arial" w:hAnsi="Arial"/>
          <w:color w:val="595959"/>
          <w:sz w:val="24"/>
          <w:szCs w:val="24"/>
        </w:rPr>
        <w:t>Passive Reconnaissance  ·  Read-Only Scope</w:t>
      </w:r>
    </w:p>
    <w:p w14:paraId="00000006">
      <w:pPr>
        <w:spacing w:before="0" w:beforeAutospacing="0" w:after="100" w:afterAutospacing="0"/>
        <w:rPr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600"/>
        <w:gridCol w:w="6760"/>
      </w:tblGrid>
      <w:tr>
        <w:trPr/>
        <w:tc>
          <w:tcPr>
            <w:cnfStyle w:val="1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7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Prepared by</w:t>
            </w:r>
          </w:p>
        </w:tc>
        <w:tc>
          <w:tcPr>
            <w:cnfStyle w:val="1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8">
            <w:r>
              <w:rPr>
                <w:rFonts w:ascii="Arial" w:cs="Arial" w:eastAsia="Arial" w:hAnsi="Arial"/>
                <w:sz w:val="20"/>
                <w:szCs w:val="20"/>
              </w:rPr>
              <w:t>Future Interns — Cyber Security Task 1 (2026)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9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Report Date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A">
            <w:r>
              <w:rPr>
                <w:rFonts w:ascii="Arial" w:cs="Arial" w:eastAsia="Arial" w:hAnsi="Arial"/>
                <w:sz w:val="20"/>
                <w:szCs w:val="20"/>
              </w:rPr>
              <w:t>17 March 2026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B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Target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C">
            <w:r>
              <w:rPr>
                <w:rFonts w:ascii="Arial" w:cs="Arial" w:eastAsia="Arial" w:hAnsi="Arial"/>
                <w:sz w:val="20"/>
                <w:szCs w:val="20"/>
              </w:rPr>
              <w:t>Demo Site: http://demo.testfire.net (AltoroMutual — Dev/Test)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D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Assessment Type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E">
            <w:r>
              <w:rPr>
                <w:rFonts w:ascii="Arial" w:cs="Arial" w:eastAsia="Arial" w:hAnsi="Arial"/>
                <w:sz w:val="20"/>
                <w:szCs w:val="20"/>
              </w:rPr>
              <w:t>Passive Vulnerability Assessment (Read-Only Scope)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F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Methodology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0">
            <w:r>
              <w:rPr>
                <w:rFonts w:ascii="Arial" w:cs="Arial" w:eastAsia="Arial" w:hAnsi="Arial"/>
                <w:sz w:val="20"/>
                <w:szCs w:val="20"/>
              </w:rPr>
              <w:t>OWASP Testing Guide · CWE Reference · CVE Database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1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Tools Used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2">
            <w:r>
              <w:rPr>
                <w:rFonts w:ascii="Arial" w:cs="Arial" w:eastAsia="Arial" w:hAnsi="Arial"/>
                <w:sz w:val="20"/>
                <w:szCs w:val="20"/>
              </w:rPr>
              <w:t>Nmap, Browser DevTools, Passive Reconnaissance Techniques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3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Classification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4">
            <w:r>
              <w:rPr>
                <w:rFonts w:ascii="Arial" w:cs="Arial" w:eastAsia="Arial" w:hAnsi="Arial"/>
                <w:sz w:val="20"/>
                <w:szCs w:val="20"/>
              </w:rPr>
              <w:t>Confidential — For Training Purposes Only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5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Author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6">
            <w:r>
              <w:rPr>
                <w:rFonts w:ascii="Arial" w:cs="Arial" w:eastAsia="Arial" w:hAnsi="Arial"/>
                <w:sz w:val="20"/>
                <w:szCs w:val="20"/>
              </w:rPr>
              <w:t>Kouami Gaston KOWOU</w:t>
            </w:r>
          </w:p>
        </w:tc>
      </w:tr>
    </w:tbl>
    <w:p w14:paraId="00000017">
      <w:pPr>
        <w:spacing w:before="0" w:beforeAutospacing="0" w:after="200" w:afterAutospacing="0"/>
        <w:rPr/>
      </w:pPr>
    </w:p>
    <w:p w14:paraId="00000018">
      <w:pPr>
        <w:pStyle w:val="Heading1"/>
        <w:pBdr>
          <w:bottom w:val="single" w:color="2e75b6" w:sz="8" w:space="4"/>
        </w:pBdr>
        <w:spacing w:before="360" w:beforeAutospacing="0" w:after="160" w:afterAutospacing="0"/>
        <w:rPr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>1. Executive Summary</w:t>
      </w:r>
    </w:p>
    <w:p w14:paraId="00000019">
      <w:pPr>
        <w:spacing w:before="60" w:beforeAutospacing="0" w:after="60" w:afterAutospacing="0"/>
        <w:rPr/>
      </w:pPr>
      <w:r>
        <w:rPr>
          <w:rFonts w:ascii="Arial" w:cs="Arial" w:eastAsia="Arial" w:hAnsi="Arial"/>
          <w:sz w:val="22"/>
          <w:szCs w:val="22"/>
        </w:rPr>
        <w:t>This report presents the results of a passive vulnerability assessment conducted on the AltoroMutual demo banking application (demo.testfire.net). This is a publicly available, intentionally vulnerable application designed specifically for security testing and education. The assessment was performed in read-only mode using passive reconnaissance techniques only — no active exploitation or intrusive testing was performed.</w:t>
      </w:r>
    </w:p>
    <w:p w14:paraId="0000001A">
      <w:pPr>
        <w:spacing w:before="0" w:beforeAutospacing="0" w:after="100" w:afterAutospacing="0"/>
        <w:rPr/>
      </w:pPr>
    </w:p>
    <w:p w14:paraId="0000001B">
      <w:pPr>
        <w:spacing w:before="60" w:beforeAutospacing="0" w:after="60" w:afterAutospacing="0"/>
        <w:rPr/>
      </w:pPr>
      <w:r>
        <w:rPr>
          <w:rFonts w:ascii="Arial" w:cs="Arial" w:eastAsia="Arial" w:hAnsi="Arial"/>
          <w:b/>
          <w:bCs/>
          <w:sz w:val="22"/>
          <w:szCs w:val="22"/>
        </w:rPr>
        <w:t>Assessment Overview:</w:t>
      </w:r>
    </w:p>
    <w:p w14:paraId="0000001C">
      <w:pPr>
        <w:pStyle w:val="ListParagraph"/>
        <w:numPr>
          <w:ilvl w:val="0"/>
          <w:numId w:val="2"/>
        </w:numPr>
        <w:spacing w:before="50" w:beforeAutospacing="0" w:after="5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Total Vulnerabilities Identified: 5</w:t>
      </w:r>
    </w:p>
    <w:p w14:paraId="0000001D">
      <w:pPr>
        <w:pStyle w:val="ListParagraph"/>
        <w:numPr>
          <w:ilvl w:val="0"/>
          <w:numId w:val="2"/>
        </w:numPr>
        <w:spacing w:before="50" w:beforeAutospacing="0" w:after="50" w:afterAutospacing="0"/>
        <w:rPr/>
      </w:pPr>
      <w:r>
        <w:rPr>
          <w:rFonts w:ascii="Arial" w:cs="Arial" w:eastAsia="Arial" w:hAnsi="Arial"/>
          <w:color w:val="c00000"/>
          <w:sz w:val="22"/>
          <w:szCs w:val="22"/>
        </w:rPr>
        <w:t>High Severity: 2  |  Medium Severity: 2  |  Low Severity: 1</w:t>
      </w:r>
    </w:p>
    <w:p w14:paraId="0000001E">
      <w:pPr>
        <w:pStyle w:val="ListParagraph"/>
        <w:numPr>
          <w:ilvl w:val="0"/>
          <w:numId w:val="2"/>
        </w:numPr>
        <w:spacing w:before="50" w:beforeAutospacing="0" w:after="5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Target Type: Intentionally vulnerable demo application (safe for testing)</w:t>
      </w:r>
    </w:p>
    <w:p w14:paraId="0000001F">
      <w:pPr>
        <w:pStyle w:val="ListParagraph"/>
        <w:numPr>
          <w:ilvl w:val="0"/>
          <w:numId w:val="2"/>
        </w:numPr>
        <w:spacing w:before="50" w:beforeAutospacing="0" w:after="5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Immediate remediation recommended for all HIGH severity findings</w:t>
      </w:r>
    </w:p>
    <w:p w14:paraId="00000020">
      <w:pPr>
        <w:spacing w:before="0" w:beforeAutospacing="0" w:after="100" w:afterAutospacing="0"/>
        <w:rPr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3120"/>
        <w:gridCol w:w="3120"/>
        <w:gridCol w:w="3120"/>
      </w:tblGrid>
      <w:tr>
        <w:trPr/>
        <w:tc>
          <w:tcPr>
            <w:cnfStyle w:val="100010000000"/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c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21">
            <w:pPr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HIGH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>
2 Findings</w:t>
            </w:r>
          </w:p>
        </w:tc>
        <w:tc>
          <w:tcPr>
            <w:cnfStyle w:val="100001000000"/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36c0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22">
            <w:pPr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MEDIUM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>
2 Findings</w:t>
            </w:r>
          </w:p>
        </w:tc>
        <w:tc>
          <w:tcPr>
            <w:cnfStyle w:val="100010000000"/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b8860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23">
            <w:pPr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LOW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>
1 Finding</w:t>
            </w:r>
          </w:p>
        </w:tc>
      </w:tr>
    </w:tbl>
    <w:p w14:paraId="00000024">
      <w:pPr>
        <w:spacing w:before="0" w:beforeAutospacing="0" w:after="200" w:afterAutospacing="0"/>
        <w:rPr/>
      </w:pPr>
    </w:p>
    <w:p w14:paraId="00000025">
      <w:pPr>
        <w:pStyle w:val="Heading1"/>
        <w:pBdr>
          <w:bottom w:val="single" w:color="2e75b6" w:sz="8" w:space="4"/>
        </w:pBdr>
        <w:spacing w:before="360" w:beforeAutospacing="0" w:after="160" w:afterAutospacing="0"/>
        <w:rPr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>2. Scope &amp; Methodology</w:t>
      </w:r>
    </w:p>
    <w:p w14:paraId="00000026">
      <w:pPr>
        <w:pStyle w:val="Heading2"/>
        <w:spacing w:before="220" w:beforeAutospacing="0" w:after="10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2.1 Assessment Target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600"/>
        <w:gridCol w:w="6760"/>
      </w:tblGrid>
      <w:tr>
        <w:trPr/>
        <w:tc>
          <w:tcPr>
            <w:cnfStyle w:val="1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7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Target Name</w:t>
            </w:r>
          </w:p>
        </w:tc>
        <w:tc>
          <w:tcPr>
            <w:cnfStyle w:val="1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8">
            <w:r>
              <w:rPr>
                <w:rFonts w:ascii="Arial" w:cs="Arial" w:eastAsia="Arial" w:hAnsi="Arial"/>
                <w:sz w:val="20"/>
                <w:szCs w:val="20"/>
              </w:rPr>
              <w:t>AltoroMutual Demo Banking Application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9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Target URL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A">
            <w:r>
              <w:rPr>
                <w:rFonts w:ascii="Arial" w:cs="Arial" w:eastAsia="Arial" w:hAnsi="Arial"/>
                <w:sz w:val="20"/>
                <w:szCs w:val="20"/>
              </w:rPr>
              <w:t>http://demo.testfire.net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B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IP Address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C">
            <w:r>
              <w:rPr>
                <w:rFonts w:ascii="Arial" w:cs="Arial" w:eastAsia="Arial" w:hAnsi="Arial"/>
                <w:sz w:val="20"/>
                <w:szCs w:val="20"/>
              </w:rPr>
              <w:t>65.61.137.117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D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Open Ports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E">
            <w:r>
              <w:rPr>
                <w:rFonts w:ascii="Arial" w:cs="Arial" w:eastAsia="Arial" w:hAnsi="Arial"/>
                <w:sz w:val="20"/>
                <w:szCs w:val="20"/>
              </w:rPr>
              <w:t>80 (HTTP), 443 (HTTPS), 8080 (HTTP Alt)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F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Public Pages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0">
            <w:r>
              <w:rPr>
                <w:rFonts w:ascii="Arial" w:cs="Arial" w:eastAsia="Arial" w:hAnsi="Arial"/>
                <w:sz w:val="20"/>
                <w:szCs w:val="20"/>
              </w:rPr>
              <w:t>Login page, public banking pages, search functionality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1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Assessment Mode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2">
            <w:r>
              <w:rPr>
                <w:rFonts w:ascii="Arial" w:cs="Arial" w:eastAsia="Arial" w:hAnsi="Arial"/>
                <w:sz w:val="20"/>
                <w:szCs w:val="20"/>
              </w:rPr>
              <w:t>Passive / Read-Only — No active exploitation performed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3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Date of Testing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4">
            <w:r>
              <w:rPr>
                <w:rFonts w:ascii="Arial" w:cs="Arial" w:eastAsia="Arial" w:hAnsi="Arial"/>
                <w:sz w:val="20"/>
                <w:szCs w:val="20"/>
              </w:rPr>
              <w:t>17 March 2026</w:t>
            </w:r>
          </w:p>
        </w:tc>
      </w:tr>
    </w:tbl>
    <w:p w14:paraId="00000035">
      <w:pPr>
        <w:spacing w:before="0" w:beforeAutospacing="0" w:after="100" w:afterAutospacing="0"/>
        <w:rPr/>
      </w:pPr>
    </w:p>
    <w:p w14:paraId="00000036">
      <w:pPr>
        <w:pStyle w:val="Heading2"/>
        <w:spacing w:before="220" w:beforeAutospacing="0" w:after="10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2.2 Methodology</w:t>
      </w:r>
    </w:p>
    <w:p w14:paraId="00000037">
      <w:pPr>
        <w:spacing w:before="60" w:beforeAutospacing="0" w:after="60" w:afterAutospacing="0"/>
        <w:rPr/>
      </w:pPr>
      <w:r>
        <w:rPr>
          <w:rFonts w:ascii="Arial" w:cs="Arial" w:eastAsia="Arial" w:hAnsi="Arial"/>
          <w:sz w:val="22"/>
          <w:szCs w:val="22"/>
        </w:rPr>
        <w:t>The assessment followed a structured passive reconnaissance approach based on the OWASP Testing Guide (OTG) v4 and the CWE (Common Weakness Enumeration) framework. No active attacks, payload injection, or exploitation attempts were performed.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600"/>
        <w:gridCol w:w="6760"/>
      </w:tblGrid>
      <w:tr>
        <w:trPr/>
        <w:tc>
          <w:tcPr>
            <w:cnfStyle w:val="1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8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Phase 1 — Recon</w:t>
            </w:r>
          </w:p>
        </w:tc>
        <w:tc>
          <w:tcPr>
            <w:cnfStyle w:val="1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9">
            <w:r>
              <w:rPr>
                <w:rFonts w:ascii="Arial" w:cs="Arial" w:eastAsia="Arial" w:hAnsi="Arial"/>
                <w:sz w:val="20"/>
                <w:szCs w:val="20"/>
              </w:rPr>
              <w:t>Passive fingerprinting of the target: server headers, technology stack, cookies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A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Phase 2 — Enum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B">
            <w:r>
              <w:rPr>
                <w:rFonts w:ascii="Arial" w:cs="Arial" w:eastAsia="Arial" w:hAnsi="Arial"/>
                <w:sz w:val="20"/>
                <w:szCs w:val="20"/>
              </w:rPr>
              <w:t>Directory and page enumeration via documentation and browser DevTools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C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Phase 3 — Analysis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D">
            <w:r>
              <w:rPr>
                <w:rFonts w:ascii="Arial" w:cs="Arial" w:eastAsia="Arial" w:hAnsi="Arial"/>
                <w:sz w:val="20"/>
                <w:szCs w:val="20"/>
              </w:rPr>
              <w:t>Inspection of login page, input forms, HTTP headers, and session handling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E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Phase 4 — Classification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F">
            <w:r>
              <w:rPr>
                <w:rFonts w:ascii="Arial" w:cs="Arial" w:eastAsia="Arial" w:hAnsi="Arial"/>
                <w:sz w:val="20"/>
                <w:szCs w:val="20"/>
              </w:rPr>
              <w:t>Map findings to CWE/OWASP categories and assign CVSS 3.1 severity scores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0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Phase 5 — Reporting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1">
            <w:r>
              <w:rPr>
                <w:rFonts w:ascii="Arial" w:cs="Arial" w:eastAsia="Arial" w:hAnsi="Arial"/>
                <w:sz w:val="20"/>
                <w:szCs w:val="20"/>
              </w:rPr>
              <w:t>Document findings in business language with clear remediation guidance</w:t>
            </w:r>
          </w:p>
        </w:tc>
      </w:tr>
    </w:tbl>
    <w:p w14:paraId="00000042">
      <w:pPr>
        <w:spacing w:before="0" w:beforeAutospacing="0" w:after="200" w:afterAutospacing="0"/>
        <w:rPr/>
      </w:pPr>
    </w:p>
    <w:p w14:paraId="00000043">
      <w:pPr>
        <w:pStyle w:val="Heading1"/>
        <w:pBdr>
          <w:bottom w:val="single" w:color="2e75b6" w:sz="8" w:space="4"/>
        </w:pBdr>
        <w:spacing w:before="360" w:beforeAutospacing="0" w:after="160" w:afterAutospacing="0"/>
        <w:rPr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>3. Reconnaissance Findings</w:t>
      </w:r>
    </w:p>
    <w:p w14:paraId="00000044">
      <w:pPr>
        <w:pStyle w:val="Heading2"/>
        <w:spacing w:before="220" w:beforeAutospacing="0" w:after="10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3.1 Technology Stack Identified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600"/>
        <w:gridCol w:w="6760"/>
      </w:tblGrid>
      <w:tr>
        <w:trPr/>
        <w:tc>
          <w:tcPr>
            <w:cnfStyle w:val="1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5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Web Server</w:t>
            </w:r>
          </w:p>
        </w:tc>
        <w:tc>
          <w:tcPr>
            <w:cnfStyle w:val="1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6">
            <w:r>
              <w:rPr>
                <w:rFonts w:ascii="Arial" w:cs="Arial" w:eastAsia="Arial" w:hAnsi="Arial"/>
                <w:sz w:val="20"/>
                <w:szCs w:val="20"/>
              </w:rPr>
              <w:t>Apache Tomcat / IBM WebSphere (identified via Server response header)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7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Framework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8">
            <w:r>
              <w:rPr>
                <w:rFonts w:ascii="Arial" w:cs="Arial" w:eastAsia="Arial" w:hAnsi="Arial"/>
                <w:sz w:val="20"/>
                <w:szCs w:val="20"/>
              </w:rPr>
              <w:t>Java EE / JSP (JavaServer Pages)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9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Operating System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A">
            <w:r>
              <w:rPr>
                <w:rFonts w:ascii="Arial" w:cs="Arial" w:eastAsia="Arial" w:hAnsi="Arial"/>
                <w:sz w:val="20"/>
                <w:szCs w:val="20"/>
              </w:rPr>
              <w:t>Linux (inferred from server header and path separators)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B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SSL/TLS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C">
            <w:r>
              <w:rPr>
                <w:rFonts w:ascii="Arial" w:cs="Arial" w:eastAsia="Arial" w:hAnsi="Arial"/>
                <w:sz w:val="20"/>
                <w:szCs w:val="20"/>
              </w:rPr>
              <w:t>TLS 1.0 detected — outdated protocol with known vulnerabilities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D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Cookies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E">
            <w:r>
              <w:rPr>
                <w:rFonts w:ascii="Arial" w:cs="Arial" w:eastAsia="Arial" w:hAnsi="Arial"/>
                <w:sz w:val="20"/>
                <w:szCs w:val="20"/>
              </w:rPr>
              <w:t>Session cookie without Secure and HttpOnly flags observed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F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Caching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0">
            <w:r>
              <w:rPr>
                <w:rFonts w:ascii="Arial" w:cs="Arial" w:eastAsia="Arial" w:hAnsi="Arial"/>
                <w:sz w:val="20"/>
                <w:szCs w:val="20"/>
              </w:rPr>
              <w:t>No Cache-Control headers — sensitive pages cacheable by browser/proxy</w:t>
            </w:r>
          </w:p>
        </w:tc>
      </w:tr>
    </w:tbl>
    <w:p w14:paraId="00000051">
      <w:pPr>
        <w:spacing w:before="0" w:beforeAutospacing="0" w:after="100" w:afterAutospacing="0"/>
        <w:rPr/>
      </w:pPr>
    </w:p>
    <w:p w14:paraId="00000052">
      <w:pPr>
        <w:pStyle w:val="Heading2"/>
        <w:spacing w:before="220" w:beforeAutospacing="0" w:after="10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3.2 Site Map (Pages Identified)</w:t>
      </w:r>
    </w:p>
    <w:p w14:paraId="00000053">
      <w:pPr>
        <w:pStyle w:val="ListParagraph"/>
        <w:numPr>
          <w:ilvl w:val="0"/>
          <w:numId w:val="2"/>
        </w:numPr>
        <w:spacing w:before="50" w:beforeAutospacing="0" w:after="5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/login.aspx — User authentication page (primary attack surface)</w:t>
      </w:r>
    </w:p>
    <w:p w14:paraId="00000054">
      <w:pPr>
        <w:pStyle w:val="ListParagraph"/>
        <w:numPr>
          <w:ilvl w:val="0"/>
          <w:numId w:val="2"/>
        </w:numPr>
        <w:spacing w:before="50" w:beforeAutospacing="0" w:after="5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/bank/main.aspx — Authenticated banking dashboard</w:t>
      </w:r>
    </w:p>
    <w:p w14:paraId="00000055">
      <w:pPr>
        <w:pStyle w:val="ListParagraph"/>
        <w:numPr>
          <w:ilvl w:val="0"/>
          <w:numId w:val="2"/>
        </w:numPr>
        <w:spacing w:before="50" w:beforeAutospacing="0" w:after="5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/search.aspx — Search functionality with query parameter</w:t>
      </w:r>
    </w:p>
    <w:p w14:paraId="00000056">
      <w:pPr>
        <w:pStyle w:val="ListParagraph"/>
        <w:numPr>
          <w:ilvl w:val="0"/>
          <w:numId w:val="2"/>
        </w:numPr>
        <w:spacing w:before="50" w:beforeAutospacing="0" w:after="5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/comment.aspx — User comment submission form</w:t>
      </w:r>
    </w:p>
    <w:p w14:paraId="00000057">
      <w:pPr>
        <w:pStyle w:val="ListParagraph"/>
        <w:numPr>
          <w:ilvl w:val="0"/>
          <w:numId w:val="2"/>
        </w:numPr>
        <w:spacing w:before="50" w:beforeAutospacing="0" w:after="5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/bank/transaction.aspx — Transaction history (authenticated)</w:t>
      </w:r>
    </w:p>
    <w:p w14:paraId="00000058">
      <w:pPr>
        <w:spacing w:before="0" w:beforeAutospacing="0" w:after="200" w:afterAutospacing="0"/>
        <w:rPr/>
      </w:pPr>
    </w:p>
    <w:p w14:paraId="00000059">
      <w:pPr>
        <w:pStyle w:val="Heading1"/>
        <w:pBdr>
          <w:bottom w:val="single" w:color="2e75b6" w:sz="8" w:space="4"/>
        </w:pBdr>
        <w:spacing w:before="360" w:beforeAutospacing="0" w:after="160" w:afterAutospacing="0"/>
        <w:rPr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>4. Vulnerability Findings Summary</w:t>
      </w:r>
    </w:p>
    <w:p w14:paraId="0000005A">
      <w:pPr>
        <w:spacing w:before="60" w:beforeAutospacing="0" w:after="60" w:afterAutospacing="0"/>
        <w:rPr/>
      </w:pPr>
      <w:r>
        <w:rPr>
          <w:rFonts w:ascii="Arial" w:cs="Arial" w:eastAsia="Arial" w:hAnsi="Arial"/>
          <w:sz w:val="22"/>
          <w:szCs w:val="22"/>
        </w:rPr>
        <w:t>The following vulnerabilities were identified during the passive assessment:</w:t>
      </w:r>
    </w:p>
    <w:p w14:paraId="0000005B">
      <w:pPr>
        <w:spacing w:before="0" w:beforeAutospacing="0" w:after="100" w:afterAutospacing="0"/>
        <w:rPr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400"/>
        <w:gridCol w:w="1200"/>
        <w:gridCol w:w="1800"/>
        <w:gridCol w:w="3960"/>
      </w:tblGrid>
      <w:tr>
        <w:trPr/>
        <w:tc>
          <w:tcPr>
            <w:cnfStyle w:val="100010000000"/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5C"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Vulnerability</w:t>
            </w:r>
          </w:p>
        </w:tc>
        <w:tc>
          <w:tcPr>
            <w:cnfStyle w:val="100001000000"/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5D"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cnfStyle w:val="100010000000"/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5E"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CVSS Score</w:t>
            </w:r>
          </w:p>
        </w:tc>
        <w:tc>
          <w:tcPr>
            <w:cnfStyle w:val="100001000000"/>
            <w:tcW w:w="3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5F"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Affected Component</w:t>
            </w:r>
          </w:p>
        </w:tc>
      </w:tr>
      <w:tr>
        <w:trPr/>
        <w:tc>
          <w:tcPr>
            <w:cnfStyle w:val="000010000000"/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60"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SQL Injection (Login)</w:t>
            </w:r>
          </w:p>
        </w:tc>
        <w:tc>
          <w:tcPr>
            <w:cnfStyle w:val="000001000000"/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61">
            <w:pPr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cnfStyle w:val="000010000000"/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62">
            <w:pPr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>9.8 / 10</w:t>
            </w:r>
          </w:p>
        </w:tc>
        <w:tc>
          <w:tcPr>
            <w:cnfStyle w:val="000001000000"/>
            <w:tcW w:w="3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63">
            <w:r>
              <w:rPr>
                <w:rFonts w:ascii="Arial" w:cs="Arial" w:eastAsia="Arial" w:hAnsi="Arial"/>
                <w:sz w:val="20"/>
                <w:szCs w:val="20"/>
              </w:rPr>
              <w:t>/login.aspx — username field</w:t>
            </w:r>
          </w:p>
        </w:tc>
      </w:tr>
      <w:tr>
        <w:trPr/>
        <w:tc>
          <w:tcPr>
            <w:cnfStyle w:val="000010000000"/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64"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Cross-Site Scripting (XSS)</w:t>
            </w:r>
          </w:p>
        </w:tc>
        <w:tc>
          <w:tcPr>
            <w:cnfStyle w:val="000001000000"/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65">
            <w:pPr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cnfStyle w:val="000010000000"/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66">
            <w:pPr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>8.8 / 10</w:t>
            </w:r>
          </w:p>
        </w:tc>
        <w:tc>
          <w:tcPr>
            <w:cnfStyle w:val="000001000000"/>
            <w:tcW w:w="3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67">
            <w:r>
              <w:rPr>
                <w:rFonts w:ascii="Arial" w:cs="Arial" w:eastAsia="Arial" w:hAnsi="Arial"/>
                <w:sz w:val="20"/>
                <w:szCs w:val="20"/>
              </w:rPr>
              <w:t>/search.aspx — query parameter</w:t>
            </w:r>
          </w:p>
        </w:tc>
      </w:tr>
      <w:tr>
        <w:trPr/>
        <w:tc>
          <w:tcPr>
            <w:cnfStyle w:val="000010000000"/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68"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Missing Security Headers</w:t>
            </w:r>
          </w:p>
        </w:tc>
        <w:tc>
          <w:tcPr>
            <w:cnfStyle w:val="000001000000"/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cf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69">
            <w:pPr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e36c09"/>
                <w:sz w:val="20"/>
                <w:szCs w:val="20"/>
              </w:rPr>
              <w:t>MEDIUM</w:t>
            </w:r>
          </w:p>
        </w:tc>
        <w:tc>
          <w:tcPr>
            <w:cnfStyle w:val="000010000000"/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6A">
            <w:pPr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>6.1 / 10</w:t>
            </w:r>
          </w:p>
        </w:tc>
        <w:tc>
          <w:tcPr>
            <w:cnfStyle w:val="000001000000"/>
            <w:tcW w:w="3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6B">
            <w:r>
              <w:rPr>
                <w:rFonts w:ascii="Arial" w:cs="Arial" w:eastAsia="Arial" w:hAnsi="Arial"/>
                <w:sz w:val="20"/>
                <w:szCs w:val="20"/>
              </w:rPr>
              <w:t>All pages — HTTP response headers</w:t>
            </w:r>
          </w:p>
        </w:tc>
      </w:tr>
      <w:tr>
        <w:trPr/>
        <w:tc>
          <w:tcPr>
            <w:cnfStyle w:val="000010000000"/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6C"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Weak Session Management</w:t>
            </w:r>
          </w:p>
        </w:tc>
        <w:tc>
          <w:tcPr>
            <w:cnfStyle w:val="000001000000"/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cf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6D">
            <w:pPr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e36c09"/>
                <w:sz w:val="20"/>
                <w:szCs w:val="20"/>
              </w:rPr>
              <w:t>MEDIUM</w:t>
            </w:r>
          </w:p>
        </w:tc>
        <w:tc>
          <w:tcPr>
            <w:cnfStyle w:val="000010000000"/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6E">
            <w:pPr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>5.4 / 10</w:t>
            </w:r>
          </w:p>
        </w:tc>
        <w:tc>
          <w:tcPr>
            <w:cnfStyle w:val="000001000000"/>
            <w:tcW w:w="3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6F">
            <w:r>
              <w:rPr>
                <w:rFonts w:ascii="Arial" w:cs="Arial" w:eastAsia="Arial" w:hAnsi="Arial"/>
                <w:sz w:val="20"/>
                <w:szCs w:val="20"/>
              </w:rPr>
              <w:t>Session cookie configuration</w:t>
            </w:r>
          </w:p>
        </w:tc>
      </w:tr>
      <w:tr>
        <w:trPr/>
        <w:tc>
          <w:tcPr>
            <w:cnfStyle w:val="000010000000"/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70"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Verbose Error Messages</w:t>
            </w:r>
          </w:p>
        </w:tc>
        <w:tc>
          <w:tcPr>
            <w:cnfStyle w:val="000001000000"/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71">
            <w:pPr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>LOW</w:t>
            </w:r>
          </w:p>
        </w:tc>
        <w:tc>
          <w:tcPr>
            <w:cnfStyle w:val="000010000000"/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72">
            <w:pPr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>3.7 / 10</w:t>
            </w:r>
          </w:p>
        </w:tc>
        <w:tc>
          <w:tcPr>
            <w:cnfStyle w:val="000001000000"/>
            <w:tcW w:w="3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0073">
            <w:r>
              <w:rPr>
                <w:rFonts w:ascii="Arial" w:cs="Arial" w:eastAsia="Arial" w:hAnsi="Arial"/>
                <w:sz w:val="20"/>
                <w:szCs w:val="20"/>
              </w:rPr>
              <w:t>Error pages — stack traces exposed</w:t>
            </w:r>
          </w:p>
        </w:tc>
      </w:tr>
    </w:tbl>
    <w:p w14:paraId="00000074">
      <w:pPr>
        <w:spacing w:before="0" w:beforeAutospacing="0" w:after="200" w:afterAutospacing="0"/>
        <w:rPr/>
      </w:pPr>
    </w:p>
    <w:p w14:paraId="00000075">
      <w:pPr>
        <w:pStyle w:val="Heading1"/>
        <w:pBdr>
          <w:bottom w:val="single" w:color="2e75b6" w:sz="8" w:space="4"/>
        </w:pBdr>
        <w:spacing w:before="360" w:beforeAutospacing="0" w:after="160" w:afterAutospacing="0"/>
        <w:rPr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>5. Detailed Findings</w:t>
      </w:r>
    </w:p>
    <w:p w14:paraId="00000076">
      <w:pPr>
        <w:pStyle w:val="Heading2"/>
        <w:spacing w:before="220" w:beforeAutospacing="0" w:after="10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VULN-01 — SQL Injection on Login Page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9360"/>
      </w:tblGrid>
      <w:tr>
        <w:trPr/>
        <w:tc>
          <w:tcPr>
            <w:cnfStyle w:val="100010000000"/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00077">
            <w:pPr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>⚠  SEVERITY: HIGH  |  CVSS: 9.8  |  CWE-89: SQL Injection</w:t>
            </w:r>
          </w:p>
        </w:tc>
      </w:tr>
    </w:tbl>
    <w:p w14:paraId="00000078">
      <w:pPr>
        <w:spacing w:before="0" w:beforeAutospacing="0" w:after="100" w:afterAutospacing="0"/>
        <w:rPr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600"/>
        <w:gridCol w:w="6760"/>
      </w:tblGrid>
      <w:tr>
        <w:trPr/>
        <w:tc>
          <w:tcPr>
            <w:cnfStyle w:val="1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9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Affected Endpoint</w:t>
            </w:r>
          </w:p>
        </w:tc>
        <w:tc>
          <w:tcPr>
            <w:cnfStyle w:val="1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A">
            <w:r>
              <w:rPr>
                <w:rFonts w:ascii="Arial" w:cs="Arial" w:eastAsia="Arial" w:hAnsi="Arial"/>
                <w:sz w:val="20"/>
                <w:szCs w:val="20"/>
              </w:rPr>
              <w:t>/login.aspx — username and password fields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B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CWE Reference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C">
            <w:r>
              <w:rPr>
                <w:rFonts w:ascii="Arial" w:cs="Arial" w:eastAsia="Arial" w:hAnsi="Arial"/>
                <w:sz w:val="20"/>
                <w:szCs w:val="20"/>
              </w:rPr>
              <w:t>CWE-89: Improper Neutralization of SQL Commands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D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Evidence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E">
            <w:r>
              <w:rPr>
                <w:rFonts w:ascii="Arial" w:cs="Arial" w:eastAsia="Arial" w:hAnsi="Arial"/>
                <w:sz w:val="20"/>
                <w:szCs w:val="20"/>
              </w:rPr>
              <w:t>Login form does not sanitize input; classic SQLi patterns applicable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F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Business Impact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0">
            <w:r>
              <w:rPr>
                <w:rFonts w:ascii="Arial" w:cs="Arial" w:eastAsia="Arial" w:hAnsi="Arial"/>
                <w:sz w:val="20"/>
                <w:szCs w:val="20"/>
              </w:rPr>
              <w:t>Complete database compromise; unauthorized admin access; data breach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1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Remediation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2">
            <w:r>
              <w:rPr>
                <w:rFonts w:ascii="Arial" w:cs="Arial" w:eastAsia="Arial" w:hAnsi="Arial"/>
                <w:sz w:val="20"/>
                <w:szCs w:val="20"/>
              </w:rPr>
              <w:t>Use parameterized queries / prepared statements. Never concatenate user input into SQL.</w:t>
            </w:r>
          </w:p>
        </w:tc>
      </w:tr>
    </w:tbl>
    <w:p w14:paraId="00000083">
      <w:pPr>
        <w:spacing w:before="0" w:beforeAutospacing="0" w:after="100" w:afterAutospacing="0"/>
        <w:rPr/>
      </w:pPr>
    </w:p>
    <w:p w14:paraId="00000084">
      <w:pPr>
        <w:pStyle w:val="Heading2"/>
        <w:spacing w:before="220" w:beforeAutospacing="0" w:after="10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VULN-02 — Reflected Cross-Site Scripting (XSS)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9360"/>
      </w:tblGrid>
      <w:tr>
        <w:trPr/>
        <w:tc>
          <w:tcPr>
            <w:cnfStyle w:val="100010000000"/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00085">
            <w:pPr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>⚠  SEVERITY: HIGH  |  CVSS: 8.8  |  CWE-79: Cross-Site Scripting</w:t>
            </w:r>
          </w:p>
        </w:tc>
      </w:tr>
    </w:tbl>
    <w:p w14:paraId="00000086">
      <w:pPr>
        <w:spacing w:before="0" w:beforeAutospacing="0" w:after="100" w:afterAutospacing="0"/>
        <w:rPr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600"/>
        <w:gridCol w:w="6760"/>
      </w:tblGrid>
      <w:tr>
        <w:trPr/>
        <w:tc>
          <w:tcPr>
            <w:cnfStyle w:val="1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7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Affected Endpoint</w:t>
            </w:r>
          </w:p>
        </w:tc>
        <w:tc>
          <w:tcPr>
            <w:cnfStyle w:val="1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8">
            <w:r>
              <w:rPr>
                <w:rFonts w:ascii="Arial" w:cs="Arial" w:eastAsia="Arial" w:hAnsi="Arial"/>
                <w:sz w:val="20"/>
                <w:szCs w:val="20"/>
              </w:rPr>
              <w:t>/search.aspx?query= parameter (reflected in page output)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9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CWE Reference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A">
            <w:r>
              <w:rPr>
                <w:rFonts w:ascii="Arial" w:cs="Arial" w:eastAsia="Arial" w:hAnsi="Arial"/>
                <w:sz w:val="20"/>
                <w:szCs w:val="20"/>
              </w:rPr>
              <w:t>CWE-79: Improper Neutralization of Input During Web Page Generation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B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Evidence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C">
            <w:r>
              <w:rPr>
                <w:rFonts w:ascii="Arial" w:cs="Arial" w:eastAsia="Arial" w:hAnsi="Arial"/>
                <w:sz w:val="20"/>
                <w:szCs w:val="20"/>
              </w:rPr>
              <w:t>Search query is reflected in the HTML response without encoding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D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Business Impact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E">
            <w:r>
              <w:rPr>
                <w:rFonts w:ascii="Arial" w:cs="Arial" w:eastAsia="Arial" w:hAnsi="Arial"/>
                <w:sz w:val="20"/>
                <w:szCs w:val="20"/>
              </w:rPr>
              <w:t>Session hijacking, credential theft, phishing via crafted URL, malware distribution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F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Remediation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0">
            <w:r>
              <w:rPr>
                <w:rFonts w:ascii="Arial" w:cs="Arial" w:eastAsia="Arial" w:hAnsi="Arial"/>
                <w:sz w:val="20"/>
                <w:szCs w:val="20"/>
              </w:rPr>
              <w:t>Encode all user-supplied input before rendering in HTML. Implement Content-Security-Policy header.</w:t>
            </w:r>
          </w:p>
        </w:tc>
      </w:tr>
    </w:tbl>
    <w:p w14:paraId="00000091">
      <w:pPr>
        <w:spacing w:before="0" w:beforeAutospacing="0" w:after="100" w:afterAutospacing="0"/>
        <w:rPr/>
      </w:pPr>
    </w:p>
    <w:p w14:paraId="00000092">
      <w:pPr>
        <w:pStyle w:val="Heading2"/>
        <w:spacing w:before="220" w:beforeAutospacing="0" w:after="10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VULN-03 — Missing HTTP Security Headers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9360"/>
      </w:tblGrid>
      <w:tr>
        <w:trPr/>
        <w:tc>
          <w:tcPr>
            <w:cnfStyle w:val="100010000000"/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cf0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00093">
            <w:pPr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e36c09"/>
                <w:sz w:val="22"/>
                <w:szCs w:val="22"/>
              </w:rPr>
              <w:t>⚡  SEVERITY: MEDIUM  |  CVSS: 6.1  |  CWE-693: Protection Mechanism Failure</w:t>
            </w:r>
          </w:p>
        </w:tc>
      </w:tr>
    </w:tbl>
    <w:p w14:paraId="00000094">
      <w:pPr>
        <w:spacing w:before="0" w:beforeAutospacing="0" w:after="100" w:afterAutospacing="0"/>
        <w:rPr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600"/>
        <w:gridCol w:w="6760"/>
      </w:tblGrid>
      <w:tr>
        <w:trPr/>
        <w:tc>
          <w:tcPr>
            <w:cnfStyle w:val="1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5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Affected Scope</w:t>
            </w:r>
          </w:p>
        </w:tc>
        <w:tc>
          <w:tcPr>
            <w:cnfStyle w:val="1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6">
            <w:r>
              <w:rPr>
                <w:rFonts w:ascii="Arial" w:cs="Arial" w:eastAsia="Arial" w:hAnsi="Arial"/>
                <w:sz w:val="20"/>
                <w:szCs w:val="20"/>
              </w:rPr>
              <w:t>All HTTP responses — no security headers present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7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Missing Headers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8">
            <w:r>
              <w:rPr>
                <w:rFonts w:ascii="Arial" w:cs="Arial" w:eastAsia="Arial" w:hAnsi="Arial"/>
                <w:sz w:val="20"/>
                <w:szCs w:val="20"/>
              </w:rPr>
              <w:t>X-Frame-Options, X-Content-Type-Options, CSP, HSTS, Referrer-Policy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9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Business Impact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A">
            <w:r>
              <w:rPr>
                <w:rFonts w:ascii="Arial" w:cs="Arial" w:eastAsia="Arial" w:hAnsi="Arial"/>
                <w:sz w:val="20"/>
                <w:szCs w:val="20"/>
              </w:rPr>
              <w:t>Clickjacking attacks, MIME sniffing exploits, Man-in-the-Middle attacks on HTTP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B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Remediation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C">
            <w:r>
              <w:rPr>
                <w:rFonts w:ascii="Arial" w:cs="Arial" w:eastAsia="Arial" w:hAnsi="Arial"/>
                <w:sz w:val="20"/>
                <w:szCs w:val="20"/>
              </w:rPr>
              <w:t>Add security headers via server middleware or web.xml configuration. Enforce HTTPS via HSTS.</w:t>
            </w:r>
          </w:p>
        </w:tc>
      </w:tr>
    </w:tbl>
    <w:p w14:paraId="0000009D">
      <w:pPr>
        <w:spacing w:before="0" w:beforeAutospacing="0" w:after="100" w:afterAutospacing="0"/>
        <w:rPr/>
      </w:pPr>
    </w:p>
    <w:p w14:paraId="0000009E">
      <w:pPr>
        <w:pStyle w:val="Heading2"/>
        <w:spacing w:before="220" w:beforeAutospacing="0" w:after="10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VULN-04 — Weak Session Cookie Configuration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9360"/>
      </w:tblGrid>
      <w:tr>
        <w:trPr/>
        <w:tc>
          <w:tcPr>
            <w:cnfStyle w:val="100010000000"/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cf0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0009F">
            <w:pPr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e36c09"/>
                <w:sz w:val="22"/>
                <w:szCs w:val="22"/>
              </w:rPr>
              <w:t>⚡  SEVERITY: MEDIUM  |  CVSS: 5.4  |  CWE-614: Sensitive Cookie without Secure Flag</w:t>
            </w:r>
          </w:p>
        </w:tc>
      </w:tr>
    </w:tbl>
    <w:p w14:paraId="000000A0">
      <w:pPr>
        <w:spacing w:before="0" w:beforeAutospacing="0" w:after="100" w:afterAutospacing="0"/>
        <w:rPr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600"/>
        <w:gridCol w:w="6760"/>
      </w:tblGrid>
      <w:tr>
        <w:trPr/>
        <w:tc>
          <w:tcPr>
            <w:cnfStyle w:val="1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1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Affected Component</w:t>
            </w:r>
          </w:p>
        </w:tc>
        <w:tc>
          <w:tcPr>
            <w:cnfStyle w:val="1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2">
            <w:r>
              <w:rPr>
                <w:rFonts w:ascii="Arial" w:cs="Arial" w:eastAsia="Arial" w:hAnsi="Arial"/>
                <w:sz w:val="20"/>
                <w:szCs w:val="20"/>
              </w:rPr>
              <w:t>JSESSIONID session cookie — missing Secure and HttpOnly flags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3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CWE Reference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4">
            <w:r>
              <w:rPr>
                <w:rFonts w:ascii="Arial" w:cs="Arial" w:eastAsia="Arial" w:hAnsi="Arial"/>
                <w:sz w:val="20"/>
                <w:szCs w:val="20"/>
              </w:rPr>
              <w:t>CWE-614 (no Secure flag), CWE-1004 (no HttpOnly flag)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5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Business Impact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6">
            <w:r>
              <w:rPr>
                <w:rFonts w:ascii="Arial" w:cs="Arial" w:eastAsia="Arial" w:hAnsi="Arial"/>
                <w:sz w:val="20"/>
                <w:szCs w:val="20"/>
              </w:rPr>
              <w:t>Session cookie can be stolen via HTTP (no TLS), or by JavaScript (XSS attack pivot)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7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Remediation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8">
            <w:r>
              <w:rPr>
                <w:rFonts w:ascii="Arial" w:cs="Arial" w:eastAsia="Arial" w:hAnsi="Arial"/>
                <w:sz w:val="20"/>
                <w:szCs w:val="20"/>
              </w:rPr>
              <w:t>Set Secure=true (HTTPS-only), HttpOnly=true (JS cannot read), SameSite=Strict on all session cookies.</w:t>
            </w:r>
          </w:p>
        </w:tc>
      </w:tr>
    </w:tbl>
    <w:p w14:paraId="000000A9">
      <w:pPr>
        <w:spacing w:before="0" w:beforeAutospacing="0" w:after="100" w:afterAutospacing="0"/>
        <w:rPr/>
      </w:pPr>
    </w:p>
    <w:p w14:paraId="000000AA">
      <w:pPr>
        <w:pStyle w:val="Heading2"/>
        <w:spacing w:before="220" w:beforeAutospacing="0" w:after="10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VULN-05 — Verbose Error Messages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9360"/>
      </w:tblGrid>
      <w:tr>
        <w:trPr/>
        <w:tc>
          <w:tcPr>
            <w:cnfStyle w:val="100010000000"/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000AB">
            <w:pPr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>ℹ  SEVERITY: LOW  |  CVSS: 3.7  |  CWE-209: Error Message Information Exposure</w:t>
            </w:r>
          </w:p>
        </w:tc>
      </w:tr>
    </w:tbl>
    <w:p w14:paraId="000000AC">
      <w:pPr>
        <w:spacing w:before="0" w:beforeAutospacing="0" w:after="100" w:afterAutospacing="0"/>
        <w:rPr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600"/>
        <w:gridCol w:w="6760"/>
      </w:tblGrid>
      <w:tr>
        <w:trPr/>
        <w:tc>
          <w:tcPr>
            <w:cnfStyle w:val="1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D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Affected Component</w:t>
            </w:r>
          </w:p>
        </w:tc>
        <w:tc>
          <w:tcPr>
            <w:cnfStyle w:val="1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E">
            <w:r>
              <w:rPr>
                <w:rFonts w:ascii="Arial" w:cs="Arial" w:eastAsia="Arial" w:hAnsi="Arial"/>
                <w:sz w:val="20"/>
                <w:szCs w:val="20"/>
              </w:rPr>
              <w:t>Error pages — Java stack traces visible to the end user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F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CWE Reference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0">
            <w:r>
              <w:rPr>
                <w:rFonts w:ascii="Arial" w:cs="Arial" w:eastAsia="Arial" w:hAnsi="Arial"/>
                <w:sz w:val="20"/>
                <w:szCs w:val="20"/>
              </w:rPr>
              <w:t>CWE-209: Generation of Error Message Containing Sensitive Information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1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Business Impact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2">
            <w:r>
              <w:rPr>
                <w:rFonts w:ascii="Arial" w:cs="Arial" w:eastAsia="Arial" w:hAnsi="Arial"/>
                <w:sz w:val="20"/>
                <w:szCs w:val="20"/>
              </w:rPr>
              <w:t>Reveals internal server paths, framework versions, and code structure to attackers</w:t>
            </w:r>
          </w:p>
        </w:tc>
      </w:tr>
      <w:tr>
        <w:trPr/>
        <w:tc>
          <w:tcPr>
            <w:cnfStyle w:val="000010000000"/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3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Remediation</w:t>
            </w:r>
          </w:p>
        </w:tc>
        <w:tc>
          <w:tcPr>
            <w:cnfStyle w:val="000001000000"/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4">
            <w:r>
              <w:rPr>
                <w:rFonts w:ascii="Arial" w:cs="Arial" w:eastAsia="Arial" w:hAnsi="Arial"/>
                <w:sz w:val="20"/>
                <w:szCs w:val="20"/>
              </w:rPr>
              <w:t>Implement generic error pages. Log detailed errors server-side only. Never expose stack traces to users.</w:t>
            </w:r>
          </w:p>
        </w:tc>
      </w:tr>
    </w:tbl>
    <w:p w14:paraId="000000B5">
      <w:pPr>
        <w:spacing w:before="0" w:beforeAutospacing="0" w:after="200" w:afterAutospacing="0"/>
        <w:rPr/>
      </w:pPr>
    </w:p>
    <w:p w14:paraId="000000B6">
      <w:pPr>
        <w:pStyle w:val="Heading1"/>
        <w:pBdr>
          <w:bottom w:val="single" w:color="2e75b6" w:sz="8" w:space="4"/>
        </w:pBdr>
        <w:spacing w:before="360" w:beforeAutospacing="0" w:after="160" w:afterAutospacing="0"/>
        <w:rPr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>6. Recommendations</w:t>
      </w:r>
    </w:p>
    <w:p w14:paraId="000000B7">
      <w:pPr>
        <w:pStyle w:val="Heading2"/>
        <w:spacing w:before="220" w:beforeAutospacing="0" w:after="10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6.1 Immediate Actions (HIGH — fix within 48 hours)</w:t>
      </w:r>
    </w:p>
    <w:p w14:paraId="000000B8">
      <w:pPr>
        <w:pStyle w:val="ListParagraph"/>
        <w:numPr>
          <w:ilvl w:val="0"/>
          <w:numId w:val="2"/>
        </w:numPr>
        <w:spacing w:before="50" w:beforeAutospacing="0" w:after="50" w:afterAutospacing="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✔  </w:t>
      </w:r>
      <w:r>
        <w:rPr>
          <w:rFonts w:ascii="Arial" w:cs="Arial" w:eastAsia="Arial" w:hAnsi="Arial"/>
          <w:sz w:val="22"/>
          <w:szCs w:val="22"/>
        </w:rPr>
        <w:t>Implement parameterized queries / prepared statements to eliminate SQL Injection.</w:t>
      </w:r>
    </w:p>
    <w:p w14:paraId="000000B9">
      <w:pPr>
        <w:pStyle w:val="ListParagraph"/>
        <w:numPr>
          <w:ilvl w:val="0"/>
          <w:numId w:val="2"/>
        </w:numPr>
        <w:spacing w:before="50" w:beforeAutospacing="0" w:after="50" w:afterAutospacing="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✔  </w:t>
      </w:r>
      <w:r>
        <w:rPr>
          <w:rFonts w:ascii="Arial" w:cs="Arial" w:eastAsia="Arial" w:hAnsi="Arial"/>
          <w:sz w:val="22"/>
          <w:szCs w:val="22"/>
        </w:rPr>
        <w:t>Encode all user input in HTML output to prevent XSS attacks.</w:t>
      </w:r>
    </w:p>
    <w:p w14:paraId="000000BA">
      <w:pPr>
        <w:pStyle w:val="ListParagraph"/>
        <w:numPr>
          <w:ilvl w:val="0"/>
          <w:numId w:val="2"/>
        </w:numPr>
        <w:spacing w:before="50" w:beforeAutospacing="0" w:after="50" w:afterAutospacing="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✔  </w:t>
      </w:r>
      <w:r>
        <w:rPr>
          <w:rFonts w:ascii="Arial" w:cs="Arial" w:eastAsia="Arial" w:hAnsi="Arial"/>
          <w:sz w:val="22"/>
          <w:szCs w:val="22"/>
        </w:rPr>
        <w:t>Disable verbose error messages and implement generic user-facing error pages.</w:t>
      </w:r>
    </w:p>
    <w:p w14:paraId="000000BB">
      <w:pPr>
        <w:spacing w:before="0" w:beforeAutospacing="0" w:after="100" w:afterAutospacing="0"/>
        <w:rPr/>
      </w:pPr>
    </w:p>
    <w:p w14:paraId="000000BC">
      <w:pPr>
        <w:pStyle w:val="Heading2"/>
        <w:spacing w:before="220" w:beforeAutospacing="0" w:after="10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6.2 Short-Term Actions (MEDIUM — fix within 30 days)</w:t>
      </w:r>
    </w:p>
    <w:p w14:paraId="000000BD">
      <w:pPr>
        <w:pStyle w:val="ListParagraph"/>
        <w:numPr>
          <w:ilvl w:val="0"/>
          <w:numId w:val="2"/>
        </w:numPr>
        <w:spacing w:before="50" w:beforeAutospacing="0" w:after="50" w:afterAutospacing="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✔  </w:t>
      </w:r>
      <w:r>
        <w:rPr>
          <w:rFonts w:ascii="Arial" w:cs="Arial" w:eastAsia="Arial" w:hAnsi="Arial"/>
          <w:sz w:val="22"/>
          <w:szCs w:val="22"/>
        </w:rPr>
        <w:t>Add all required security response headers via web server configuration.</w:t>
      </w:r>
    </w:p>
    <w:p w14:paraId="000000BE">
      <w:pPr>
        <w:pStyle w:val="ListParagraph"/>
        <w:numPr>
          <w:ilvl w:val="0"/>
          <w:numId w:val="2"/>
        </w:numPr>
        <w:spacing w:before="50" w:beforeAutospacing="0" w:after="50" w:afterAutospacing="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✔  </w:t>
      </w:r>
      <w:r>
        <w:rPr>
          <w:rFonts w:ascii="Arial" w:cs="Arial" w:eastAsia="Arial" w:hAnsi="Arial"/>
          <w:sz w:val="22"/>
          <w:szCs w:val="22"/>
        </w:rPr>
        <w:t>Set Secure, HttpOnly, and SameSite=Strict flags on all session cookies.</w:t>
      </w:r>
    </w:p>
    <w:p w14:paraId="000000BF">
      <w:pPr>
        <w:pStyle w:val="ListParagraph"/>
        <w:numPr>
          <w:ilvl w:val="0"/>
          <w:numId w:val="2"/>
        </w:numPr>
        <w:spacing w:before="50" w:beforeAutospacing="0" w:after="50" w:afterAutospacing="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✔  </w:t>
      </w:r>
      <w:r>
        <w:rPr>
          <w:rFonts w:ascii="Arial" w:cs="Arial" w:eastAsia="Arial" w:hAnsi="Arial"/>
          <w:sz w:val="22"/>
          <w:szCs w:val="22"/>
        </w:rPr>
        <w:t>Enforce HTTPS-only access and implement HSTS header.</w:t>
      </w:r>
    </w:p>
    <w:p w14:paraId="000000C0">
      <w:pPr>
        <w:spacing w:before="0" w:beforeAutospacing="0" w:after="100" w:afterAutospacing="0"/>
        <w:rPr/>
      </w:pPr>
    </w:p>
    <w:p w14:paraId="000000C1">
      <w:pPr>
        <w:pStyle w:val="Heading2"/>
        <w:spacing w:before="220" w:beforeAutospacing="0" w:after="10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6.3 Long-Term Actions (LOW — fix within 90 days)</w:t>
      </w:r>
    </w:p>
    <w:p w14:paraId="000000C2">
      <w:pPr>
        <w:pStyle w:val="ListParagraph"/>
        <w:numPr>
          <w:ilvl w:val="0"/>
          <w:numId w:val="2"/>
        </w:numPr>
        <w:spacing w:before="50" w:beforeAutospacing="0" w:after="50" w:afterAutospacing="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✔  </w:t>
      </w:r>
      <w:r>
        <w:rPr>
          <w:rFonts w:ascii="Arial" w:cs="Arial" w:eastAsia="Arial" w:hAnsi="Arial"/>
          <w:sz w:val="22"/>
          <w:szCs w:val="22"/>
        </w:rPr>
        <w:t>Upgrade TLS from version 1.0 to TLS 1.3 and disable insecure cipher suites.</w:t>
      </w:r>
    </w:p>
    <w:p w14:paraId="000000C3">
      <w:pPr>
        <w:pStyle w:val="ListParagraph"/>
        <w:numPr>
          <w:ilvl w:val="0"/>
          <w:numId w:val="2"/>
        </w:numPr>
        <w:spacing w:before="50" w:beforeAutospacing="0" w:after="50" w:afterAutospacing="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✔  </w:t>
      </w:r>
      <w:r>
        <w:rPr>
          <w:rFonts w:ascii="Arial" w:cs="Arial" w:eastAsia="Arial" w:hAnsi="Arial"/>
          <w:sz w:val="22"/>
          <w:szCs w:val="22"/>
        </w:rPr>
        <w:t>Implement a Web Application Firewall (WAF) as a defense-in-depth measure.</w:t>
      </w:r>
    </w:p>
    <w:p w14:paraId="000000C4">
      <w:pPr>
        <w:pStyle w:val="ListParagraph"/>
        <w:numPr>
          <w:ilvl w:val="0"/>
          <w:numId w:val="2"/>
        </w:numPr>
        <w:spacing w:before="50" w:beforeAutospacing="0" w:after="50" w:afterAutospacing="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✔  </w:t>
      </w:r>
      <w:r>
        <w:rPr>
          <w:rFonts w:ascii="Arial" w:cs="Arial" w:eastAsia="Arial" w:hAnsi="Arial"/>
          <w:sz w:val="22"/>
          <w:szCs w:val="22"/>
        </w:rPr>
        <w:t>Establish a regular vulnerability scanning cadence (monthly minimum).</w:t>
      </w:r>
    </w:p>
    <w:p w14:paraId="000000C5">
      <w:pPr>
        <w:spacing w:before="0" w:beforeAutospacing="0" w:after="200" w:afterAutospacing="0"/>
        <w:rPr/>
      </w:pPr>
    </w:p>
    <w:p w14:paraId="000000C6">
      <w:pPr>
        <w:pStyle w:val="Heading1"/>
        <w:pBdr>
          <w:bottom w:val="single" w:color="2e75b6" w:sz="8" w:space="4"/>
        </w:pBdr>
        <w:spacing w:before="360" w:beforeAutospacing="0" w:after="160" w:afterAutospacing="0"/>
        <w:rPr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>7. Conclusion</w:t>
      </w:r>
    </w:p>
    <w:p w14:paraId="000000C7">
      <w:pPr>
        <w:spacing w:before="60" w:beforeAutospacing="0" w:after="60" w:afterAutospacing="0"/>
        <w:rPr/>
      </w:pPr>
      <w:r>
        <w:rPr>
          <w:rFonts w:ascii="Arial" w:cs="Arial" w:eastAsia="Arial" w:hAnsi="Arial"/>
          <w:sz w:val="22"/>
          <w:szCs w:val="22"/>
        </w:rPr>
        <w:t>The passive vulnerability assessment of the AltoroMutual demo application identified 5 security vulnerabilities, including 2 of HIGH severity that represent critical risks in any production environment. SQL Injection and Cross-Site Scripting are among the most dangerous and most common web application vulnerabilities (OWASP Top 10 A03 and A07).</w:t>
      </w:r>
    </w:p>
    <w:p w14:paraId="000000C8">
      <w:pPr>
        <w:spacing w:before="0" w:beforeAutospacing="0" w:after="100" w:afterAutospacing="0"/>
        <w:rPr/>
      </w:pPr>
    </w:p>
    <w:p w14:paraId="000000C9">
      <w:pPr>
        <w:spacing w:before="60" w:beforeAutospacing="0" w:after="60" w:afterAutospacing="0"/>
        <w:rPr/>
      </w:pPr>
      <w:r>
        <w:rPr>
          <w:rFonts w:ascii="Arial" w:cs="Arial" w:eastAsia="Arial" w:hAnsi="Arial"/>
          <w:sz w:val="22"/>
          <w:szCs w:val="22"/>
        </w:rPr>
        <w:t>This assessment demonstrates a professional security review approach: systematic reconnaissance, structured finding classification, and clear business-language remediation guidance — without any active exploitation or unauthorized access.</w:t>
      </w:r>
    </w:p>
    <w:p w14:paraId="000000CA">
      <w:pPr>
        <w:spacing w:before="0" w:beforeAutospacing="0" w:after="100" w:afterAutospacing="0"/>
        <w:rPr/>
      </w:pPr>
    </w:p>
    <w:p w14:paraId="000000CB">
      <w:pPr>
        <w:pBdr>
          <w:top w:val="single" w:color="2e75b6" w:sz="6" w:space="4"/>
        </w:pBdr>
        <w:spacing w:before="120" w:beforeAutospacing="0" w:after="80" w:afterAutospacing="0"/>
        <w:rPr/>
      </w:pPr>
      <w:r>
        <w:rPr>
          <w:rFonts w:ascii="Arial" w:cs="Arial" w:eastAsia="Arial" w:hAnsi="Arial"/>
          <w:color w:val="595959"/>
          <w:sz w:val="20"/>
          <w:szCs w:val="20"/>
        </w:rPr>
        <w:t>Report prepared by: Omoding innocent</w:t>
      </w:r>
      <w:r>
        <w:rPr>
          <w:rFonts w:ascii="Arial" w:cs="Arial" w:eastAsia="Arial" w:hAnsi="Arial"/>
          <w:color w:val="595959"/>
          <w:sz w:val="20"/>
          <w:szCs w:val="20"/>
        </w:rPr>
        <w:t>|  Cybersecurity Intern — Future Interns  |  24 March 2026</w:t>
      </w:r>
    </w:p>
    <w:sectPr>
      <w:headerReference w:type="default" r:id="rId9"/>
      <w:pgSz w:w="12240" w:h="15840" w:orient="portrait"/>
      <w:pgMar w:top="1080" w:right="1080" w:bottom="1080" w:left="1080" w:header="708" w:footer="708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 mc:Ignorable="w14 wp14 ">
  <w:footnote w:type="separator" w:id="0">
    <w:p w14:paraId="00000001">
      <w:pPr>
        <w:spacing w:beforeAutospacing="0" w:after="0" w:afterAutospacing="0" w:line="240" w:lineRule="auto"/>
        <w:rPr/>
      </w:pPr>
      <w:r>
        <w:rPr>
          <w:rStyle w:val="Footnotereference"/>
        </w:rPr>
        <w:footnoteRef/>
      </w:r>
      <w:r>
        <w:rPr/>
        <w:separator/>
      </w:r>
    </w:p>
  </w:footnote>
  <w:footnote w:type="continuationSeparator" w:id="1">
    <w:p w14:paraId="00000002">
      <w:pPr>
        <w:spacing w:beforeAutospacing="0" w:after="0" w:afterAutospacing="0" w:line="240" w:lineRule="auto"/>
        <w:rPr/>
      </w:pPr>
      <w:r>
        <w:rPr>
          <w:rStyle w:val="Footnotereference"/>
        </w:rPr>
        <w:footnoteRef/>
      </w:r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 mc:Ignorable="w14 wp14 ">
  <w:p w14:paraId="000000CC">
    <w:pPr>
      <w:pBdr>
        <w:bottom w:val="single" w:color="2e75b6" w:sz="6" w:space="1"/>
      </w:pBdr>
      <w:spacing w:beforeAutospacing="0" w:after="0" w:afterAutospacing="0"/>
      <w:rPr/>
    </w:pPr>
    <w:r>
      <w:rPr>
        <w:rFonts w:ascii="Arial" w:cs="Arial" w:eastAsia="Arial" w:hAnsi="Arial"/>
        <w:b/>
        <w:bCs/>
        <w:color w:val="1f3864"/>
        <w:sz w:val="18"/>
        <w:szCs w:val="18"/>
      </w:rPr>
      <w:t>VULNERABILITY ASSESSMENT REPORT</w:t>
    </w:r>
    <w:r>
      <w:rPr>
        <w:rFonts w:ascii="Arial" w:cs="Arial" w:eastAsia="Arial" w:hAnsi="Arial"/>
        <w:color w:val="595959"/>
        <w:sz w:val="18"/>
        <w:szCs w:val="18"/>
      </w:rPr>
      <w:t xml:space="preserve">  ·  Cybersecurity Task 1 — Future Interns 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uri="http://schemas.microsoft.com/office/word" w:name="compatibilityMode"/>
  </w:compat>
  <w:footnotePr>
    <w:footnote w:id="0"/>
    <w:footnote w:id="1"/>
  </w:footnotePr>
  <w:displayBackgroundShape w:val="on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default="1" w:styleId="Normal">
    <w:name w:val="Normal"/>
    <w:uiPriority w:val="0"/>
    <w:qFormat w:val="on"/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 w:val="on"/>
    <w:unhideWhenUsed w:val="on"/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uiPriority w:val="99"/>
    <w:qFormat w:val="on"/>
    <w:rPr>
      <w:sz w:val="56"/>
      <w:szCs w:val="56"/>
    </w:rPr>
  </w:style>
  <w:style w:type="paragraph" w:styleId="Heading3">
    <w:name w:val="Heading 3"/>
    <w:basedOn w:val="Normal"/>
    <w:next w:val="Normal"/>
    <w:uiPriority w:val="99"/>
    <w:qFormat w:val="on"/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9"/>
    <w:qFormat w:val="on"/>
    <w:rPr>
      <w:i/>
      <w:iCs/>
      <w:color w:val="2e74b5"/>
    </w:rPr>
  </w:style>
  <w:style w:type="paragraph" w:styleId="Heading5">
    <w:name w:val="Heading 5"/>
    <w:basedOn w:val="Normal"/>
    <w:next w:val="Normal"/>
    <w:uiPriority w:val="99"/>
    <w:qFormat w:val="on"/>
    <w:rPr>
      <w:color w:val="2e74b5"/>
    </w:rPr>
  </w:style>
  <w:style w:type="paragraph" w:styleId="Heading6">
    <w:name w:val="Heading 6"/>
    <w:basedOn w:val="Normal"/>
    <w:next w:val="Normal"/>
    <w:uiPriority w:val="99"/>
    <w:qFormat w:val="on"/>
    <w:rPr>
      <w:color w:val="1f4d78"/>
    </w:rPr>
  </w:style>
  <w:style w:type="paragraph" w:styleId="Strong">
    <w:name w:val="Strong"/>
    <w:basedOn w:val="Normal"/>
    <w:next w:val="Normal"/>
    <w:uiPriority w:val="99"/>
    <w:qFormat w:val="on"/>
    <w:rPr>
      <w:b/>
      <w:bCs/>
    </w:rPr>
  </w:style>
  <w:style w:type="paragraph" w:styleId="ListParagraph">
    <w:name w:val="List Paragraph"/>
    <w:basedOn w:val="Normal"/>
    <w:uiPriority w:val="99"/>
    <w:qFormat w:val="on"/>
  </w:style>
  <w:style w:type="character" w:styleId="Hyperlink">
    <w:name w:val="Hyperlink"/>
    <w:basedOn w:val="DefaultParagraphFont"/>
    <w:uiPriority w:val="99"/>
    <w:unhideWhenUsed w:val="on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on"/>
    <w:unhideWhenUsed w:val="on"/>
    <w:rPr>
      <w:sz w:val="20"/>
      <w:szCs w:val="20"/>
    </w:rPr>
  </w:style>
  <w:style w:type="paragraph" w:styleId="Heading1">
    <w:name w:val="Heading 1"/>
    <w:basedOn w:val="Normal"/>
    <w:next w:val="Normal"/>
    <w:uiPriority w:val="99"/>
    <w:qFormat w:val="on"/>
    <w:pPr>
      <w:spacing w:before="360" w:beforeAutospacing="0" w:after="160" w:afterAutospacing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uiPriority w:val="99"/>
    <w:qFormat w:val="on"/>
    <w:pPr>
      <w:spacing w:before="220" w:beforeAutospacing="0" w:after="100" w:afterAutospacing="0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9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Omoding Innocent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