
<file path=[Content_Types].xml><?xml version="1.0" encoding="utf-8"?>
<Types xmlns="http://schemas.openxmlformats.org/package/2006/content-types">
  <Default Extension="rels" ContentType="application/vnd.openxmlformats-package.relationships+xml"/>
  <Default Extension="svg" ContentType="image/svg+xml"/>
  <Default Extension="gif" ContentType="image/gif"/>
  <Default Extension="bmp" ContentType="image/bmp"/>
  <Default Extension="odttf" ContentType="application/vnd.openxmlformats-officedocument.obfuscatedFont"/>
  <Default Extension="jpeg" ContentType="image/jpeg"/>
  <Default Extension="png" ContentType="image/png"/>
  <Default Extension="jpg" ContentType="image/jpeg"/>
  <Default Extension="xml" ContentType="application/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body>
    <w:p w14:paraId="00000003">
      <w:pPr>
        <w:spacing w:before="200" w:beforeAutospacing="0" w:after="60" w:afterAutospacing="0"/>
        <w:rPr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>PHISHING DETECTION &amp;</w:t>
      </w:r>
    </w:p>
    <w:p w14:paraId="00000004">
      <w:pPr>
        <w:spacing w:before="0" w:beforeAutospacing="0" w:after="80" w:afterAutospacing="0"/>
        <w:rPr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>AWARENESS REPORT</w:t>
      </w:r>
    </w:p>
    <w:p w14:paraId="00000005">
      <w:pPr>
        <w:pBdr>
          <w:bottom w:val="single" w:color="2e75b6" w:sz="12" w:space="1"/>
        </w:pBdr>
        <w:spacing w:before="0" w:beforeAutospacing="0" w:after="40" w:afterAutospacing="0"/>
        <w:rPr/>
      </w:pPr>
      <w:r>
        <w:rPr>
          <w:rFonts w:ascii="Arial" w:cs="Arial" w:eastAsia="Arial" w:hAnsi="Arial"/>
          <w:color w:val="595959"/>
          <w:sz w:val="24"/>
          <w:szCs w:val="24"/>
        </w:rPr>
        <w:t>Email Analysis  ·  Employee Security Education</w:t>
      </w:r>
    </w:p>
    <w:p w14:paraId="00000006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6560"/>
      </w:tblGrid>
      <w:tr>
        <w:trPr/>
        <w:tc>
          <w:tcPr>
            <w:cnfStyle w:val="1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cnfStyle w:val="1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r>
              <w:rPr>
                <w:rFonts w:ascii="Arial" w:cs="Arial" w:eastAsia="Arial" w:hAnsi="Arial"/>
                <w:sz w:val="20"/>
                <w:szCs w:val="20"/>
              </w:rPr>
              <w:t>Future Interns — Cyber Security Task 2 (2026)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Report Date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A">
            <w:r>
              <w:rPr>
                <w:rFonts w:ascii="Arial" w:cs="Arial" w:eastAsia="Arial" w:hAnsi="Arial"/>
                <w:sz w:val="20"/>
                <w:szCs w:val="20"/>
              </w:rPr>
              <w:t>17 March 2026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Target Audience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C">
            <w:r>
              <w:rPr>
                <w:rFonts w:ascii="Arial" w:cs="Arial" w:eastAsia="Arial" w:hAnsi="Arial"/>
                <w:sz w:val="20"/>
                <w:szCs w:val="20"/>
              </w:rPr>
              <w:t>Internal Security Awareness / Employee Training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Assessment Type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E">
            <w:r>
              <w:rPr>
                <w:rFonts w:ascii="Arial" w:cs="Arial" w:eastAsia="Arial" w:hAnsi="Arial"/>
                <w:sz w:val="20"/>
                <w:szCs w:val="20"/>
              </w:rPr>
              <w:t>Phishing Email Analysis &amp; Risk Classification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Tools Used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0">
            <w:r>
              <w:rPr>
                <w:rFonts w:ascii="Arial" w:cs="Arial" w:eastAsia="Arial" w:hAnsi="Arial"/>
                <w:sz w:val="20"/>
                <w:szCs w:val="20"/>
              </w:rPr>
              <w:t>Google Admin Toolbox, MXToolbox, Email Header Analysis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1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2">
            <w:r>
              <w:rPr>
                <w:rFonts w:ascii="Arial" w:cs="Arial" w:eastAsia="Arial" w:hAnsi="Arial"/>
                <w:sz w:val="20"/>
                <w:szCs w:val="20"/>
              </w:rPr>
              <w:t>Confidential — For Training Purposes Only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3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Author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4">
            <w:r>
              <w:rPr>
                <w:rFonts w:ascii="Arial" w:cs="Arial" w:eastAsia="Arial" w:hAnsi="Arial"/>
                <w:sz w:val="20"/>
                <w:szCs w:val="20"/>
              </w:rPr>
              <w:t>Kouami Gaston KOWOU</w:t>
            </w:r>
          </w:p>
        </w:tc>
      </w:tr>
    </w:tbl>
    <w:p w14:paraId="00000015">
      <w:pPr>
        <w:spacing w:before="0" w:beforeAutospacing="0" w:after="200" w:afterAutospacing="0"/>
        <w:rPr/>
      </w:pPr>
    </w:p>
    <w:p w14:paraId="00000016">
      <w:pPr>
        <w:pStyle w:val="Heading1"/>
        <w:spacing w:before="360" w:beforeAutospacing="0" w:after="180" w:afterAutospacing="0"/>
        <w:rPr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>1. Executive Summary</w:t>
      </w:r>
    </w:p>
    <w:p w14:paraId="00000017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This report presents the results of a technical phishing email analysis conducted on a real-world sample (sample-1101) collected from a public phishing repository. The investigation identifies fraudulent indicators, technical email header inconsistencies, and social engineering tactics designed to harvest user credentials by impersonating Microsoft.</w:t>
      </w:r>
    </w:p>
    <w:p w14:paraId="00000018">
      <w:pPr>
        <w:spacing w:before="0" w:beforeAutospacing="0" w:after="100" w:afterAutospacing="0"/>
        <w:rPr/>
      </w:pPr>
    </w:p>
    <w:p w14:paraId="00000019">
      <w:pPr>
        <w:spacing w:before="80" w:beforeAutospacing="0" w:after="80" w:afterAutospacing="0"/>
        <w:rPr/>
      </w:pPr>
      <w:r>
        <w:rPr>
          <w:rFonts w:ascii="Arial" w:cs="Arial" w:eastAsia="Arial" w:hAnsi="Arial"/>
          <w:b/>
          <w:bCs/>
          <w:sz w:val="22"/>
          <w:szCs w:val="22"/>
        </w:rPr>
        <w:t>Risk Identification Summary:</w:t>
      </w:r>
    </w:p>
    <w:p w14:paraId="0000001A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Total Samples Analyzed: 1 (Microsoft Account Spoofing)</w:t>
      </w:r>
    </w:p>
    <w:p w14:paraId="0000001B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c00000"/>
          <w:sz w:val="22"/>
          <w:szCs w:val="22"/>
        </w:rPr>
        <w:t>Final Classification: CRITICAL</w:t>
      </w:r>
    </w:p>
    <w:p w14:paraId="0000001C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Threat Type: Credential Harvesting (Phishing)</w:t>
      </w:r>
    </w:p>
    <w:p w14:paraId="0000001D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Confidence Level: 100% — Multiple authentication failures confirmed</w:t>
      </w:r>
    </w:p>
    <w:p w14:paraId="0000001E">
      <w:pPr>
        <w:spacing w:before="0" w:beforeAutospacing="0" w:after="100" w:afterAutospacing="0"/>
        <w:rPr/>
      </w:pPr>
    </w:p>
    <w:tbl>
      <w:tblPr>
        <w:tblW w:w="3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3000"/>
      </w:tblGrid>
      <w:tr>
        <w:trPr/>
        <w:tc>
          <w:tcPr>
            <w:cnfStyle w:val="100010000000"/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c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1F">
            <w:pPr>
              <w:jc w:val="center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⚠  RISK LEVEL: CRITICAL — PHISHING</w:t>
            </w:r>
          </w:p>
        </w:tc>
      </w:tr>
    </w:tbl>
    <w:p w14:paraId="00000020">
      <w:pPr>
        <w:spacing w:before="0" w:beforeAutospacing="0" w:after="200" w:afterAutospacing="0"/>
        <w:rPr/>
      </w:pPr>
    </w:p>
    <w:p w14:paraId="00000021">
      <w:pPr>
        <w:pStyle w:val="Heading1"/>
        <w:spacing w:before="360" w:beforeAutospacing="0" w:after="180" w:afterAutospacing="0"/>
        <w:rPr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>2. Technical Analysis (Sample-1101)</w:t>
      </w:r>
    </w:p>
    <w:p w14:paraId="00000022">
      <w:pPr>
        <w:spacing w:before="80" w:beforeAutospacing="0" w:after="80" w:afterAutospacing="0"/>
        <w:rPr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>Source: github.com/rf-peixoto/phishing_pot/blob/main/email/sample-1101.eml</w:t>
      </w:r>
    </w:p>
    <w:p w14:paraId="00000023">
      <w:pPr>
        <w:spacing w:before="0" w:beforeAutospacing="0" w:after="100" w:afterAutospacing="0"/>
        <w:rPr/>
      </w:pPr>
    </w:p>
    <w:p w14:paraId="00000024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2.1 Email Metadata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6560"/>
      </w:tblGrid>
      <w:tr>
        <w:trPr/>
        <w:tc>
          <w:tcPr>
            <w:cnfStyle w:val="1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5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Displayed Sender</w:t>
            </w:r>
          </w:p>
        </w:tc>
        <w:tc>
          <w:tcPr>
            <w:cnfStyle w:val="1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6">
            <w:r>
              <w:rPr>
                <w:rFonts w:ascii="Arial" w:cs="Arial" w:eastAsia="Arial" w:hAnsi="Arial"/>
                <w:sz w:val="20"/>
                <w:szCs w:val="20"/>
              </w:rPr>
              <w:t>Microsoft account team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7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Actual Sender (From)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8">
            <w:r>
              <w:rPr>
                <w:rFonts w:ascii="Arial" w:cs="Arial" w:eastAsia="Arial" w:hAnsi="Arial"/>
                <w:sz w:val="20"/>
                <w:szCs w:val="20"/>
              </w:rPr>
              <w:t>no-reply@access-accsecurity.com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9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Subject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A">
            <w:r>
              <w:rPr>
                <w:rFonts w:ascii="Arial" w:cs="Arial" w:eastAsia="Arial" w:hAnsi="Arial"/>
                <w:sz w:val="20"/>
                <w:szCs w:val="20"/>
              </w:rPr>
              <w:t>Microsoft account unusual signin activity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B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Reply-To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C">
            <w:r>
              <w:rPr>
                <w:rFonts w:ascii="Arial" w:cs="Arial" w:eastAsia="Arial" w:hAnsi="Arial"/>
                <w:sz w:val="20"/>
                <w:szCs w:val="20"/>
              </w:rPr>
              <w:t>solutionteamrecognizd03@gmail.com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D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Date Sent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E">
            <w:r>
              <w:rPr>
                <w:rFonts w:ascii="Arial" w:cs="Arial" w:eastAsia="Arial" w:hAnsi="Arial"/>
                <w:sz w:val="20"/>
                <w:szCs w:val="20"/>
              </w:rPr>
              <w:t>Saturday, 12 August 2023 — 14:25:52 +0000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F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Sending IP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0">
            <w:r>
              <w:rPr>
                <w:rFonts w:ascii="Arial" w:cs="Arial" w:eastAsia="Arial" w:hAnsi="Arial"/>
                <w:sz w:val="20"/>
                <w:szCs w:val="20"/>
              </w:rPr>
              <w:t>89.144.9.87 (nonkfrgr.co.uk)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1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Message-ID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2">
            <w:r>
              <w:rPr>
                <w:rFonts w:ascii="Arial" w:cs="Arial" w:eastAsia="Arial" w:hAnsi="Arial"/>
                <w:sz w:val="20"/>
                <w:szCs w:val="20"/>
              </w:rPr>
              <w:t>fb80b733-7c5a-4d56-959a-7f8841924992@DB8EUR05FT021</w:t>
            </w:r>
          </w:p>
        </w:tc>
      </w:tr>
    </w:tbl>
    <w:p w14:paraId="00000033">
      <w:pPr>
        <w:spacing w:before="0" w:beforeAutospacing="0" w:after="100" w:afterAutospacing="0"/>
        <w:rPr/>
      </w:pPr>
    </w:p>
    <w:p w14:paraId="00000034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2.2 Security Authentication Results</w:t>
      </w:r>
    </w:p>
    <w:p w14:paraId="00000035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The following authentication checks were performed using Google Admin Toolbox (Messageheader Analyzer):</w:t>
      </w:r>
    </w:p>
    <w:p w14:paraId="00000036">
      <w:pPr>
        <w:spacing w:before="0" w:beforeAutospacing="0" w:after="100" w:afterAutospacing="0"/>
        <w:rPr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1500"/>
        <w:gridCol w:w="1800"/>
        <w:gridCol w:w="6060"/>
      </w:tblGrid>
      <w:tr>
        <w:trPr/>
        <w:tc>
          <w:tcPr>
            <w:cnfStyle w:val="1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7"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cnfStyle w:val="100001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cnfStyle w:val="100010000000"/>
            <w:tcW w:w="6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9"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Security Impact</w:t>
            </w:r>
          </w:p>
        </w:tc>
      </w:tr>
      <w:tr>
        <w:trPr/>
        <w:tc>
          <w:tcPr>
            <w:cnfStyle w:val="0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A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SPF</w:t>
            </w:r>
          </w:p>
        </w:tc>
        <w:tc>
          <w:tcPr>
            <w:cnfStyle w:val="000001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B"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>NONE</w:t>
            </w:r>
          </w:p>
        </w:tc>
        <w:tc>
          <w:tcPr>
            <w:cnfStyle w:val="000010000000"/>
            <w:tcW w:w="6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C">
            <w:r>
              <w:rPr>
                <w:rFonts w:ascii="Arial" w:cs="Arial" w:eastAsia="Arial" w:hAnsi="Arial"/>
                <w:sz w:val="20"/>
                <w:szCs w:val="20"/>
              </w:rPr>
              <w:t>The sending IP (89.144.9.87) is not authorized to send on behalf of the claimed domain. High risk of spoofing.</w:t>
            </w:r>
          </w:p>
        </w:tc>
      </w:tr>
      <w:tr>
        <w:trPr/>
        <w:tc>
          <w:tcPr>
            <w:cnfStyle w:val="0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D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DKIM</w:t>
            </w:r>
          </w:p>
        </w:tc>
        <w:tc>
          <w:tcPr>
            <w:cnfStyle w:val="000001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E"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>NONE</w:t>
            </w:r>
          </w:p>
        </w:tc>
        <w:tc>
          <w:tcPr>
            <w:cnfStyle w:val="000010000000"/>
            <w:tcW w:w="6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F">
            <w:r>
              <w:rPr>
                <w:rFonts w:ascii="Arial" w:cs="Arial" w:eastAsia="Arial" w:hAnsi="Arial"/>
                <w:sz w:val="20"/>
                <w:szCs w:val="20"/>
              </w:rPr>
              <w:t>No digital signature present. The message content cannot be verified and may have been altered in transit.</w:t>
            </w:r>
          </w:p>
        </w:tc>
      </w:tr>
      <w:tr>
        <w:trPr/>
        <w:tc>
          <w:tcPr>
            <w:cnfStyle w:val="0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DMARC</w:t>
            </w:r>
          </w:p>
        </w:tc>
        <w:tc>
          <w:tcPr>
            <w:cnfStyle w:val="000001000000"/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c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1"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>PERMERROR</w:t>
            </w:r>
          </w:p>
        </w:tc>
        <w:tc>
          <w:tcPr>
            <w:cnfStyle w:val="000010000000"/>
            <w:tcW w:w="60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2">
            <w:r>
              <w:rPr>
                <w:rFonts w:ascii="Arial" w:cs="Arial" w:eastAsia="Arial" w:hAnsi="Arial"/>
                <w:sz w:val="20"/>
                <w:szCs w:val="20"/>
              </w:rPr>
              <w:t>The sender domain fails all security policy checks. The domain has no properly configured DMARC record.</w:t>
            </w:r>
          </w:p>
        </w:tc>
      </w:tr>
    </w:tbl>
    <w:p w14:paraId="00000043">
      <w:pPr>
        <w:spacing w:before="0" w:beforeAutospacing="0" w:after="100" w:afterAutospacing="0"/>
        <w:rPr/>
      </w:pPr>
    </w:p>
    <w:p w14:paraId="00000044">
      <w:pPr>
        <w:pBdr>
          <w:left w:val="single" w:color="e36c09" w:sz="12" w:space="4"/>
        </w:pBdr>
        <w:shd w:val="clear" w:fill="fff2cc"/>
        <w:spacing w:before="80" w:beforeAutospacing="0" w:after="80" w:afterAutospacing="0"/>
        <w:rPr/>
      </w:pPr>
      <w:r>
        <w:rPr>
          <w:rFonts w:ascii="Arial" w:cs="Arial" w:eastAsia="Arial" w:hAnsi="Arial"/>
          <w:b/>
          <w:bCs/>
          <w:color w:val="e36c09"/>
          <w:sz w:val="22"/>
          <w:szCs w:val="22"/>
        </w:rPr>
        <w:t xml:space="preserve">Analyst Note: </w:t>
      </w:r>
      <w:r>
        <w:rPr>
          <w:rFonts w:ascii="Arial" w:cs="Arial" w:eastAsia="Arial" w:hAnsi="Arial"/>
          <w:sz w:val="22"/>
          <w:szCs w:val="22"/>
        </w:rPr>
        <w:t>The combined failure of SPF, DKIM, and DMARC — alongside a Gmail Reply-To and a spoofed display name — constitutes a textbook phishing attempt with 100% confidence. The domain access-accsecurity.com is a classic 'typosquatting' attack designed to visually mimic Microsoft.</w:t>
      </w:r>
    </w:p>
    <w:p w14:paraId="00000045">
      <w:pPr>
        <w:spacing w:before="0" w:beforeAutospacing="0" w:after="200" w:afterAutospacing="0"/>
        <w:rPr/>
      </w:pPr>
    </w:p>
    <w:p w14:paraId="00000046">
      <w:pPr>
        <w:pStyle w:val="Heading1"/>
        <w:spacing w:before="360" w:beforeAutospacing="0" w:after="180" w:afterAutospacing="0"/>
        <w:rPr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>3. Phishing Indicators Identified</w:t>
      </w:r>
    </w:p>
    <w:p w14:paraId="00000047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3.1 Domain Mismatch (Display Name Spoofing)</w:t>
      </w:r>
    </w:p>
    <w:p w14:paraId="00000048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The email displays the name 'Microsoft account team' while the actual sender address is no-reply@access-accsecurity.com. The domain access-accsecurity.com has no affiliation with Microsoft Corporation. Legitimate Microsoft security emails always originate from @microsoft.com or @accountprotection.microsoft.com.</w:t>
      </w:r>
    </w:p>
    <w:p w14:paraId="00000049">
      <w:pPr>
        <w:spacing w:before="0" w:beforeAutospacing="0" w:after="100" w:afterAutospacing="0"/>
        <w:rPr/>
      </w:pPr>
    </w:p>
    <w:p w14:paraId="0000004A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3.2 Invalid Reply-To Address</w:t>
      </w:r>
    </w:p>
    <w:p w14:paraId="0000004B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The Reply-To header (line 31 of the raw source) directs any user response to solutionteamrecognizd03@gmail.com — a free personal Gmail address. No legitimate corporate security team uses a public Gmail account for security communications.</w:t>
      </w:r>
    </w:p>
    <w:p w14:paraId="0000004C">
      <w:pPr>
        <w:spacing w:before="0" w:beforeAutospacing="0" w:after="100" w:afterAutospacing="0"/>
        <w:rPr/>
      </w:pPr>
    </w:p>
    <w:p w14:paraId="0000004D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3.3 Unauthenticated Sending Infrastructure</w:t>
      </w:r>
    </w:p>
    <w:p w14:paraId="0000004E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The email originated from IP 89.144.9.87 (hostname: nonkfrgr.co.uk), which has no relationship to Microsoft servers. The use of Microsoft Exchange relays (office365.com) in the routing chain is a deceptive technique to make the path appear legitimate.</w:t>
      </w:r>
    </w:p>
    <w:p w14:paraId="0000004F">
      <w:pPr>
        <w:spacing w:before="0" w:beforeAutospacing="0" w:after="100" w:afterAutospacing="0"/>
        <w:rPr/>
      </w:pPr>
    </w:p>
    <w:p w14:paraId="00000050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3.4 Social Engineering Tactics</w:t>
      </w:r>
    </w:p>
    <w:p w14:paraId="00000051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Urgency and Fear: Subject line implies immediate account risk ('unusual signin activity').</w:t>
      </w:r>
    </w:p>
    <w:p w14:paraId="00000052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Generic Salutation: Use of 'Dear User' instead of the recipient's actual name.</w:t>
      </w:r>
    </w:p>
    <w:p w14:paraId="00000053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Authority Impersonation: Falsely claims to be from the Microsoft security team.</w:t>
      </w:r>
    </w:p>
    <w:p w14:paraId="00000054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Call to Action: Pressures the victim to click a link and verify credentials immediately.</w:t>
      </w:r>
    </w:p>
    <w:p w14:paraId="00000055">
      <w:pPr>
        <w:spacing w:before="0" w:beforeAutospacing="0" w:after="200" w:afterAutospacing="0"/>
        <w:rPr/>
      </w:pPr>
    </w:p>
    <w:p w14:paraId="00000056">
      <w:pPr>
        <w:pStyle w:val="Heading1"/>
        <w:spacing w:before="360" w:beforeAutospacing="0" w:after="180" w:afterAutospacing="0"/>
        <w:rPr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>4. Awareness &amp; Prevention Guide</w:t>
      </w:r>
    </w:p>
    <w:p w14:paraId="00000057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This section is designed for non-technical employees. The goal is to empower users to identify and report phishing emails independently.</w:t>
      </w:r>
    </w:p>
    <w:p w14:paraId="00000058">
      <w:pPr>
        <w:spacing w:before="0" w:beforeAutospacing="0" w:after="100" w:afterAutospacing="0"/>
        <w:rPr/>
      </w:pPr>
    </w:p>
    <w:p w14:paraId="00000059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4.1 The 4 STOP Reflexes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6560"/>
      </w:tblGrid>
      <w:tr>
        <w:trPr/>
        <w:tc>
          <w:tcPr>
            <w:cnfStyle w:val="1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A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S — Suspicion</w:t>
            </w:r>
          </w:p>
        </w:tc>
        <w:tc>
          <w:tcPr>
            <w:cnfStyle w:val="1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B">
            <w:r>
              <w:rPr>
                <w:rFonts w:ascii="Arial" w:cs="Arial" w:eastAsia="Arial" w:hAnsi="Arial"/>
                <w:sz w:val="20"/>
                <w:szCs w:val="20"/>
              </w:rPr>
              <w:t>Does the email create urgency, fear, or an unusual request?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C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T — Test the Link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D">
            <w:r>
              <w:rPr>
                <w:rFonts w:ascii="Arial" w:cs="Arial" w:eastAsia="Arial" w:hAnsi="Arial"/>
                <w:sz w:val="20"/>
                <w:szCs w:val="20"/>
              </w:rPr>
              <w:t>Hover over any link (without clicking) to preview the real destination URL.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E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O — Origin Check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F">
            <w:r>
              <w:rPr>
                <w:rFonts w:ascii="Arial" w:cs="Arial" w:eastAsia="Arial" w:hAnsi="Arial"/>
                <w:sz w:val="20"/>
                <w:szCs w:val="20"/>
              </w:rPr>
              <w:t>Verify the sender's full email address — not just the display name.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0"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>P — Prudence</w:t>
            </w:r>
          </w:p>
        </w:tc>
        <w:tc>
          <w:tcPr>
            <w:cnfStyle w:val="000001000000"/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1">
            <w:r>
              <w:rPr>
                <w:rFonts w:ascii="Arial" w:cs="Arial" w:eastAsia="Arial" w:hAnsi="Arial"/>
                <w:sz w:val="20"/>
                <w:szCs w:val="20"/>
              </w:rPr>
              <w:t>Never enter passwords, OTPs, or personal data via an email link.</w:t>
            </w:r>
          </w:p>
        </w:tc>
      </w:tr>
    </w:tbl>
    <w:p w14:paraId="00000062">
      <w:pPr>
        <w:spacing w:before="0" w:beforeAutospacing="0" w:after="100" w:afterAutospacing="0"/>
        <w:rPr/>
      </w:pPr>
    </w:p>
    <w:p w14:paraId="00000063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4.2 Employee Best Practices</w:t>
      </w:r>
    </w:p>
    <w:p w14:paraId="00000064">
      <w:pPr>
        <w:spacing w:before="0" w:beforeAutospacing="0" w:after="100" w:afterAutospacing="0"/>
        <w:rPr/>
      </w:pPr>
    </w:p>
    <w:p w14:paraId="00000065">
      <w:pPr>
        <w:spacing w:before="80" w:beforeAutospacing="0" w:after="8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>DO's — Actions employees should always take:</w:t>
      </w:r>
    </w:p>
    <w:p w14:paraId="00000066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</w:t>
      </w:r>
      <w:r>
        <w:rPr>
          <w:rFonts w:ascii="Arial" w:cs="Arial" w:eastAsia="Arial" w:hAnsi="Arial"/>
          <w:sz w:val="22"/>
          <w:szCs w:val="22"/>
        </w:rPr>
        <w:t>Check the sender's full email address, not just the displayed name.</w:t>
      </w:r>
    </w:p>
    <w:p w14:paraId="00000067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</w:t>
      </w:r>
      <w:r>
        <w:rPr>
          <w:rFonts w:ascii="Arial" w:cs="Arial" w:eastAsia="Arial" w:hAnsi="Arial"/>
          <w:sz w:val="22"/>
          <w:szCs w:val="22"/>
        </w:rPr>
        <w:t>Hover over links to preview the real URL before clicking.</w:t>
      </w:r>
    </w:p>
    <w:p w14:paraId="00000068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</w:t>
      </w:r>
      <w:r>
        <w:rPr>
          <w:rFonts w:ascii="Arial" w:cs="Arial" w:eastAsia="Arial" w:hAnsi="Arial"/>
          <w:sz w:val="22"/>
          <w:szCs w:val="22"/>
        </w:rPr>
        <w:t>Report suspicious emails immediately using the 'Report Phishing' button.</w:t>
      </w:r>
    </w:p>
    <w:p w14:paraId="00000069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</w:t>
      </w:r>
      <w:r>
        <w:rPr>
          <w:rFonts w:ascii="Arial" w:cs="Arial" w:eastAsia="Arial" w:hAnsi="Arial"/>
          <w:sz w:val="22"/>
          <w:szCs w:val="22"/>
        </w:rPr>
        <w:t>Navigate to official websites directly via your browser bookmarks.</w:t>
      </w:r>
    </w:p>
    <w:p w14:paraId="0000006A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✔ </w:t>
      </w:r>
      <w:r>
        <w:rPr>
          <w:rFonts w:ascii="Arial" w:cs="Arial" w:eastAsia="Arial" w:hAnsi="Arial"/>
          <w:sz w:val="22"/>
          <w:szCs w:val="22"/>
        </w:rPr>
        <w:t>Contact IT/Security if you are unsure about any email.</w:t>
      </w:r>
    </w:p>
    <w:p w14:paraId="0000006B">
      <w:pPr>
        <w:spacing w:before="0" w:beforeAutospacing="0" w:after="100" w:afterAutospacing="0"/>
        <w:rPr/>
      </w:pPr>
    </w:p>
    <w:p w14:paraId="0000006C">
      <w:pPr>
        <w:spacing w:before="80" w:beforeAutospacing="0" w:after="80" w:afterAutospacing="0"/>
        <w:rPr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>DON'Ts — Actions employees must avoid:</w:t>
      </w:r>
    </w:p>
    <w:p w14:paraId="0000006D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✘ </w:t>
      </w:r>
      <w:r>
        <w:rPr>
          <w:rFonts w:ascii="Arial" w:cs="Arial" w:eastAsia="Arial" w:hAnsi="Arial"/>
          <w:sz w:val="22"/>
          <w:szCs w:val="22"/>
        </w:rPr>
        <w:t>Click on links in emails from unknown or unverified senders.</w:t>
      </w:r>
    </w:p>
    <w:p w14:paraId="0000006E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✘ </w:t>
      </w:r>
      <w:r>
        <w:rPr>
          <w:rFonts w:ascii="Arial" w:cs="Arial" w:eastAsia="Arial" w:hAnsi="Arial"/>
          <w:sz w:val="22"/>
          <w:szCs w:val="22"/>
        </w:rPr>
        <w:t>Open attachments (especially .zip, .html, .exe) from external emails.</w:t>
      </w:r>
    </w:p>
    <w:p w14:paraId="0000006F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✘ </w:t>
      </w:r>
      <w:r>
        <w:rPr>
          <w:rFonts w:ascii="Arial" w:cs="Arial" w:eastAsia="Arial" w:hAnsi="Arial"/>
          <w:sz w:val="22"/>
          <w:szCs w:val="22"/>
        </w:rPr>
        <w:t>Enter login credentials on any page reached from an email link.</w:t>
      </w:r>
    </w:p>
    <w:p w14:paraId="00000070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✘ </w:t>
      </w:r>
      <w:r>
        <w:rPr>
          <w:rFonts w:ascii="Arial" w:cs="Arial" w:eastAsia="Arial" w:hAnsi="Arial"/>
          <w:sz w:val="22"/>
          <w:szCs w:val="22"/>
        </w:rPr>
        <w:t>Reply to suspicious emails or interact with the attacker.</w:t>
      </w:r>
    </w:p>
    <w:p w14:paraId="00000071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✘ </w:t>
      </w:r>
      <w:r>
        <w:rPr>
          <w:rFonts w:ascii="Arial" w:cs="Arial" w:eastAsia="Arial" w:hAnsi="Arial"/>
          <w:sz w:val="22"/>
          <w:szCs w:val="22"/>
        </w:rPr>
        <w:t>Ignore or delete phishing emails without reporting them first.</w:t>
      </w:r>
    </w:p>
    <w:p w14:paraId="00000072">
      <w:pPr>
        <w:spacing w:before="0" w:beforeAutospacing="0" w:after="200" w:afterAutospacing="0"/>
        <w:rPr/>
      </w:pPr>
    </w:p>
    <w:p w14:paraId="00000073">
      <w:pPr>
        <w:pStyle w:val="Heading1"/>
        <w:spacing w:before="360" w:beforeAutospacing="0" w:after="180" w:afterAutospacing="0"/>
        <w:rPr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>5. Recommendations</w:t>
      </w:r>
    </w:p>
    <w:p w14:paraId="00000074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5.1 For IT &amp; Security Teams</w:t>
      </w:r>
    </w:p>
    <w:p w14:paraId="00000075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Block the domain access-accsecurity.com at the email gateway and firewall level.</w:t>
      </w:r>
    </w:p>
    <w:p w14:paraId="00000076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Implement and enforce DMARC, DKIM, and SPF on all company email domains.</w:t>
      </w:r>
    </w:p>
    <w:p w14:paraId="00000077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Configure email security gateways to flag or quarantine emails failing authentication.</w:t>
      </w:r>
    </w:p>
    <w:p w14:paraId="00000078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Enable anti-spoofing policies to reject emails with mismatched Reply-To addresses.</w:t>
      </w:r>
    </w:p>
    <w:p w14:paraId="00000079">
      <w:pPr>
        <w:spacing w:before="0" w:beforeAutospacing="0" w:after="100" w:afterAutospacing="0"/>
        <w:rPr/>
      </w:pPr>
    </w:p>
    <w:p w14:paraId="0000007A">
      <w:pPr>
        <w:pStyle w:val="Heading2"/>
        <w:spacing w:before="240" w:beforeAutospacing="0" w:after="120" w:afterAutospacing="0"/>
        <w:rPr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5.2 For Employees &amp; End Users</w:t>
      </w:r>
    </w:p>
    <w:p w14:paraId="0000007B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Attend regular phishing simulation and awareness training sessions.</w:t>
      </w:r>
    </w:p>
    <w:p w14:paraId="0000007C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Remember: Microsoft, banks, and official services will NEVER ask you to reply to a Gmail address.</w:t>
      </w:r>
    </w:p>
    <w:p w14:paraId="0000007D">
      <w:pPr>
        <w:pStyle w:val="ListParagraph"/>
        <w:numPr>
          <w:ilvl w:val="0"/>
          <w:numId w:val="2"/>
        </w:numPr>
        <w:spacing w:before="60" w:beforeAutospacing="0" w:after="60" w:afterAutospacing="0"/>
        <w:rPr/>
      </w:pPr>
      <w:r>
        <w:rPr>
          <w:rFonts w:ascii="Arial" w:cs="Arial" w:eastAsia="Arial" w:hAnsi="Arial"/>
          <w:color w:val="000000"/>
          <w:sz w:val="22"/>
          <w:szCs w:val="22"/>
        </w:rPr>
        <w:t>When in doubt — do not click. Call the IT helpdesk to verify.</w:t>
      </w:r>
    </w:p>
    <w:p w14:paraId="0000007E">
      <w:pPr>
        <w:spacing w:before="0" w:beforeAutospacing="0" w:after="200" w:afterAutospacing="0"/>
        <w:rPr/>
      </w:pPr>
    </w:p>
    <w:p w14:paraId="0000007F">
      <w:pPr>
        <w:pStyle w:val="Heading1"/>
        <w:spacing w:before="360" w:beforeAutospacing="0" w:after="180" w:afterAutospacing="0"/>
        <w:rPr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>6. Conclusion</w:t>
      </w:r>
    </w:p>
    <w:p w14:paraId="00000080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The analyzed email (sample-1101) is a confirmed, high-confidence phishing attempt. It exploits display name spoofing, authentication failures, and psychological pressure to steal Microsoft user credentials. This type of attack does not require technical weakness — it exploits human behavior.</w:t>
      </w:r>
    </w:p>
    <w:p w14:paraId="00000081">
      <w:pPr>
        <w:spacing w:before="0" w:beforeAutospacing="0" w:after="100" w:afterAutospacing="0"/>
        <w:rPr/>
      </w:pPr>
    </w:p>
    <w:p w14:paraId="00000082">
      <w:pPr>
        <w:spacing w:before="80" w:beforeAutospacing="0" w:after="80" w:afterAutospacing="0"/>
        <w:rPr/>
      </w:pPr>
      <w:r>
        <w:rPr>
          <w:rFonts w:ascii="Arial" w:cs="Arial" w:eastAsia="Arial" w:hAnsi="Arial"/>
          <w:sz w:val="22"/>
          <w:szCs w:val="22"/>
        </w:rPr>
        <w:t>By implementing the technical recommendations and educating employees with the guidelines in Section 4, organizations can significantly reduce the risk of credential theft through phishing. Security awareness is the most cost-effective defense against social engineering attacks.</w:t>
      </w:r>
    </w:p>
    <w:p w14:paraId="00000083">
      <w:pPr>
        <w:spacing w:before="0" w:beforeAutospacing="0" w:after="100" w:afterAutospacing="0"/>
        <w:rPr/>
      </w:pPr>
    </w:p>
    <w:p w14:paraId="00000084">
      <w:pPr>
        <w:pBdr>
          <w:top w:val="single" w:color="2e75b6" w:sz="6" w:space="4"/>
        </w:pBdr>
        <w:spacing w:before="120" w:beforeAutospacing="0" w:after="80" w:afterAutospacing="0"/>
        <w:rPr/>
      </w:pPr>
      <w:r>
        <w:rPr>
          <w:rFonts w:ascii="Arial" w:cs="Arial" w:eastAsia="Arial" w:hAnsi="Arial"/>
          <w:color w:val="595959"/>
          <w:sz w:val="20"/>
          <w:szCs w:val="20"/>
        </w:rPr>
        <w:t>Report prepared by: Omod</w:t>
      </w:r>
      <w:r>
        <w:rPr>
          <w:rFonts w:ascii="Arial" w:cs="Arial" w:eastAsia="Arial" w:hAnsi="Arial"/>
          <w:color w:val="595959"/>
          <w:sz w:val="20"/>
          <w:szCs w:val="20"/>
        </w:rPr>
        <w:t>ing inno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cent </w:t>
      </w:r>
      <w:r>
        <w:rPr>
          <w:rFonts w:ascii="Arial" w:cs="Arial" w:eastAsia="Arial" w:hAnsi="Arial"/>
          <w:color w:val="595959"/>
          <w:sz w:val="20"/>
          <w:szCs w:val="20"/>
        </w:rPr>
        <w:t>|  Cybersecurity Intern — Future Interns  |  17 March 2026</w:t>
      </w:r>
    </w:p>
    <w:sectPr>
      <w:headerReference w:type="default" r:id="rId9"/>
      <w:pgSz w:w="12240" w:h="15840" w:orient="portrait"/>
      <w:pgMar w:top="1080" w:right="1080" w:bottom="1080" w:left="1080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footnote w:type="separator" w:id="0">
    <w:p w14:paraId="00000001">
      <w:pPr>
        <w:spacing w:beforeAutospacing="0" w:after="0" w:afterAutospacing="0" w:line="240" w:lineRule="auto"/>
        <w:rPr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1">
    <w:p w14:paraId="00000002">
      <w:pPr>
        <w:spacing w:beforeAutospacing="0" w:after="0" w:afterAutospacing="0" w:line="240" w:lineRule="auto"/>
        <w:rPr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 mc:Ignorable="w14 wp14 ">
  <w:p w14:paraId="00000085">
    <w:pPr>
      <w:pBdr>
        <w:bottom w:val="single" w:color="2e75b6" w:sz="6" w:space="1"/>
      </w:pBdr>
      <w:spacing w:beforeAutospacing="0" w:after="0" w:afterAutospacing="0"/>
      <w:rPr/>
    </w:pPr>
    <w:r>
      <w:rPr>
        <w:rFonts w:ascii="Arial" w:cs="Arial" w:eastAsia="Arial" w:hAnsi="Arial"/>
        <w:b/>
        <w:bCs/>
        <w:color w:val="1f3864"/>
        <w:sz w:val="18"/>
        <w:szCs w:val="18"/>
      </w:rPr>
      <w:t>PHISHING DETECTION &amp; AWARENESS REPORT</w:t>
    </w:r>
    <w:r>
      <w:rPr>
        <w:rFonts w:ascii="Arial" w:cs="Arial" w:eastAsia="Arial" w:hAnsi="Arial"/>
        <w:color w:val="595959"/>
        <w:sz w:val="18"/>
        <w:szCs w:val="18"/>
      </w:rPr>
      <w:t xml:space="preserve">  ·  </w:t>
    </w:r>
    <w:r>
      <w:rPr>
        <w:rFonts w:ascii="Arial" w:cs="Arial" w:eastAsia="Arial" w:hAnsi="Arial"/>
        <w:color w:val="595959"/>
        <w:sz w:val="18"/>
        <w:szCs w:val="18"/>
      </w:rPr>
      <w:t>Cybersecurity Task 2 — 2026</w:t>
    </w:r>
    <w:r>
      <w:rPr>
        <w:rFonts w:ascii="Arial" w:cs="Arial" w:eastAsia="Arial" w:hAnsi="Arial"/>
        <w:color w:val="595959"/>
        <w:sz w:val="18"/>
        <w:szCs w:val="18"/>
      </w:rPr>
      <w:t xml:space="preserve">     Page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footnotePr>
    <w:footnote w:id="0"/>
    <w:footnote w:id="1"/>
  </w:foot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default="1" w:styleId="Normal">
    <w:name w:val="Normal"/>
    <w:uiPriority w:val="0"/>
    <w:qFormat w:val="on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uiPriority w:val="99"/>
    <w:qFormat w:val="on"/>
    <w:rPr>
      <w:sz w:val="56"/>
      <w:szCs w:val="56"/>
    </w:rPr>
  </w:style>
  <w:style w:type="paragraph" w:styleId="Heading3">
    <w:name w:val="Heading 3"/>
    <w:basedOn w:val="Normal"/>
    <w:next w:val="Normal"/>
    <w:uiPriority w:val="99"/>
    <w:qFormat w:val="on"/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9"/>
    <w:qFormat w:val="on"/>
    <w:rPr>
      <w:i/>
      <w:iCs/>
      <w:color w:val="2e74b5"/>
    </w:rPr>
  </w:style>
  <w:style w:type="paragraph" w:styleId="Heading5">
    <w:name w:val="Heading 5"/>
    <w:basedOn w:val="Normal"/>
    <w:next w:val="Normal"/>
    <w:uiPriority w:val="99"/>
    <w:qFormat w:val="on"/>
    <w:rPr>
      <w:color w:val="2e74b5"/>
    </w:rPr>
  </w:style>
  <w:style w:type="paragraph" w:styleId="Heading6">
    <w:name w:val="Heading 6"/>
    <w:basedOn w:val="Normal"/>
    <w:next w:val="Normal"/>
    <w:uiPriority w:val="99"/>
    <w:qFormat w:val="on"/>
    <w:rPr>
      <w:color w:val="1f4d78"/>
    </w:rPr>
  </w:style>
  <w:style w:type="paragraph" w:styleId="Strong">
    <w:name w:val="Strong"/>
    <w:basedOn w:val="Normal"/>
    <w:next w:val="Normal"/>
    <w:uiPriority w:val="99"/>
    <w:qFormat w:val="on"/>
    <w:rPr>
      <w:b/>
      <w:bCs/>
    </w:rPr>
  </w:style>
  <w:style w:type="paragraph" w:styleId="ListParagraph">
    <w:name w:val="List Paragraph"/>
    <w:basedOn w:val="Normal"/>
    <w:uiPriority w:val="99"/>
    <w:qFormat w:val="on"/>
  </w:style>
  <w:style w:type="character" w:styleId="Hyperlink">
    <w:name w:val="Hyperlink"/>
    <w:basedOn w:val="DefaultParagraphFont"/>
    <w:uiPriority w:val="99"/>
    <w:unhideWhenUsed w:val="on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unhideWhenUsed w:val="on"/>
    <w:rPr>
      <w:sz w:val="20"/>
      <w:szCs w:val="20"/>
    </w:rPr>
  </w:style>
  <w:style w:type="paragraph" w:styleId="Heading1">
    <w:name w:val="Heading 1"/>
    <w:basedOn w:val="Normal"/>
    <w:next w:val="Normal"/>
    <w:uiPriority w:val="99"/>
    <w:qFormat w:val="on"/>
    <w:pPr>
      <w:spacing w:before="360" w:beforeAutospacing="0" w:after="180" w:afterAutospacing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uiPriority w:val="99"/>
    <w:qFormat w:val="on"/>
    <w:pPr>
      <w:spacing w:before="240" w:beforeAutospacing="0" w:after="120" w:afterAutospacing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Omoding Innocent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