
<file path=[Content_Types].xml><?xml version="1.0" encoding="utf-8"?>
<Types xmlns="http://schemas.openxmlformats.org/package/2006/content-types">
  <Default Extension="rels" ContentType="application/vnd.openxmlformats-package.relationships+xml"/>
  <Default Extension="svg" ContentType="image/svg+xml"/>
  <Default Extension="gif" ContentType="image/gif"/>
  <Default Extension="bmp" ContentType="image/bmp"/>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3">
      <w:pPr>
        <w:spacing w:before="200" w:beforeAutospacing="0" w:after="0" w:afterAutospacing="0"/>
        <w:rPr/>
      </w:pPr>
      <w:r>
        <w:rPr>
          <w:rFonts w:ascii="Arial" w:cs="Arial" w:eastAsia="Arial" w:hAnsi="Arial"/>
          <w:b/>
          <w:bCs/>
          <w:color w:val="1f3864"/>
          <w:sz w:val="64"/>
          <w:szCs w:val="64"/>
        </w:rPr>
        <w:t>API SECURITY</w:t>
      </w:r>
    </w:p>
    <w:p w14:paraId="00000004">
      <w:pPr>
        <w:spacing w:before="0" w:beforeAutospacing="0" w:after="0" w:afterAutospacing="0"/>
        <w:rPr/>
      </w:pPr>
      <w:r>
        <w:rPr>
          <w:rFonts w:ascii="Arial" w:cs="Arial" w:eastAsia="Arial" w:hAnsi="Arial"/>
          <w:b/>
          <w:bCs/>
          <w:color w:val="1f3864"/>
          <w:sz w:val="64"/>
          <w:szCs w:val="64"/>
        </w:rPr>
        <w:t>RISK ANALYSIS REPORT</w:t>
      </w:r>
    </w:p>
    <w:p w14:paraId="00000005">
      <w:pPr>
        <w:pBdr>
          <w:bottom w:val="single" w:color="2e75b6" w:sz="12" w:space="1"/>
        </w:pBdr>
        <w:spacing w:before="0" w:beforeAutospacing="0" w:after="40" w:afterAutospacing="0"/>
        <w:rPr/>
      </w:pPr>
      <w:r>
        <w:rPr>
          <w:rFonts w:ascii="Arial" w:cs="Arial" w:eastAsia="Arial" w:hAnsi="Arial"/>
          <w:color w:val="595959"/>
          <w:sz w:val="24"/>
          <w:szCs w:val="24"/>
        </w:rPr>
        <w:t>API Endpoint Analysis  ·  OWASP Top 10  ·  Business Impact Assessment</w:t>
      </w:r>
    </w:p>
    <w:p w14:paraId="00000006">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6760"/>
      </w:tblGrid>
      <w:tr>
        <w:trPr/>
        <w:tc>
          <w:tcPr>
            <w:cnfStyle w:val="1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07">
            <w:r>
              <w:rPr>
                <w:rFonts w:ascii="Arial" w:cs="Arial" w:eastAsia="Arial" w:hAnsi="Arial"/>
                <w:b/>
                <w:bCs/>
                <w:color w:val="1f3864"/>
                <w:sz w:val="20"/>
                <w:szCs w:val="20"/>
              </w:rPr>
              <w:t>Prepared by</w:t>
            </w:r>
          </w:p>
        </w:tc>
        <w:tc>
          <w:tcPr>
            <w:cnfStyle w:val="1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08">
            <w:r>
              <w:rPr>
                <w:rFonts w:ascii="Arial" w:cs="Arial" w:eastAsia="Arial" w:hAnsi="Arial"/>
                <w:sz w:val="20"/>
                <w:szCs w:val="20"/>
              </w:rPr>
              <w:t>Future Interns — Cyber Security Task 3 (2026)</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09">
            <w:r>
              <w:rPr>
                <w:rFonts w:ascii="Arial" w:cs="Arial" w:eastAsia="Arial" w:hAnsi="Arial"/>
                <w:b/>
                <w:bCs/>
                <w:color w:val="1f3864"/>
                <w:sz w:val="20"/>
                <w:szCs w:val="20"/>
              </w:rPr>
              <w:t>Report Date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0A">
            <w:r>
              <w:rPr>
                <w:rFonts w:ascii="Arial" w:cs="Arial" w:eastAsia="Arial" w:hAnsi="Arial"/>
                <w:sz w:val="20"/>
                <w:szCs w:val="20"/>
              </w:rPr>
              <w:t>26 March 2026</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0B">
            <w:r>
              <w:rPr>
                <w:rFonts w:ascii="Arial" w:cs="Arial" w:eastAsia="Arial" w:hAnsi="Arial"/>
                <w:b/>
                <w:bCs/>
                <w:color w:val="1f3864"/>
                <w:sz w:val="20"/>
                <w:szCs w:val="20"/>
              </w:rPr>
              <w:t>APIs Tested</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0C">
            <w:r>
              <w:rPr>
                <w:rFonts w:ascii="Arial" w:cs="Arial" w:eastAsia="Arial" w:hAnsi="Arial"/>
                <w:sz w:val="20"/>
                <w:szCs w:val="20"/>
              </w:rPr>
              <w:t>JSONPlaceholder (jsonplaceholder.typicode.com) · ReqRes (reqres.in)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0D">
            <w:r>
              <w:rPr>
                <w:rFonts w:ascii="Arial" w:cs="Arial" w:eastAsia="Arial" w:hAnsi="Arial"/>
                <w:b/>
                <w:bCs/>
                <w:color w:val="1f3864"/>
                <w:sz w:val="20"/>
                <w:szCs w:val="20"/>
              </w:rPr>
              <w:t>Assessment Type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0E">
            <w:r>
              <w:rPr>
                <w:rFonts w:ascii="Arial" w:cs="Arial" w:eastAsia="Arial" w:hAnsi="Arial"/>
                <w:sz w:val="20"/>
                <w:szCs w:val="20"/>
              </w:rPr>
              <w:t>Read-Only API Security Risk Analysis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0F">
            <w:r>
              <w:rPr>
                <w:rFonts w:ascii="Arial" w:cs="Arial" w:eastAsia="Arial" w:hAnsi="Arial"/>
                <w:b/>
                <w:bCs/>
                <w:color w:val="1f3864"/>
                <w:sz w:val="20"/>
                <w:szCs w:val="20"/>
              </w:rPr>
              <w:t>Methodology</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10">
            <w:r>
              <w:rPr>
                <w:rFonts w:ascii="Arial" w:cs="Arial" w:eastAsia="Arial" w:hAnsi="Arial"/>
                <w:sz w:val="20"/>
                <w:szCs w:val="20"/>
              </w:rPr>
              <w:t>OWASP API Security Top 10 (2023 Edition)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11">
            <w:r>
              <w:rPr>
                <w:rFonts w:ascii="Arial" w:cs="Arial" w:eastAsia="Arial" w:hAnsi="Arial"/>
                <w:b/>
                <w:bCs/>
                <w:color w:val="1f3864"/>
                <w:sz w:val="20"/>
                <w:szCs w:val="20"/>
              </w:rPr>
              <w:t>Tools Used</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12">
            <w:r>
              <w:rPr>
                <w:rFonts w:ascii="Arial" w:cs="Arial" w:eastAsia="Arial" w:hAnsi="Arial"/>
                <w:sz w:val="20"/>
                <w:szCs w:val="20"/>
              </w:rPr>
              <w:t>Postman, Browser DevTools, Manual Header Inspection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13">
            <w:r>
              <w:rPr>
                <w:rFonts w:ascii="Arial" w:cs="Arial" w:eastAsia="Arial" w:hAnsi="Arial"/>
                <w:b/>
                <w:bCs/>
                <w:color w:val="1f3864"/>
                <w:sz w:val="20"/>
                <w:szCs w:val="20"/>
              </w:rPr>
              <w:t>Scope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14">
            <w:r>
              <w:rPr>
                <w:rFonts w:ascii="Arial" w:cs="Arial" w:eastAsia="Arial" w:hAnsi="Arial"/>
                <w:sz w:val="20"/>
                <w:szCs w:val="20"/>
              </w:rPr>
              <w:t>Public/Demo APIs — Educational Purposes Only</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15">
            <w:r>
              <w:rPr>
                <w:rFonts w:ascii="Arial" w:cs="Arial" w:eastAsia="Arial" w:hAnsi="Arial"/>
                <w:b/>
                <w:bCs/>
                <w:color w:val="1f3864"/>
                <w:sz w:val="20"/>
                <w:szCs w:val="20"/>
              </w:rPr>
              <w:t>Classification</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16">
            <w:r>
              <w:rPr>
                <w:rFonts w:ascii="Arial" w:cs="Arial" w:eastAsia="Arial" w:hAnsi="Arial"/>
                <w:sz w:val="20"/>
                <w:szCs w:val="20"/>
              </w:rPr>
              <w:t>Confidential — For Training Purposes Only</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17">
            <w:r>
              <w:rPr>
                <w:rFonts w:ascii="Arial" w:cs="Arial" w:eastAsia="Arial" w:hAnsi="Arial"/>
                <w:b/>
                <w:bCs/>
                <w:color w:val="1f3864"/>
                <w:sz w:val="20"/>
                <w:szCs w:val="20"/>
              </w:rPr>
              <w:t>Author</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18">
            <w:r>
              <w:t>Omoding innocent</w:t>
            </w:r>
          </w:p>
        </w:tc>
      </w:tr>
    </w:tbl>
    <w:p w14:paraId="00000019">
      <w:pPr>
        <w:spacing w:before="0" w:beforeAutospacing="0" w:after="200" w:afterAutospacing="0"/>
        <w:rPr/>
      </w:pPr>
    </w:p>
    <w:p w14:paraId="0000001A">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1. Executive Summary</w:t>
      </w:r>
    </w:p>
    <w:p w14:paraId="0000001B">
      <w:pPr>
        <w:spacing w:before="60" w:beforeAutospacing="0" w:after="60" w:afterAutospacing="0"/>
        <w:rPr/>
      </w:pPr>
      <w:r>
        <w:rPr>
          <w:rFonts w:ascii="Arial" w:cs="Arial" w:eastAsia="Arial" w:hAnsi="Arial"/>
          <w:sz w:val="22"/>
          <w:szCs w:val="22"/>
        </w:rPr>
        <w:t>This report presents the results of a read-only API Security Risk Analysis conducted on two publicly available demo APIs: JSONPlaceholder and ReqRes. The assessment was performed following the OWASP API Security Top 10 (2023) framework, covering authentication, authorization, data exposure, rate limiting, and response header security.</w:t>
      </w:r>
    </w:p>
    <w:p w14:paraId="0000001C">
      <w:pPr>
        <w:spacing w:before="0" w:beforeAutospacing="0" w:after="100" w:afterAutospacing="0"/>
        <w:rPr/>
      </w:pPr>
    </w:p>
    <w:p w14:paraId="0000001D">
      <w:pPr>
        <w:spacing w:before="60" w:beforeAutospacing="0" w:after="60" w:afterAutospacing="0"/>
        <w:rPr/>
      </w:pPr>
      <w:r>
        <w:rPr>
          <w:rFonts w:ascii="Arial" w:cs="Arial" w:eastAsia="Arial" w:hAnsi="Arial"/>
          <w:b/>
          <w:bCs/>
          <w:sz w:val="22"/>
          <w:szCs w:val="22"/>
        </w:rPr>
        <w:t>Key findings:</w:t>
      </w:r>
    </w:p>
    <w:p w14:paraId="0000001E">
      <w:pPr>
        <w:pStyle w:val="ListParagraph"/>
        <w:numPr>
          <w:ilvl w:val="0"/>
          <w:numId w:val="2"/>
        </w:numPr>
        <w:spacing w:before="50" w:beforeAutospacing="0" w:after="50" w:afterAutospacing="0"/>
        <w:rPr/>
      </w:pPr>
      <w:r>
        <w:rPr>
          <w:rFonts w:ascii="Arial" w:cs="Arial" w:eastAsia="Arial" w:hAnsi="Arial"/>
          <w:color w:val="000000"/>
          <w:sz w:val="22"/>
          <w:szCs w:val="22"/>
        </w:rPr>
        <w:t>Total Endpoints Analyzed: 12 (across both APIs)</w:t>
      </w:r>
    </w:p>
    <w:p w14:paraId="0000001F">
      <w:pPr>
        <w:pStyle w:val="ListParagraph"/>
        <w:numPr>
          <w:ilvl w:val="0"/>
          <w:numId w:val="2"/>
        </w:numPr>
        <w:spacing w:before="50" w:beforeAutospacing="0" w:after="50" w:afterAutospacing="0"/>
        <w:rPr/>
      </w:pPr>
      <w:r>
        <w:rPr>
          <w:rFonts w:ascii="Arial" w:cs="Arial" w:eastAsia="Arial" w:hAnsi="Arial"/>
          <w:color w:val="000000"/>
          <w:sz w:val="22"/>
          <w:szCs w:val="22"/>
        </w:rPr>
        <w:t>Total Security Risks Identified: 6</w:t>
      </w:r>
    </w:p>
    <w:p w14:paraId="00000020">
      <w:pPr>
        <w:pStyle w:val="ListParagraph"/>
        <w:numPr>
          <w:ilvl w:val="0"/>
          <w:numId w:val="2"/>
        </w:numPr>
        <w:spacing w:before="50" w:beforeAutospacing="0" w:after="50" w:afterAutospacing="0"/>
        <w:rPr/>
      </w:pPr>
      <w:r>
        <w:rPr>
          <w:rFonts w:ascii="Arial" w:cs="Arial" w:eastAsia="Arial" w:hAnsi="Arial"/>
          <w:color w:val="c00000"/>
          <w:sz w:val="22"/>
          <w:szCs w:val="22"/>
        </w:rPr>
        <w:t>High Severity: 2  |  Medium Severity: 3  |  Low Severity: 1</w:t>
      </w:r>
    </w:p>
    <w:p w14:paraId="00000021">
      <w:pPr>
        <w:pStyle w:val="ListParagraph"/>
        <w:numPr>
          <w:ilvl w:val="0"/>
          <w:numId w:val="2"/>
        </w:numPr>
        <w:spacing w:before="50" w:beforeAutospacing="0" w:after="50" w:afterAutospacing="0"/>
        <w:rPr/>
      </w:pPr>
      <w:r>
        <w:rPr>
          <w:rFonts w:ascii="Arial" w:cs="Arial" w:eastAsia="Arial" w:hAnsi="Arial"/>
          <w:color w:val="000000"/>
          <w:sz w:val="22"/>
          <w:szCs w:val="22"/>
        </w:rPr>
        <w:t>No authentication required on any public endpoint — all data freely accessible</w:t>
      </w:r>
    </w:p>
    <w:p w14:paraId="00000022">
      <w:pPr>
        <w:pStyle w:val="ListParagraph"/>
        <w:numPr>
          <w:ilvl w:val="0"/>
          <w:numId w:val="2"/>
        </w:numPr>
        <w:spacing w:before="50" w:beforeAutospacing="0" w:after="50" w:afterAutospacing="0"/>
        <w:rPr/>
      </w:pPr>
      <w:r>
        <w:rPr>
          <w:rFonts w:ascii="Arial" w:cs="Arial" w:eastAsia="Arial" w:hAnsi="Arial"/>
          <w:color w:val="000000"/>
          <w:sz w:val="22"/>
          <w:szCs w:val="22"/>
        </w:rPr>
        <w:t>Excessive Personally Identifiable Information (PII) exposed in responses</w:t>
      </w:r>
    </w:p>
    <w:p w14:paraId="00000023">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120"/>
        <w:gridCol w:w="3120"/>
        <w:gridCol w:w="3120"/>
      </w:tblGrid>
      <w:tr>
        <w:trPr/>
        <w:tc>
          <w:tcPr>
            <w:cnfStyle w:val="100010000000"/>
            <w:tcW w:w="3120" w:type="dxa"/>
            <w:tcBorders>
              <w:top w:val="single" w:color="cccccc" w:sz="1" w:space="0"/>
              <w:left w:val="single" w:color="cccccc" w:sz="1" w:space="0"/>
              <w:bottom w:val="single" w:color="cccccc" w:sz="1" w:space="0"/>
              <w:right w:val="single" w:color="cccccc" w:sz="1" w:space="0"/>
            </w:tcBorders>
            <w:shd w:val="clear" w:fill="c00000"/>
            <w:tcMar>
              <w:top w:w="100" w:type="dxa"/>
              <w:left w:w="120" w:type="dxa"/>
              <w:bottom w:w="100" w:type="dxa"/>
              <w:right w:w="120" w:type="dxa"/>
            </w:tcMar>
          </w:tcPr>
          <w:p w14:paraId="00000024">
            <w:pPr>
              <w:jc w:val="center"/>
              <w:rPr/>
            </w:pPr>
            <w:r>
              <w:rPr>
                <w:rFonts w:ascii="Arial" w:cs="Arial" w:eastAsia="Arial" w:hAnsi="Arial"/>
                <w:b/>
                <w:bCs/>
                <w:color w:val="ffffff"/>
                <w:sz w:val="20"/>
                <w:szCs w:val="20"/>
              </w:rPr>
              <w:t>HIGH</w:t>
            </w:r>
            <w:r>
              <w:rPr>
                <w:rFonts w:ascii="Arial" w:cs="Arial" w:eastAsia="Arial" w:hAnsi="Arial"/>
                <w:color w:val="ffffff"/>
                <w:sz w:val="18"/>
                <w:szCs w:val="18"/>
              </w:rPr>
              <w:t>
2 Findings</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e36c09"/>
            <w:tcMar>
              <w:top w:w="100" w:type="dxa"/>
              <w:left w:w="120" w:type="dxa"/>
              <w:bottom w:w="100" w:type="dxa"/>
              <w:right w:w="120" w:type="dxa"/>
            </w:tcMar>
          </w:tcPr>
          <w:p w14:paraId="00000025">
            <w:pPr>
              <w:jc w:val="center"/>
              <w:rPr/>
            </w:pPr>
            <w:r>
              <w:rPr>
                <w:rFonts w:ascii="Arial" w:cs="Arial" w:eastAsia="Arial" w:hAnsi="Arial"/>
                <w:b/>
                <w:bCs/>
                <w:color w:val="ffffff"/>
                <w:sz w:val="20"/>
                <w:szCs w:val="20"/>
              </w:rPr>
              <w:t>MEDIUM</w:t>
            </w:r>
            <w:r>
              <w:rPr>
                <w:rFonts w:ascii="Arial" w:cs="Arial" w:eastAsia="Arial" w:hAnsi="Arial"/>
                <w:color w:val="ffffff"/>
                <w:sz w:val="18"/>
                <w:szCs w:val="18"/>
              </w:rPr>
              <w:t>
3 Findings</w:t>
            </w:r>
          </w:p>
        </w:tc>
        <w:tc>
          <w:tcPr>
            <w:cnfStyle w:val="100010000000"/>
            <w:tcW w:w="3120" w:type="dxa"/>
            <w:tcBorders>
              <w:top w:val="single" w:color="cccccc" w:sz="1" w:space="0"/>
              <w:left w:val="single" w:color="cccccc" w:sz="1" w:space="0"/>
              <w:bottom w:val="single" w:color="cccccc" w:sz="1" w:space="0"/>
              <w:right w:val="single" w:color="cccccc" w:sz="1" w:space="0"/>
            </w:tcBorders>
            <w:shd w:val="clear" w:fill="b8860b"/>
            <w:tcMar>
              <w:top w:w="100" w:type="dxa"/>
              <w:left w:w="120" w:type="dxa"/>
              <w:bottom w:w="100" w:type="dxa"/>
              <w:right w:w="120" w:type="dxa"/>
            </w:tcMar>
          </w:tcPr>
          <w:p w14:paraId="00000026">
            <w:pPr>
              <w:jc w:val="center"/>
              <w:rPr/>
            </w:pPr>
            <w:r>
              <w:rPr>
                <w:rFonts w:ascii="Arial" w:cs="Arial" w:eastAsia="Arial" w:hAnsi="Arial"/>
                <w:b/>
                <w:bCs/>
                <w:color w:val="ffffff"/>
                <w:sz w:val="20"/>
                <w:szCs w:val="20"/>
              </w:rPr>
              <w:t>LOW</w:t>
            </w:r>
            <w:r>
              <w:rPr>
                <w:rFonts w:ascii="Arial" w:cs="Arial" w:eastAsia="Arial" w:hAnsi="Arial"/>
                <w:color w:val="ffffff"/>
                <w:sz w:val="18"/>
                <w:szCs w:val="18"/>
              </w:rPr>
              <w:t>
1 Finding</w:t>
            </w:r>
          </w:p>
        </w:tc>
      </w:tr>
    </w:tbl>
    <w:p w14:paraId="00000027">
      <w:pPr>
        <w:spacing w:before="0" w:beforeAutospacing="0" w:after="200" w:afterAutospacing="0"/>
        <w:rPr/>
      </w:pPr>
    </w:p>
    <w:p w14:paraId="00000028">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2. Scope &amp; Methodology</w:t>
      </w:r>
    </w:p>
    <w:p w14:paraId="00000029">
      <w:pPr>
        <w:pStyle w:val="Heading2"/>
        <w:spacing w:before="220" w:beforeAutospacing="0" w:after="100" w:afterAutospacing="0"/>
        <w:rPr/>
      </w:pPr>
      <w:r>
        <w:rPr>
          <w:rFonts w:ascii="Arial" w:cs="Arial" w:eastAsia="Arial" w:hAnsi="Arial"/>
          <w:b/>
          <w:bCs/>
          <w:color w:val="2e75b6"/>
          <w:sz w:val="28"/>
          <w:szCs w:val="28"/>
        </w:rPr>
        <w:t>2.1 APIs Tested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6760"/>
      </w:tblGrid>
      <w:tr>
        <w:trPr/>
        <w:tc>
          <w:tcPr>
            <w:cnfStyle w:val="1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2A">
            <w:r>
              <w:rPr>
                <w:rFonts w:ascii="Arial" w:cs="Arial" w:eastAsia="Arial" w:hAnsi="Arial"/>
                <w:b/>
                <w:bCs/>
                <w:color w:val="1f3864"/>
                <w:sz w:val="20"/>
                <w:szCs w:val="20"/>
              </w:rPr>
              <w:t>API Name</w:t>
            </w:r>
          </w:p>
        </w:tc>
        <w:tc>
          <w:tcPr>
            <w:cnfStyle w:val="1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2B">
            <w:r>
              <w:rPr>
                <w:rFonts w:ascii="Arial" w:cs="Arial" w:eastAsia="Arial" w:hAnsi="Arial"/>
                <w:sz w:val="20"/>
                <w:szCs w:val="20"/>
              </w:rPr>
              <w:t>JSONPlaceholder</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2C">
            <w:r>
              <w:rPr>
                <w:rFonts w:ascii="Arial" w:cs="Arial" w:eastAsia="Arial" w:hAnsi="Arial"/>
                <w:b/>
                <w:bCs/>
                <w:color w:val="1f3864"/>
                <w:sz w:val="20"/>
                <w:szCs w:val="20"/>
              </w:rPr>
              <w:t>Base URL</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2D">
            <w:r>
              <w:rPr>
                <w:rFonts w:ascii="Arial" w:cs="Arial" w:eastAsia="Arial" w:hAnsi="Arial"/>
                <w:sz w:val="20"/>
                <w:szCs w:val="20"/>
              </w:rPr>
              <w:t>https://jsonplaceholder.typicode.com</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2E">
            <w:r>
              <w:rPr>
                <w:rFonts w:ascii="Arial" w:cs="Arial" w:eastAsia="Arial" w:hAnsi="Arial"/>
                <w:b/>
                <w:bCs/>
                <w:color w:val="1f3864"/>
                <w:sz w:val="20"/>
                <w:szCs w:val="20"/>
              </w:rPr>
              <w:t>Purpose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2F">
            <w:r>
              <w:rPr>
                <w:rFonts w:ascii="Arial" w:cs="Arial" w:eastAsia="Arial" w:hAnsi="Arial"/>
                <w:sz w:val="20"/>
                <w:szCs w:val="20"/>
              </w:rPr>
              <w:t>Free online REST API for prototyping and testing</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30">
            <w:r>
              <w:rPr>
                <w:rFonts w:ascii="Arial" w:cs="Arial" w:eastAsia="Arial" w:hAnsi="Arial"/>
                <w:b/>
                <w:bCs/>
                <w:color w:val="1f3864"/>
                <w:sz w:val="20"/>
                <w:szCs w:val="20"/>
              </w:rPr>
              <w:t>Endpoints</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31">
            <w:r>
              <w:rPr>
                <w:rFonts w:ascii="Arial" w:cs="Arial" w:eastAsia="Arial" w:hAnsi="Arial"/>
                <w:sz w:val="20"/>
                <w:szCs w:val="20"/>
              </w:rPr>
              <w:t>/users, /posts, /comments, /albums, /todos, /photos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32">
            <w:r>
              <w:rPr>
                <w:rFonts w:ascii="Arial" w:cs="Arial" w:eastAsia="Arial" w:hAnsi="Arial"/>
                <w:b/>
                <w:bCs/>
                <w:color w:val="1f3864"/>
                <w:sz w:val="20"/>
                <w:szCs w:val="20"/>
              </w:rPr>
              <w:t>Auth Required</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33">
            <w:r>
              <w:rPr>
                <w:rFonts w:ascii="Arial" w:cs="Arial" w:eastAsia="Arial" w:hAnsi="Arial"/>
                <w:sz w:val="20"/>
                <w:szCs w:val="20"/>
              </w:rPr>
              <w:t>None — fully open public API</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34">
            <w:r>
              <w:rPr>
                <w:rFonts w:ascii="Arial" w:cs="Arial" w:eastAsia="Arial" w:hAnsi="Arial"/>
                <w:b/>
                <w:bCs/>
                <w:color w:val="1f3864"/>
                <w:sz w:val="20"/>
                <w:szCs w:val="20"/>
              </w:rPr>
              <w:t>Data Type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35">
            <w:r>
              <w:rPr>
                <w:rFonts w:ascii="Arial" w:cs="Arial" w:eastAsia="Arial" w:hAnsi="Arial"/>
                <w:sz w:val="20"/>
                <w:szCs w:val="20"/>
              </w:rPr>
              <w:t>Simulated user accounts, posts, comments, todos</w:t>
            </w:r>
          </w:p>
        </w:tc>
      </w:tr>
    </w:tbl>
    <w:p w14:paraId="00000036">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6760"/>
      </w:tblGrid>
      <w:tr>
        <w:trPr/>
        <w:tc>
          <w:tcPr>
            <w:cnfStyle w:val="1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37">
            <w:r>
              <w:rPr>
                <w:rFonts w:ascii="Arial" w:cs="Arial" w:eastAsia="Arial" w:hAnsi="Arial"/>
                <w:b/>
                <w:bCs/>
                <w:color w:val="1f3864"/>
                <w:sz w:val="20"/>
                <w:szCs w:val="20"/>
              </w:rPr>
              <w:t>API Name</w:t>
            </w:r>
          </w:p>
        </w:tc>
        <w:tc>
          <w:tcPr>
            <w:cnfStyle w:val="1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38">
            <w:r>
              <w:rPr>
                <w:rFonts w:ascii="Arial" w:cs="Arial" w:eastAsia="Arial" w:hAnsi="Arial"/>
                <w:sz w:val="20"/>
                <w:szCs w:val="20"/>
              </w:rPr>
              <w:t>ReqRes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39">
            <w:r>
              <w:rPr>
                <w:rFonts w:ascii="Arial" w:cs="Arial" w:eastAsia="Arial" w:hAnsi="Arial"/>
                <w:b/>
                <w:bCs/>
                <w:color w:val="1f3864"/>
                <w:sz w:val="20"/>
                <w:szCs w:val="20"/>
              </w:rPr>
              <w:t>Base URL</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3A">
            <w:r>
              <w:rPr>
                <w:rFonts w:ascii="Arial" w:cs="Arial" w:eastAsia="Arial" w:hAnsi="Arial"/>
                <w:sz w:val="20"/>
                <w:szCs w:val="20"/>
              </w:rPr>
              <w:t>https://reqres.in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3B">
            <w:r>
              <w:rPr>
                <w:rFonts w:ascii="Arial" w:cs="Arial" w:eastAsia="Arial" w:hAnsi="Arial"/>
                <w:b/>
                <w:bCs/>
                <w:color w:val="1f3864"/>
                <w:sz w:val="20"/>
                <w:szCs w:val="20"/>
              </w:rPr>
              <w:t>Purpose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3C">
            <w:r>
              <w:rPr>
                <w:rFonts w:ascii="Arial" w:cs="Arial" w:eastAsia="Arial" w:hAnsi="Arial"/>
                <w:sz w:val="20"/>
                <w:szCs w:val="20"/>
              </w:rPr>
              <w:t>Hosted REST API for front-end testing</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3D">
            <w:r>
              <w:rPr>
                <w:rFonts w:ascii="Arial" w:cs="Arial" w:eastAsia="Arial" w:hAnsi="Arial"/>
                <w:b/>
                <w:bCs/>
                <w:color w:val="1f3864"/>
                <w:sz w:val="20"/>
                <w:szCs w:val="20"/>
              </w:rPr>
              <w:t>Endpoints</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3E">
            <w:r>
              <w:rPr>
                <w:rFonts w:ascii="Arial" w:cs="Arial" w:eastAsia="Arial" w:hAnsi="Arial"/>
                <w:sz w:val="20"/>
                <w:szCs w:val="20"/>
              </w:rPr>
              <w:t>/api/users, /api/login, /api/register, /api/unknown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3F">
            <w:r>
              <w:rPr>
                <w:rFonts w:ascii="Arial" w:cs="Arial" w:eastAsia="Arial" w:hAnsi="Arial"/>
                <w:b/>
                <w:bCs/>
                <w:color w:val="1f3864"/>
                <w:sz w:val="20"/>
                <w:szCs w:val="20"/>
              </w:rPr>
              <w:t>Auth Required</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40">
            <w:r>
              <w:rPr>
                <w:rFonts w:ascii="Arial" w:cs="Arial" w:eastAsia="Arial" w:hAnsi="Arial"/>
                <w:sz w:val="20"/>
                <w:szCs w:val="20"/>
              </w:rPr>
              <w:t>Partial — login endpoint returns a token</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41">
            <w:r>
              <w:rPr>
                <w:rFonts w:ascii="Arial" w:cs="Arial" w:eastAsia="Arial" w:hAnsi="Arial"/>
                <w:b/>
                <w:bCs/>
                <w:color w:val="1f3864"/>
                <w:sz w:val="20"/>
                <w:szCs w:val="20"/>
              </w:rPr>
              <w:t>Data Type</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42">
            <w:r>
              <w:rPr>
                <w:rFonts w:ascii="Arial" w:cs="Arial" w:eastAsia="Arial" w:hAnsi="Arial"/>
                <w:sz w:val="20"/>
                <w:szCs w:val="20"/>
              </w:rPr>
              <w:t>Simulated user accounts with email, name, avatar</w:t>
            </w:r>
          </w:p>
        </w:tc>
      </w:tr>
    </w:tbl>
    <w:p w14:paraId="00000043">
      <w:pPr>
        <w:spacing w:before="0" w:beforeAutospacing="0" w:after="100" w:afterAutospacing="0"/>
        <w:rPr/>
      </w:pPr>
    </w:p>
    <w:p w14:paraId="00000044">
      <w:pPr>
        <w:pStyle w:val="Heading2"/>
        <w:spacing w:before="220" w:beforeAutospacing="0" w:after="100" w:afterAutospacing="0"/>
        <w:rPr/>
      </w:pPr>
      <w:r>
        <w:rPr>
          <w:rFonts w:ascii="Arial" w:cs="Arial" w:eastAsia="Arial" w:hAnsi="Arial"/>
          <w:b/>
          <w:bCs/>
          <w:color w:val="2e75b6"/>
          <w:sz w:val="28"/>
          <w:szCs w:val="28"/>
        </w:rPr>
        <w:t>2.2 Methodology</w:t>
      </w:r>
    </w:p>
    <w:p w14:paraId="00000045">
      <w:pPr>
        <w:spacing w:before="60" w:beforeAutospacing="0" w:after="60" w:afterAutospacing="0"/>
        <w:rPr/>
      </w:pPr>
      <w:r>
        <w:rPr>
          <w:rFonts w:ascii="Arial" w:cs="Arial" w:eastAsia="Arial" w:hAnsi="Arial"/>
          <w:sz w:val="22"/>
          <w:szCs w:val="22"/>
        </w:rPr>
        <w:t>The analysis followed a structured 5-step approach aligned with OWASP API Security Top 10 (2023):</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600"/>
        <w:gridCol w:w="6760"/>
      </w:tblGrid>
      <w:tr>
        <w:trPr/>
        <w:tc>
          <w:tcPr>
            <w:cnfStyle w:val="1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46">
            <w:r>
              <w:rPr>
                <w:rFonts w:ascii="Arial" w:cs="Arial" w:eastAsia="Arial" w:hAnsi="Arial"/>
                <w:b/>
                <w:bCs/>
                <w:color w:val="1f3864"/>
                <w:sz w:val="20"/>
                <w:szCs w:val="20"/>
              </w:rPr>
              <w:t>Step 1 — Reconnaissance</w:t>
            </w:r>
          </w:p>
        </w:tc>
        <w:tc>
          <w:tcPr>
            <w:cnfStyle w:val="1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47">
            <w:r>
              <w:rPr>
                <w:rFonts w:ascii="Arial" w:cs="Arial" w:eastAsia="Arial" w:hAnsi="Arial"/>
                <w:sz w:val="20"/>
                <w:szCs w:val="20"/>
              </w:rPr>
              <w:t>Document all available endpoints and HTTP methods from API docs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48">
            <w:r>
              <w:rPr>
                <w:rFonts w:ascii="Arial" w:cs="Arial" w:eastAsia="Arial" w:hAnsi="Arial"/>
                <w:b/>
                <w:bCs/>
                <w:color w:val="1f3864"/>
                <w:sz w:val="20"/>
                <w:szCs w:val="20"/>
              </w:rPr>
              <w:t>Step 2 — Authentication Test</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49">
            <w:r>
              <w:rPr>
                <w:rFonts w:ascii="Arial" w:cs="Arial" w:eastAsia="Arial" w:hAnsi="Arial"/>
                <w:sz w:val="20"/>
                <w:szCs w:val="20"/>
              </w:rPr>
              <w:t>Verify if endpoints require valid authentication tokens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4A">
            <w:r>
              <w:rPr>
                <w:rFonts w:ascii="Arial" w:cs="Arial" w:eastAsia="Arial" w:hAnsi="Arial"/>
                <w:b/>
                <w:bCs/>
                <w:color w:val="1f3864"/>
                <w:sz w:val="20"/>
                <w:szCs w:val="20"/>
              </w:rPr>
              <w:t>Step 3 — Response Inspection</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4B">
            <w:r>
              <w:rPr>
                <w:rFonts w:ascii="Arial" w:cs="Arial" w:eastAsia="Arial" w:hAnsi="Arial"/>
                <w:sz w:val="20"/>
                <w:szCs w:val="20"/>
              </w:rPr>
              <w:t>Analyze response payloads for PII and sensitive data exposure</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eaf2fa"/>
            <w:tcMar>
              <w:top w:w="80" w:type="dxa"/>
              <w:left w:w="120" w:type="dxa"/>
              <w:bottom w:w="80" w:type="dxa"/>
              <w:right w:w="120" w:type="dxa"/>
            </w:tcMar>
          </w:tcPr>
          <w:p w14:paraId="0000004C">
            <w:r>
              <w:rPr>
                <w:rFonts w:ascii="Arial" w:cs="Arial" w:eastAsia="Arial" w:hAnsi="Arial"/>
                <w:b/>
                <w:bCs/>
                <w:color w:val="1f3864"/>
                <w:sz w:val="20"/>
                <w:szCs w:val="20"/>
              </w:rPr>
              <w:t>Step 4 — Header Analysis</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7fbff"/>
            <w:tcMar>
              <w:top w:w="80" w:type="dxa"/>
              <w:left w:w="120" w:type="dxa"/>
              <w:bottom w:w="80" w:type="dxa"/>
              <w:right w:w="120" w:type="dxa"/>
            </w:tcMar>
          </w:tcPr>
          <w:p w14:paraId="0000004D">
            <w:r>
              <w:rPr>
                <w:rFonts w:ascii="Arial" w:cs="Arial" w:eastAsia="Arial" w:hAnsi="Arial"/>
                <w:sz w:val="20"/>
                <w:szCs w:val="20"/>
              </w:rPr>
              <w:t>Check security headers: CORS, rate-limit, CSP, HSTS</w:t>
            </w:r>
          </w:p>
        </w:tc>
      </w:tr>
      <w:tr>
        <w:trPr/>
        <w:tc>
          <w:tcPr>
            <w:cnfStyle w:val="000010000000"/>
            <w:tcW w:w="2600" w:type="dxa"/>
            <w:tcBorders>
              <w:top w:val="single" w:color="cccccc" w:sz="1" w:space="0"/>
              <w:left w:val="single" w:color="cccccc" w:sz="1" w:space="0"/>
              <w:bottom w:val="single" w:color="cccccc" w:sz="1" w:space="0"/>
              <w:right w:val="single" w:color="cccccc" w:sz="1" w:space="0"/>
            </w:tcBorders>
            <w:shd w:val="clear" w:fill="d5e8f0"/>
            <w:tcMar>
              <w:top w:w="80" w:type="dxa"/>
              <w:left w:w="120" w:type="dxa"/>
              <w:bottom w:w="80" w:type="dxa"/>
              <w:right w:w="120" w:type="dxa"/>
            </w:tcMar>
          </w:tcPr>
          <w:p w14:paraId="0000004E">
            <w:r>
              <w:rPr>
                <w:rFonts w:ascii="Arial" w:cs="Arial" w:eastAsia="Arial" w:hAnsi="Arial"/>
                <w:b/>
                <w:bCs/>
                <w:color w:val="1f3864"/>
                <w:sz w:val="20"/>
                <w:szCs w:val="20"/>
              </w:rPr>
              <w:t>Step 5 — Risk Classification</w:t>
            </w:r>
          </w:p>
        </w:tc>
        <w:tc>
          <w:tcPr>
            <w:cnfStyle w:val="000001000000"/>
            <w:tcW w:w="6760" w:type="dxa"/>
            <w:tcBorders>
              <w:top w:val="single" w:color="cccccc" w:sz="1" w:space="0"/>
              <w:left w:val="single" w:color="cccccc" w:sz="1" w:space="0"/>
              <w:bottom w:val="single" w:color="cccccc" w:sz="1" w:space="0"/>
              <w:right w:val="single" w:color="cccccc" w:sz="1" w:space="0"/>
            </w:tcBorders>
            <w:shd w:val="clear" w:fill="ffffff"/>
            <w:tcMar>
              <w:top w:w="80" w:type="dxa"/>
              <w:left w:w="120" w:type="dxa"/>
              <w:bottom w:w="80" w:type="dxa"/>
              <w:right w:w="120" w:type="dxa"/>
            </w:tcMar>
          </w:tcPr>
          <w:p w14:paraId="0000004F">
            <w:r>
              <w:rPr>
                <w:rFonts w:ascii="Arial" w:cs="Arial" w:eastAsia="Arial" w:hAnsi="Arial"/>
                <w:sz w:val="20"/>
                <w:szCs w:val="20"/>
              </w:rPr>
              <w:t>Assign OWASP category and severity to each finding</w:t>
            </w:r>
          </w:p>
        </w:tc>
      </w:tr>
    </w:tbl>
    <w:p w14:paraId="00000050">
      <w:pPr>
        <w:spacing w:before="0" w:beforeAutospacing="0" w:after="100" w:afterAutospacing="0"/>
        <w:rPr/>
      </w:pPr>
    </w:p>
    <w:p w14:paraId="00000051">
      <w:pPr>
        <w:spacing w:before="60" w:beforeAutospacing="0" w:after="60" w:afterAutospacing="0"/>
        <w:rPr/>
      </w:pPr>
      <w:r>
        <w:rPr>
          <w:rFonts w:ascii="Arial" w:cs="Arial" w:eastAsia="Arial" w:hAnsi="Arial"/>
          <w:sz w:val="22"/>
          <w:szCs w:val="22"/>
        </w:rPr>
        <w:t>Testing was conducted using Postman for endpoint requests and Browser DevTools for response header inspection. All testing was read-only (GET requests only). No exploitation or bypass attempts were made.</w:t>
      </w:r>
    </w:p>
    <w:p w14:paraId="00000052">
      <w:pPr>
        <w:spacing w:before="0" w:beforeAutospacing="0" w:after="200" w:afterAutospacing="0"/>
        <w:rPr/>
      </w:pPr>
    </w:p>
    <w:p w14:paraId="00000053">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3. Risk Summary</w:t>
      </w:r>
    </w:p>
    <w:p w14:paraId="00000054">
      <w:pPr>
        <w:spacing w:before="60" w:beforeAutospacing="0" w:after="60" w:afterAutospacing="0"/>
        <w:rPr/>
      </w:pPr>
      <w:r>
        <w:rPr>
          <w:rFonts w:ascii="Arial" w:cs="Arial" w:eastAsia="Arial" w:hAnsi="Arial"/>
          <w:sz w:val="22"/>
          <w:szCs w:val="22"/>
        </w:rPr>
        <w:t>The following table summarizes all identified security risks across both APIs:</w:t>
      </w:r>
    </w:p>
    <w:p w14:paraId="00000055">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200"/>
        <w:gridCol w:w="1200"/>
        <w:gridCol w:w="1800"/>
        <w:gridCol w:w="4160"/>
      </w:tblGrid>
      <w:tr>
        <w:trPr/>
        <w:tc>
          <w:tcPr>
            <w:cnfStyle w:val="100010000000"/>
            <w:tcW w:w="2200" w:type="dxa"/>
            <w:tcBorders>
              <w:top w:val="single" w:color="cccccc" w:sz="1" w:space="0"/>
              <w:left w:val="single" w:color="cccccc" w:sz="1" w:space="0"/>
              <w:bottom w:val="single" w:color="cccccc" w:sz="1" w:space="0"/>
              <w:right w:val="single" w:color="cccccc" w:sz="1" w:space="0"/>
            </w:tcBorders>
            <w:shd w:val="clear" w:fill="1f3864"/>
            <w:tcMar>
              <w:top w:w="80" w:type="dxa"/>
              <w:left w:w="100" w:type="dxa"/>
              <w:bottom w:w="80" w:type="dxa"/>
              <w:right w:w="100" w:type="dxa"/>
            </w:tcMar>
          </w:tcPr>
          <w:p w14:paraId="00000056">
            <w:r>
              <w:rPr>
                <w:rFonts w:ascii="Arial" w:cs="Arial" w:eastAsia="Arial" w:hAnsi="Arial"/>
                <w:b/>
                <w:bCs/>
                <w:color w:val="ffffff"/>
                <w:sz w:val="18"/>
                <w:szCs w:val="18"/>
              </w:rPr>
              <w:t>Security Risk</w:t>
            </w:r>
          </w:p>
        </w:tc>
        <w:tc>
          <w:tcPr>
            <w:cnfStyle w:val="100001000000"/>
            <w:tcW w:w="1200" w:type="dxa"/>
            <w:tcBorders>
              <w:top w:val="single" w:color="cccccc" w:sz="1" w:space="0"/>
              <w:left w:val="single" w:color="cccccc" w:sz="1" w:space="0"/>
              <w:bottom w:val="single" w:color="cccccc" w:sz="1" w:space="0"/>
              <w:right w:val="single" w:color="cccccc" w:sz="1" w:space="0"/>
            </w:tcBorders>
            <w:shd w:val="clear" w:fill="1f3864"/>
            <w:tcMar>
              <w:top w:w="80" w:type="dxa"/>
              <w:left w:w="100" w:type="dxa"/>
              <w:bottom w:w="80" w:type="dxa"/>
              <w:right w:w="100" w:type="dxa"/>
            </w:tcMar>
          </w:tcPr>
          <w:p w14:paraId="00000057">
            <w:r>
              <w:rPr>
                <w:rFonts w:ascii="Arial" w:cs="Arial" w:eastAsia="Arial" w:hAnsi="Arial"/>
                <w:b/>
                <w:bCs/>
                <w:color w:val="ffffff"/>
                <w:sz w:val="18"/>
                <w:szCs w:val="18"/>
              </w:rPr>
              <w:t>Severity</w:t>
            </w:r>
          </w:p>
        </w:tc>
        <w:tc>
          <w:tcPr>
            <w:cnfStyle w:val="100010000000"/>
            <w:tcW w:w="1800" w:type="dxa"/>
            <w:tcBorders>
              <w:top w:val="single" w:color="cccccc" w:sz="1" w:space="0"/>
              <w:left w:val="single" w:color="cccccc" w:sz="1" w:space="0"/>
              <w:bottom w:val="single" w:color="cccccc" w:sz="1" w:space="0"/>
              <w:right w:val="single" w:color="cccccc" w:sz="1" w:space="0"/>
            </w:tcBorders>
            <w:shd w:val="clear" w:fill="1f3864"/>
            <w:tcMar>
              <w:top w:w="80" w:type="dxa"/>
              <w:left w:w="100" w:type="dxa"/>
              <w:bottom w:w="80" w:type="dxa"/>
              <w:right w:w="100" w:type="dxa"/>
            </w:tcMar>
          </w:tcPr>
          <w:p w14:paraId="00000058">
            <w:r>
              <w:rPr>
                <w:rFonts w:ascii="Arial" w:cs="Arial" w:eastAsia="Arial" w:hAnsi="Arial"/>
                <w:b/>
                <w:bCs/>
                <w:color w:val="ffffff"/>
                <w:sz w:val="18"/>
                <w:szCs w:val="18"/>
              </w:rPr>
              <w:t>OWASP ID</w:t>
            </w:r>
          </w:p>
        </w:tc>
        <w:tc>
          <w:tcPr>
            <w:cnfStyle w:val="100001000000"/>
            <w:tcW w:w="4160" w:type="dxa"/>
            <w:tcBorders>
              <w:top w:val="single" w:color="cccccc" w:sz="1" w:space="0"/>
              <w:left w:val="single" w:color="cccccc" w:sz="1" w:space="0"/>
              <w:bottom w:val="single" w:color="cccccc" w:sz="1" w:space="0"/>
              <w:right w:val="single" w:color="cccccc" w:sz="1" w:space="0"/>
            </w:tcBorders>
            <w:shd w:val="clear" w:fill="1f3864"/>
            <w:tcMar>
              <w:top w:w="80" w:type="dxa"/>
              <w:left w:w="100" w:type="dxa"/>
              <w:bottom w:w="80" w:type="dxa"/>
              <w:right w:w="100" w:type="dxa"/>
            </w:tcMar>
          </w:tcPr>
          <w:p w14:paraId="00000059">
            <w:r>
              <w:rPr>
                <w:rFonts w:ascii="Arial" w:cs="Arial" w:eastAsia="Arial" w:hAnsi="Arial"/>
                <w:b/>
                <w:bCs/>
                <w:color w:val="ffffff"/>
                <w:sz w:val="18"/>
                <w:szCs w:val="18"/>
              </w:rPr>
              <w:t>Business Impact</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5A">
            <w:r>
              <w:rPr>
                <w:rFonts w:ascii="Arial" w:cs="Arial" w:eastAsia="Arial" w:hAnsi="Arial"/>
                <w:b/>
                <w:bCs/>
                <w:sz w:val="20"/>
                <w:szCs w:val="20"/>
              </w:rPr>
              <w:t>Unauthenticated Access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ce4d6"/>
            <w:tcMar>
              <w:top w:w="80" w:type="dxa"/>
              <w:left w:w="100" w:type="dxa"/>
              <w:bottom w:w="80" w:type="dxa"/>
              <w:right w:w="100" w:type="dxa"/>
            </w:tcMar>
          </w:tcPr>
          <w:p w14:paraId="0000005B">
            <w:pPr>
              <w:jc w:val="center"/>
              <w:rPr/>
            </w:pPr>
            <w:r>
              <w:rPr>
                <w:rFonts w:ascii="Arial" w:cs="Arial" w:eastAsia="Arial" w:hAnsi="Arial"/>
                <w:b/>
                <w:bCs/>
                <w:color w:val="c00000"/>
                <w:sz w:val="20"/>
                <w:szCs w:val="20"/>
              </w:rPr>
              <w:t>HIGH</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5C">
            <w:r>
              <w:rPr>
                <w:rFonts w:ascii="Arial" w:cs="Arial" w:eastAsia="Arial" w:hAnsi="Arial"/>
                <w:color w:val="595959"/>
                <w:sz w:val="19"/>
                <w:szCs w:val="19"/>
              </w:rPr>
              <w:t>API1:2023 — Broken Object Level Auth</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5D">
            <w:r>
              <w:rPr>
                <w:rFonts w:ascii="Arial" w:cs="Arial" w:eastAsia="Arial" w:hAnsi="Arial"/>
                <w:sz w:val="20"/>
                <w:szCs w:val="20"/>
              </w:rPr>
              <w:t>Any attacker can access all user data with no credentials</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5E">
            <w:r>
              <w:rPr>
                <w:rFonts w:ascii="Arial" w:cs="Arial" w:eastAsia="Arial" w:hAnsi="Arial"/>
                <w:b/>
                <w:bCs/>
                <w:sz w:val="20"/>
                <w:szCs w:val="20"/>
              </w:rPr>
              <w:t>PII Data Exposure</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ce4d6"/>
            <w:tcMar>
              <w:top w:w="80" w:type="dxa"/>
              <w:left w:w="100" w:type="dxa"/>
              <w:bottom w:w="80" w:type="dxa"/>
              <w:right w:w="100" w:type="dxa"/>
            </w:tcMar>
          </w:tcPr>
          <w:p w14:paraId="0000005F">
            <w:pPr>
              <w:jc w:val="center"/>
              <w:rPr/>
            </w:pPr>
            <w:r>
              <w:rPr>
                <w:rFonts w:ascii="Arial" w:cs="Arial" w:eastAsia="Arial" w:hAnsi="Arial"/>
                <w:b/>
                <w:bCs/>
                <w:color w:val="c00000"/>
                <w:sz w:val="20"/>
                <w:szCs w:val="20"/>
              </w:rPr>
              <w:t>HIGH</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60">
            <w:r>
              <w:rPr>
                <w:rFonts w:ascii="Arial" w:cs="Arial" w:eastAsia="Arial" w:hAnsi="Arial"/>
                <w:color w:val="595959"/>
                <w:sz w:val="19"/>
                <w:szCs w:val="19"/>
              </w:rPr>
              <w:t>API3:2023 — Excessive Data Exposure</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1">
            <w:r>
              <w:rPr>
                <w:rFonts w:ascii="Arial" w:cs="Arial" w:eastAsia="Arial" w:hAnsi="Arial"/>
                <w:sz w:val="20"/>
                <w:szCs w:val="20"/>
              </w:rPr>
              <w:t>Full names, emails, addresses, geo-coordinates exposed publicly</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2">
            <w:r>
              <w:rPr>
                <w:rFonts w:ascii="Arial" w:cs="Arial" w:eastAsia="Arial" w:hAnsi="Arial"/>
                <w:b/>
                <w:bCs/>
                <w:sz w:val="20"/>
                <w:szCs w:val="20"/>
              </w:rPr>
              <w:t>No Rate Limiting</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cf0e0"/>
            <w:tcMar>
              <w:top w:w="80" w:type="dxa"/>
              <w:left w:w="100" w:type="dxa"/>
              <w:bottom w:w="80" w:type="dxa"/>
              <w:right w:w="100" w:type="dxa"/>
            </w:tcMar>
          </w:tcPr>
          <w:p w14:paraId="00000063">
            <w:pPr>
              <w:jc w:val="center"/>
              <w:rPr/>
            </w:pPr>
            <w:r>
              <w:rPr>
                <w:rFonts w:ascii="Arial" w:cs="Arial" w:eastAsia="Arial" w:hAnsi="Arial"/>
                <w:b/>
                <w:bCs/>
                <w:color w:val="e36c09"/>
                <w:sz w:val="20"/>
                <w:szCs w:val="20"/>
              </w:rPr>
              <w:t>MEDIUM</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64">
            <w:r>
              <w:rPr>
                <w:rFonts w:ascii="Arial" w:cs="Arial" w:eastAsia="Arial" w:hAnsi="Arial"/>
                <w:color w:val="595959"/>
                <w:sz w:val="19"/>
                <w:szCs w:val="19"/>
              </w:rPr>
              <w:t>API4:2023 — Unrestricted Resource Use</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5">
            <w:r>
              <w:rPr>
                <w:rFonts w:ascii="Arial" w:cs="Arial" w:eastAsia="Arial" w:hAnsi="Arial"/>
                <w:sz w:val="20"/>
                <w:szCs w:val="20"/>
              </w:rPr>
              <w:t>API can be flooded; abuse, scraping, and DoS risk</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6">
            <w:r>
              <w:rPr>
                <w:rFonts w:ascii="Arial" w:cs="Arial" w:eastAsia="Arial" w:hAnsi="Arial"/>
                <w:b/>
                <w:bCs/>
                <w:sz w:val="20"/>
                <w:szCs w:val="20"/>
              </w:rPr>
              <w:t>Missing Security Headers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cf0e0"/>
            <w:tcMar>
              <w:top w:w="80" w:type="dxa"/>
              <w:left w:w="100" w:type="dxa"/>
              <w:bottom w:w="80" w:type="dxa"/>
              <w:right w:w="100" w:type="dxa"/>
            </w:tcMar>
          </w:tcPr>
          <w:p w14:paraId="00000067">
            <w:pPr>
              <w:jc w:val="center"/>
              <w:rPr/>
            </w:pPr>
            <w:r>
              <w:rPr>
                <w:rFonts w:ascii="Arial" w:cs="Arial" w:eastAsia="Arial" w:hAnsi="Arial"/>
                <w:b/>
                <w:bCs/>
                <w:color w:val="e36c09"/>
                <w:sz w:val="20"/>
                <w:szCs w:val="20"/>
              </w:rPr>
              <w:t>MEDIUM</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68">
            <w:r>
              <w:rPr>
                <w:rFonts w:ascii="Arial" w:cs="Arial" w:eastAsia="Arial" w:hAnsi="Arial"/>
                <w:color w:val="595959"/>
                <w:sz w:val="19"/>
                <w:szCs w:val="19"/>
              </w:rPr>
              <w:t>API7:2023 — Security Misconfiguration</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9">
            <w:r>
              <w:rPr>
                <w:rFonts w:ascii="Arial" w:cs="Arial" w:eastAsia="Arial" w:hAnsi="Arial"/>
                <w:sz w:val="20"/>
                <w:szCs w:val="20"/>
              </w:rPr>
              <w:t>No CSP, no HSTS on HTTP — vulnerable to MITM and XSS</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A">
            <w:r>
              <w:rPr>
                <w:rFonts w:ascii="Arial" w:cs="Arial" w:eastAsia="Arial" w:hAnsi="Arial"/>
                <w:b/>
                <w:bCs/>
                <w:sz w:val="20"/>
                <w:szCs w:val="20"/>
              </w:rPr>
              <w:t>Predictable Resource IDs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cf0e0"/>
            <w:tcMar>
              <w:top w:w="80" w:type="dxa"/>
              <w:left w:w="100" w:type="dxa"/>
              <w:bottom w:w="80" w:type="dxa"/>
              <w:right w:w="100" w:type="dxa"/>
            </w:tcMar>
          </w:tcPr>
          <w:p w14:paraId="0000006B">
            <w:pPr>
              <w:jc w:val="center"/>
              <w:rPr/>
            </w:pPr>
            <w:r>
              <w:rPr>
                <w:rFonts w:ascii="Arial" w:cs="Arial" w:eastAsia="Arial" w:hAnsi="Arial"/>
                <w:b/>
                <w:bCs/>
                <w:color w:val="e36c09"/>
                <w:sz w:val="20"/>
                <w:szCs w:val="20"/>
              </w:rPr>
              <w:t>MEDIUM</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6C">
            <w:r>
              <w:rPr>
                <w:rFonts w:ascii="Arial" w:cs="Arial" w:eastAsia="Arial" w:hAnsi="Arial"/>
                <w:color w:val="595959"/>
                <w:sz w:val="19"/>
                <w:szCs w:val="19"/>
              </w:rPr>
              <w:t>API1:2023 — Broken Object Level Auth</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D">
            <w:r>
              <w:rPr>
                <w:rFonts w:ascii="Arial" w:cs="Arial" w:eastAsia="Arial" w:hAnsi="Arial"/>
                <w:sz w:val="20"/>
                <w:szCs w:val="20"/>
              </w:rPr>
              <w:t>Sequential user IDs allow enumeration of all accounts</w:t>
            </w:r>
          </w:p>
        </w:tc>
      </w:tr>
      <w:tr>
        <w:trPr/>
        <w:tc>
          <w:tcPr>
            <w:cnfStyle w:val="000010000000"/>
            <w:tcW w:w="22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6E">
            <w:r>
              <w:rPr>
                <w:rFonts w:ascii="Arial" w:cs="Arial" w:eastAsia="Arial" w:hAnsi="Arial"/>
                <w:b/>
                <w:bCs/>
                <w:sz w:val="20"/>
                <w:szCs w:val="20"/>
              </w:rPr>
              <w:t>No Token Expiry Disclosed</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fff2cc"/>
            <w:tcMar>
              <w:top w:w="80" w:type="dxa"/>
              <w:left w:w="100" w:type="dxa"/>
              <w:bottom w:w="80" w:type="dxa"/>
              <w:right w:w="100" w:type="dxa"/>
            </w:tcMar>
          </w:tcPr>
          <w:p w14:paraId="0000006F">
            <w:pPr>
              <w:jc w:val="center"/>
              <w:rPr/>
            </w:pPr>
            <w:r>
              <w:rPr>
                <w:rFonts w:ascii="Arial" w:cs="Arial" w:eastAsia="Arial" w:hAnsi="Arial"/>
                <w:b/>
                <w:bCs/>
                <w:color w:val="ffc000"/>
                <w:sz w:val="20"/>
                <w:szCs w:val="20"/>
              </w:rPr>
              <w:t>LOW</w:t>
            </w:r>
          </w:p>
        </w:tc>
        <w:tc>
          <w:tcPr>
            <w:cnfStyle w:val="000010000000"/>
            <w:tcW w:w="1800" w:type="dxa"/>
            <w:tcBorders>
              <w:top w:val="single" w:color="cccccc" w:sz="1" w:space="0"/>
              <w:left w:val="single" w:color="cccccc" w:sz="1" w:space="0"/>
              <w:bottom w:val="single" w:color="cccccc" w:sz="1" w:space="0"/>
              <w:right w:val="single" w:color="cccccc" w:sz="1" w:space="0"/>
            </w:tcBorders>
            <w:shd w:val="clear" w:fill="f2f2f2"/>
            <w:tcMar>
              <w:top w:w="80" w:type="dxa"/>
              <w:left w:w="100" w:type="dxa"/>
              <w:bottom w:w="80" w:type="dxa"/>
              <w:right w:w="100" w:type="dxa"/>
            </w:tcMar>
          </w:tcPr>
          <w:p w14:paraId="00000070">
            <w:r>
              <w:rPr>
                <w:rFonts w:ascii="Arial" w:cs="Arial" w:eastAsia="Arial" w:hAnsi="Arial"/>
                <w:color w:val="595959"/>
                <w:sz w:val="19"/>
                <w:szCs w:val="19"/>
              </w:rPr>
              <w:t>API2:2023 — Broken Authentication</w:t>
            </w:r>
          </w:p>
        </w:tc>
        <w:tc>
          <w:tcPr>
            <w:cnfStyle w:val="000001000000"/>
            <w:tcW w:w="41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14:paraId="00000071">
            <w:r>
              <w:rPr>
                <w:rFonts w:ascii="Arial" w:cs="Arial" w:eastAsia="Arial" w:hAnsi="Arial"/>
                <w:sz w:val="20"/>
                <w:szCs w:val="20"/>
              </w:rPr>
              <w:t>Login tokens issued without documented expiry = long-lived risk</w:t>
            </w:r>
          </w:p>
        </w:tc>
      </w:tr>
    </w:tbl>
    <w:p w14:paraId="00000072">
      <w:pPr>
        <w:spacing w:before="0" w:beforeAutospacing="0" w:after="200" w:afterAutospacing="0"/>
        <w:rPr/>
      </w:pPr>
    </w:p>
    <w:p w14:paraId="00000073">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4. Detailed Risk Findings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74">
            <w:r>
              <w:rPr>
                <w:rFonts w:ascii="Arial" w:cs="Arial" w:eastAsia="Arial" w:hAnsi="Arial"/>
                <w:b/>
                <w:bCs/>
                <w:color w:val="ffffff"/>
                <w:sz w:val="24"/>
                <w:szCs w:val="24"/>
              </w:rPr>
              <w:t>RISK-01 · Unauthenticated Access to All Endpoints</w:t>
            </w:r>
          </w:p>
          <w:p w14:paraId="00000075">
            <w:r>
              <w:rPr>
                <w:rFonts w:ascii="Arial" w:cs="Arial" w:eastAsia="Arial" w:hAnsi="Arial"/>
                <w:color w:val="bdd7ee"/>
                <w:sz w:val="18"/>
                <w:szCs w:val="18"/>
              </w:rPr>
              <w:t>OWASP: API1:2023 — Broken Object Level Authorization  ·  Endpoint: GET /users, /posts, /comments, /todos</w:t>
            </w:r>
          </w:p>
        </w:tc>
        <w:tc>
          <w:tcPr>
            <w:cnfStyle w:val="100001000000"/>
            <w:tcW w:w="2000" w:type="dxa"/>
            <w:tcBorders>
              <w:top w:val="none" w:sz="4" w:space="0"/>
              <w:left w:val="none" w:sz="4" w:space="0"/>
              <w:bottom w:val="none" w:sz="4" w:space="0"/>
              <w:right w:val="none" w:sz="4" w:space="0"/>
            </w:tcBorders>
            <w:shd w:val="clear" w:fill="fce4d6"/>
            <w:tcMar>
              <w:top w:w="100" w:type="dxa"/>
              <w:left w:w="120" w:type="dxa"/>
              <w:bottom w:w="100" w:type="dxa"/>
              <w:right w:w="120" w:type="dxa"/>
            </w:tcMar>
            <w:vAlign w:val="center"/>
          </w:tcPr>
          <w:p w14:paraId="00000076">
            <w:pPr>
              <w:jc w:val="center"/>
              <w:rPr/>
            </w:pPr>
            <w:r>
              <w:rPr>
                <w:rFonts w:ascii="Arial" w:cs="Arial" w:eastAsia="Arial" w:hAnsi="Arial"/>
                <w:b/>
                <w:bCs/>
                <w:color w:val="c00000"/>
                <w:sz w:val="18"/>
                <w:szCs w:val="18"/>
              </w:rPr>
              <w:t>⚠  SEVERITY
</w:t>
            </w:r>
            <w:r>
              <w:rPr>
                <w:rFonts w:ascii="Arial" w:cs="Arial" w:eastAsia="Arial" w:hAnsi="Arial"/>
                <w:b/>
                <w:bCs/>
                <w:color w:val="c00000"/>
                <w:sz w:val="28"/>
                <w:szCs w:val="28"/>
              </w:rPr>
              <w:t>HIGH</w:t>
            </w:r>
          </w:p>
        </w:tc>
      </w:tr>
    </w:tbl>
    <w:p w14:paraId="000000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78">
            <w:r>
              <w:rPr>
                <w:rFonts w:ascii="Arial" w:cs="Arial" w:eastAsia="Arial" w:hAnsi="Arial"/>
                <w:b/>
                <w:bCs/>
                <w:color w:val="1f3864"/>
                <w:sz w:val="20"/>
                <w:szCs w:val="20"/>
              </w:rPr>
              <w:t>📋  Finding</w:t>
            </w:r>
          </w:p>
          <w:p w14:paraId="00000079">
            <w:pPr>
              <w:spacing w:before="40" w:beforeAutospacing="0" w:after="60" w:afterAutospacing="0"/>
              <w:rPr/>
            </w:pPr>
            <w:r>
              <w:rPr>
                <w:rFonts w:ascii="Arial" w:cs="Arial" w:eastAsia="Arial" w:hAnsi="Arial"/>
                <w:sz w:val="20"/>
                <w:szCs w:val="20"/>
              </w:rPr>
              <w:t>All endpoints on JSONPlaceholder are publicly accessible with no authentication mechanism. A simple HTTP GET request to https://jsonplaceholder.typicode.com/users returns a full list of 10 simulated user accounts including names, usernames, emails, phone numbers, and geographic coordinates — with zero credentials required. Similarly, all posts, comments, and todos are accessible without any token or session.</w:t>
            </w:r>
          </w:p>
          <w:p w14:paraId="0000007A">
            <w:r>
              <w:rPr>
                <w:rFonts w:ascii="Arial" w:cs="Arial" w:eastAsia="Arial" w:hAnsi="Arial"/>
                <w:b/>
                <w:bCs/>
                <w:color w:val="c00000"/>
                <w:sz w:val="20"/>
                <w:szCs w:val="20"/>
              </w:rPr>
              <w:t>⚡  Business Impact</w:t>
            </w:r>
          </w:p>
          <w:p w14:paraId="0000007B">
            <w:pPr>
              <w:spacing w:before="40" w:beforeAutospacing="0" w:after="60" w:afterAutospacing="0"/>
              <w:rPr/>
            </w:pPr>
            <w:r>
              <w:rPr>
                <w:rFonts w:ascii="Arial" w:cs="Arial" w:eastAsia="Arial" w:hAnsi="Arial"/>
                <w:sz w:val="20"/>
                <w:szCs w:val="20"/>
              </w:rPr>
              <w:t>In a real production environment, this would represent a complete breach of access control. Any anonymous user could extract the entire user database, enumerate accounts, and harvest contact information. This is the foundational requirement for GDPR compliance failure and personal data breach notification obligations.</w:t>
            </w:r>
          </w:p>
          <w:p w14:paraId="0000007C">
            <w:r>
              <w:rPr>
                <w:rFonts w:ascii="Arial" w:cs="Arial" w:eastAsia="Arial" w:hAnsi="Arial"/>
                <w:b/>
                <w:bCs/>
                <w:color w:val="375623"/>
                <w:sz w:val="20"/>
                <w:szCs w:val="20"/>
              </w:rPr>
              <w:t>✅  Remediation</w:t>
            </w:r>
          </w:p>
          <w:p w14:paraId="0000007D">
            <w:pPr>
              <w:spacing w:before="40" w:beforeAutospacing="0" w:after="40" w:afterAutospacing="0"/>
              <w:rPr/>
            </w:pPr>
            <w:r>
              <w:rPr>
                <w:rFonts w:ascii="Arial" w:cs="Arial" w:eastAsia="Arial" w:hAnsi="Arial"/>
                <w:sz w:val="20"/>
                <w:szCs w:val="20"/>
              </w:rPr>
              <w:t>Implement JWT or OAuth 2.0 Bearer Token authentication on all non-public endpoints. Apply middleware authentication checks on every route. Return HTTP 401 Unauthorized for unauthenticated requests.</w:t>
            </w:r>
          </w:p>
        </w:tc>
      </w:tr>
    </w:tbl>
    <w:p w14:paraId="0000007E">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7F">
            <w:r>
              <w:rPr>
                <w:rFonts w:ascii="Arial" w:cs="Arial" w:eastAsia="Arial" w:hAnsi="Arial"/>
                <w:b/>
                <w:bCs/>
                <w:color w:val="ffffff"/>
                <w:sz w:val="24"/>
                <w:szCs w:val="24"/>
              </w:rPr>
              <w:t>RISK-02 · Excessive PII Exposure in API Responses</w:t>
            </w:r>
          </w:p>
          <w:p w14:paraId="00000080">
            <w:r>
              <w:rPr>
                <w:rFonts w:ascii="Arial" w:cs="Arial" w:eastAsia="Arial" w:hAnsi="Arial"/>
                <w:color w:val="bdd7ee"/>
                <w:sz w:val="18"/>
                <w:szCs w:val="18"/>
              </w:rPr>
              <w:t>OWASP: API3:2023 — Excessive Data Exposure  ·  Endpoint: GET /users, GET /users/:id</w:t>
            </w:r>
          </w:p>
        </w:tc>
        <w:tc>
          <w:tcPr>
            <w:cnfStyle w:val="100001000000"/>
            <w:tcW w:w="2000" w:type="dxa"/>
            <w:tcBorders>
              <w:top w:val="none" w:sz="4" w:space="0"/>
              <w:left w:val="none" w:sz="4" w:space="0"/>
              <w:bottom w:val="none" w:sz="4" w:space="0"/>
              <w:right w:val="none" w:sz="4" w:space="0"/>
            </w:tcBorders>
            <w:shd w:val="clear" w:fill="fce4d6"/>
            <w:tcMar>
              <w:top w:w="100" w:type="dxa"/>
              <w:left w:w="120" w:type="dxa"/>
              <w:bottom w:w="100" w:type="dxa"/>
              <w:right w:w="120" w:type="dxa"/>
            </w:tcMar>
            <w:vAlign w:val="center"/>
          </w:tcPr>
          <w:p w14:paraId="00000081">
            <w:pPr>
              <w:jc w:val="center"/>
              <w:rPr/>
            </w:pPr>
            <w:r>
              <w:rPr>
                <w:rFonts w:ascii="Arial" w:cs="Arial" w:eastAsia="Arial" w:hAnsi="Arial"/>
                <w:b/>
                <w:bCs/>
                <w:color w:val="c00000"/>
                <w:sz w:val="18"/>
                <w:szCs w:val="18"/>
              </w:rPr>
              <w:t>⚠  SEVERITY
</w:t>
            </w:r>
            <w:r>
              <w:rPr>
                <w:rFonts w:ascii="Arial" w:cs="Arial" w:eastAsia="Arial" w:hAnsi="Arial"/>
                <w:b/>
                <w:bCs/>
                <w:color w:val="c00000"/>
                <w:sz w:val="28"/>
                <w:szCs w:val="28"/>
              </w:rPr>
              <w:t>HIGH</w:t>
            </w:r>
          </w:p>
        </w:tc>
      </w:tr>
    </w:tbl>
    <w:p w14:paraId="00000082"/>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83">
            <w:r>
              <w:rPr>
                <w:rFonts w:ascii="Arial" w:cs="Arial" w:eastAsia="Arial" w:hAnsi="Arial"/>
                <w:b/>
                <w:bCs/>
                <w:color w:val="1f3864"/>
                <w:sz w:val="20"/>
                <w:szCs w:val="20"/>
              </w:rPr>
              <w:t>📋  Finding</w:t>
            </w:r>
          </w:p>
          <w:p w14:paraId="00000084">
            <w:pPr>
              <w:spacing w:before="40" w:beforeAutospacing="0" w:after="60" w:afterAutospacing="0"/>
              <w:rPr/>
            </w:pPr>
            <w:r>
              <w:rPr>
                <w:rFonts w:ascii="Arial" w:cs="Arial" w:eastAsia="Arial" w:hAnsi="Arial"/>
                <w:sz w:val="20"/>
                <w:szCs w:val="20"/>
              </w:rPr>
              <w:t>The /users endpoint returns a full user object for each record including: name, username, email, phone number, website, full company name, full street address (street, suite, city, zip code), and geographic latitude/longitude coordinates. A client application displaying only a username for a profile page receives — and therefore exposes in transit — the full address and geolocation of every user. No field-level filtering is applied. Example response field: 'geo': {'lat': '-37.3159', 'lng': '81.1496'}.</w:t>
            </w:r>
          </w:p>
          <w:p w14:paraId="00000085">
            <w:r>
              <w:rPr>
                <w:rFonts w:ascii="Arial" w:cs="Arial" w:eastAsia="Arial" w:hAnsi="Arial"/>
                <w:b/>
                <w:bCs/>
                <w:color w:val="c00000"/>
                <w:sz w:val="20"/>
                <w:szCs w:val="20"/>
              </w:rPr>
              <w:t>⚡  Business Impact</w:t>
            </w:r>
          </w:p>
          <w:p w14:paraId="00000086">
            <w:pPr>
              <w:spacing w:before="40" w:beforeAutospacing="0" w:after="60" w:afterAutospacing="0"/>
              <w:rPr/>
            </w:pPr>
            <w:r>
              <w:rPr>
                <w:rFonts w:ascii="Arial" w:cs="Arial" w:eastAsia="Arial" w:hAnsi="Arial"/>
                <w:sz w:val="20"/>
                <w:szCs w:val="20"/>
              </w:rPr>
              <w:t>Geo-coordinates combined with a full home address constitute sensitive PII under GDPR, CCPA, and most privacy frameworks. Exposure of this data in API responses enables physical tracking, targeted phishing, identity theft, and social engineering attacks. A breach would trigger mandatory data protection authority (DPA) notification within 72 hours under GDPR Article 33.</w:t>
            </w:r>
          </w:p>
          <w:p w14:paraId="00000087">
            <w:r>
              <w:rPr>
                <w:rFonts w:ascii="Arial" w:cs="Arial" w:eastAsia="Arial" w:hAnsi="Arial"/>
                <w:b/>
                <w:bCs/>
                <w:color w:val="375623"/>
                <w:sz w:val="20"/>
                <w:szCs w:val="20"/>
              </w:rPr>
              <w:t>✅  Remediation</w:t>
            </w:r>
          </w:p>
          <w:p w14:paraId="00000088">
            <w:pPr>
              <w:spacing w:before="40" w:beforeAutospacing="0" w:after="40" w:afterAutospacing="0"/>
              <w:rPr/>
            </w:pPr>
            <w:r>
              <w:rPr>
                <w:rFonts w:ascii="Arial" w:cs="Arial" w:eastAsia="Arial" w:hAnsi="Arial"/>
                <w:sz w:val="20"/>
                <w:szCs w:val="20"/>
              </w:rPr>
              <w:t>Apply the Principle of Least Privilege to API responses: return only fields required by the client. Use response DTOs (Data Transfer Objects) or serializer field whitelisting to strip sensitive fields. Never expose geographic coordinates in public-facing endpoints.</w:t>
            </w:r>
          </w:p>
        </w:tc>
      </w:tr>
    </w:tbl>
    <w:p w14:paraId="00000089">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8A">
            <w:r>
              <w:rPr>
                <w:rFonts w:ascii="Arial" w:cs="Arial" w:eastAsia="Arial" w:hAnsi="Arial"/>
                <w:b/>
                <w:bCs/>
                <w:color w:val="ffffff"/>
                <w:sz w:val="24"/>
                <w:szCs w:val="24"/>
              </w:rPr>
              <w:t>RISK-03 · No Rate Limiting on Any Endpoint</w:t>
            </w:r>
          </w:p>
          <w:p w14:paraId="0000008B">
            <w:r>
              <w:rPr>
                <w:rFonts w:ascii="Arial" w:cs="Arial" w:eastAsia="Arial" w:hAnsi="Arial"/>
                <w:color w:val="bdd7ee"/>
                <w:sz w:val="18"/>
                <w:szCs w:val="18"/>
              </w:rPr>
              <w:t>OWASP: API4:2023 — Unrestricted Resource Consumption  ·  Endpoint: All endpoints — GET /users, /posts, /comments, /photos</w:t>
            </w:r>
          </w:p>
        </w:tc>
        <w:tc>
          <w:tcPr>
            <w:cnfStyle w:val="100001000000"/>
            <w:tcW w:w="2000" w:type="dxa"/>
            <w:tcBorders>
              <w:top w:val="none" w:sz="4" w:space="0"/>
              <w:left w:val="none" w:sz="4" w:space="0"/>
              <w:bottom w:val="none" w:sz="4" w:space="0"/>
              <w:right w:val="none" w:sz="4" w:space="0"/>
            </w:tcBorders>
            <w:shd w:val="clear" w:fill="fcf0e0"/>
            <w:tcMar>
              <w:top w:w="100" w:type="dxa"/>
              <w:left w:w="120" w:type="dxa"/>
              <w:bottom w:w="100" w:type="dxa"/>
              <w:right w:w="120" w:type="dxa"/>
            </w:tcMar>
            <w:vAlign w:val="center"/>
          </w:tcPr>
          <w:p w14:paraId="0000008C">
            <w:pPr>
              <w:jc w:val="center"/>
              <w:rPr/>
            </w:pPr>
            <w:r>
              <w:rPr>
                <w:rFonts w:ascii="Arial" w:cs="Arial" w:eastAsia="Arial" w:hAnsi="Arial"/>
                <w:b/>
                <w:bCs/>
                <w:color w:val="e36c09"/>
                <w:sz w:val="18"/>
                <w:szCs w:val="18"/>
              </w:rPr>
              <w:t>⚠  SEVERITY
</w:t>
            </w:r>
            <w:r>
              <w:rPr>
                <w:rFonts w:ascii="Arial" w:cs="Arial" w:eastAsia="Arial" w:hAnsi="Arial"/>
                <w:b/>
                <w:bCs/>
                <w:color w:val="e36c09"/>
                <w:sz w:val="28"/>
                <w:szCs w:val="28"/>
              </w:rPr>
              <w:t>MEDIUM</w:t>
            </w:r>
          </w:p>
        </w:tc>
      </w:tr>
    </w:tbl>
    <w:p w14:paraId="0000008D"/>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8E">
            <w:r>
              <w:rPr>
                <w:rFonts w:ascii="Arial" w:cs="Arial" w:eastAsia="Arial" w:hAnsi="Arial"/>
                <w:b/>
                <w:bCs/>
                <w:color w:val="1f3864"/>
                <w:sz w:val="20"/>
                <w:szCs w:val="20"/>
              </w:rPr>
              <w:t>📋  Finding</w:t>
            </w:r>
          </w:p>
          <w:p w14:paraId="0000008F">
            <w:pPr>
              <w:spacing w:before="40" w:beforeAutospacing="0" w:after="60" w:afterAutospacing="0"/>
              <w:rPr/>
            </w:pPr>
            <w:r>
              <w:rPr>
                <w:rFonts w:ascii="Arial" w:cs="Arial" w:eastAsia="Arial" w:hAnsi="Arial"/>
                <w:sz w:val="20"/>
                <w:szCs w:val="20"/>
              </w:rPr>
              <w:t>No rate limiting headers were observed in any API response (X-RateLimit-Limit, X-RateLimit-Remaining, Retry-After are absent). Repeated automated requests to any endpoint return successful HTTP 200 responses with no throttling, delay, or block. The /photos endpoint returns 5,000 records in a single unfiltered response with no pagination enforcement.</w:t>
            </w:r>
          </w:p>
          <w:p w14:paraId="00000090">
            <w:r>
              <w:rPr>
                <w:rFonts w:ascii="Arial" w:cs="Arial" w:eastAsia="Arial" w:hAnsi="Arial"/>
                <w:b/>
                <w:bCs/>
                <w:color w:val="c00000"/>
                <w:sz w:val="20"/>
                <w:szCs w:val="20"/>
              </w:rPr>
              <w:t>⚡  Business Impact</w:t>
            </w:r>
          </w:p>
          <w:p w14:paraId="00000091">
            <w:pPr>
              <w:spacing w:before="40" w:beforeAutospacing="0" w:after="60" w:afterAutospacing="0"/>
              <w:rPr/>
            </w:pPr>
            <w:r>
              <w:rPr>
                <w:rFonts w:ascii="Arial" w:cs="Arial" w:eastAsia="Arial" w:hAnsi="Arial"/>
                <w:sz w:val="20"/>
                <w:szCs w:val="20"/>
              </w:rPr>
              <w:t>Absence of rate limiting exposes the API to: (1) Automated data scraping — competitor or attacker can harvest the entire dataset repeatedly; (2) Brute-force credential attacks on login endpoints; (3) Denial-of-Service via request flooding, consuming server bandwidth and compute. For businesses, this translates to infrastructure costs, downtime, and SLA violations.</w:t>
            </w:r>
          </w:p>
          <w:p w14:paraId="00000092">
            <w:r>
              <w:rPr>
                <w:rFonts w:ascii="Arial" w:cs="Arial" w:eastAsia="Arial" w:hAnsi="Arial"/>
                <w:b/>
                <w:bCs/>
                <w:color w:val="375623"/>
                <w:sz w:val="20"/>
                <w:szCs w:val="20"/>
              </w:rPr>
              <w:t>✅  Remediation</w:t>
            </w:r>
          </w:p>
          <w:p w14:paraId="00000093">
            <w:pPr>
              <w:spacing w:before="40" w:beforeAutospacing="0" w:after="40" w:afterAutospacing="0"/>
              <w:rPr/>
            </w:pPr>
            <w:r>
              <w:rPr>
                <w:rFonts w:ascii="Arial" w:cs="Arial" w:eastAsia="Arial" w:hAnsi="Arial"/>
                <w:sz w:val="20"/>
                <w:szCs w:val="20"/>
              </w:rPr>
              <w:t>Implement rate limiting at the API gateway level (e.g., Nginx, AWS API Gateway, Cloudflare). Set thresholds per IP and per authenticated user. Return HTTP 429 Too Many Requests with a Retry-After header when limits are exceeded. Enforce pagination with a maximum page size.</w:t>
            </w:r>
          </w:p>
        </w:tc>
      </w:tr>
    </w:tbl>
    <w:p w14:paraId="00000094">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95">
            <w:r>
              <w:rPr>
                <w:rFonts w:ascii="Arial" w:cs="Arial" w:eastAsia="Arial" w:hAnsi="Arial"/>
                <w:b/>
                <w:bCs/>
                <w:color w:val="ffffff"/>
                <w:sz w:val="24"/>
                <w:szCs w:val="24"/>
              </w:rPr>
              <w:t>RISK-04 · Missing HTTP Security Headers</w:t>
            </w:r>
          </w:p>
          <w:p w14:paraId="00000096">
            <w:r>
              <w:rPr>
                <w:rFonts w:ascii="Arial" w:cs="Arial" w:eastAsia="Arial" w:hAnsi="Arial"/>
                <w:color w:val="bdd7ee"/>
                <w:sz w:val="18"/>
                <w:szCs w:val="18"/>
              </w:rPr>
              <w:t>OWASP: API7:2023 — Security Misconfiguration  ·  Endpoint: All endpoints (response header analysis)</w:t>
            </w:r>
          </w:p>
        </w:tc>
        <w:tc>
          <w:tcPr>
            <w:cnfStyle w:val="100001000000"/>
            <w:tcW w:w="2000" w:type="dxa"/>
            <w:tcBorders>
              <w:top w:val="none" w:sz="4" w:space="0"/>
              <w:left w:val="none" w:sz="4" w:space="0"/>
              <w:bottom w:val="none" w:sz="4" w:space="0"/>
              <w:right w:val="none" w:sz="4" w:space="0"/>
            </w:tcBorders>
            <w:shd w:val="clear" w:fill="fcf0e0"/>
            <w:tcMar>
              <w:top w:w="100" w:type="dxa"/>
              <w:left w:w="120" w:type="dxa"/>
              <w:bottom w:w="100" w:type="dxa"/>
              <w:right w:w="120" w:type="dxa"/>
            </w:tcMar>
            <w:vAlign w:val="center"/>
          </w:tcPr>
          <w:p w14:paraId="00000097">
            <w:pPr>
              <w:jc w:val="center"/>
              <w:rPr/>
            </w:pPr>
            <w:r>
              <w:rPr>
                <w:rFonts w:ascii="Arial" w:cs="Arial" w:eastAsia="Arial" w:hAnsi="Arial"/>
                <w:b/>
                <w:bCs/>
                <w:color w:val="e36c09"/>
                <w:sz w:val="18"/>
                <w:szCs w:val="18"/>
              </w:rPr>
              <w:t>⚠  SEVERITY
</w:t>
            </w:r>
            <w:r>
              <w:rPr>
                <w:rFonts w:ascii="Arial" w:cs="Arial" w:eastAsia="Arial" w:hAnsi="Arial"/>
                <w:b/>
                <w:bCs/>
                <w:color w:val="e36c09"/>
                <w:sz w:val="28"/>
                <w:szCs w:val="28"/>
              </w:rPr>
              <w:t>MEDIUM</w:t>
            </w:r>
          </w:p>
        </w:tc>
      </w:tr>
    </w:tbl>
    <w:p w14:paraId="00000098"/>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99">
            <w:r>
              <w:rPr>
                <w:rFonts w:ascii="Arial" w:cs="Arial" w:eastAsia="Arial" w:hAnsi="Arial"/>
                <w:b/>
                <w:bCs/>
                <w:color w:val="1f3864"/>
                <w:sz w:val="20"/>
                <w:szCs w:val="20"/>
              </w:rPr>
              <w:t>📋  Finding</w:t>
            </w:r>
          </w:p>
          <w:p w14:paraId="0000009A">
            <w:pPr>
              <w:spacing w:before="40" w:beforeAutospacing="0" w:after="60" w:afterAutospacing="0"/>
              <w:rPr/>
            </w:pPr>
            <w:r>
              <w:rPr>
                <w:rFonts w:ascii="Arial" w:cs="Arial" w:eastAsia="Arial" w:hAnsi="Arial"/>
                <w:sz w:val="20"/>
                <w:szCs w:val="20"/>
              </w:rPr>
              <w:t>Inspection of HTTP response headers reveals the following critical security headers are absent: (1) Content-Security-Policy (CSP) — not present; (2) Strict-Transport-Security (HSTS) — not present; (3) X-Content-Type-Options — not present; (4) X-Frame-Options — not present; (5) Referrer-Policy — not present. Additionally, the API accepts plain HTTP connections in addition to HTTPS, meaning requests can be intercepted without TLS enforcement.</w:t>
            </w:r>
          </w:p>
          <w:p w14:paraId="0000009B">
            <w:r>
              <w:rPr>
                <w:rFonts w:ascii="Arial" w:cs="Arial" w:eastAsia="Arial" w:hAnsi="Arial"/>
                <w:b/>
                <w:bCs/>
                <w:color w:val="c00000"/>
                <w:sz w:val="20"/>
                <w:szCs w:val="20"/>
              </w:rPr>
              <w:t>⚡  Business Impact</w:t>
            </w:r>
          </w:p>
          <w:p w14:paraId="0000009C">
            <w:pPr>
              <w:spacing w:before="40" w:beforeAutospacing="0" w:after="60" w:afterAutospacing="0"/>
              <w:rPr/>
            </w:pPr>
            <w:r>
              <w:rPr>
                <w:rFonts w:ascii="Arial" w:cs="Arial" w:eastAsia="Arial" w:hAnsi="Arial"/>
                <w:sz w:val="20"/>
                <w:szCs w:val="20"/>
              </w:rPr>
              <w:t>Missing HSTS allows Man-in-the-Middle (MITM) attacks on HTTP connections — an attacker on the same network can intercept API tokens and responses. Missing CSP enables cross-site scripting (XSS) if the API is consumed by a web frontend. Missing X-Content-Type-Options enables MIME-type sniffing attacks. These misconfigurations are commonly exploited in targeted attacks on API-integrated web applications.</w:t>
            </w:r>
          </w:p>
          <w:p w14:paraId="0000009D">
            <w:r>
              <w:rPr>
                <w:rFonts w:ascii="Arial" w:cs="Arial" w:eastAsia="Arial" w:hAnsi="Arial"/>
                <w:b/>
                <w:bCs/>
                <w:color w:val="375623"/>
                <w:sz w:val="20"/>
                <w:szCs w:val="20"/>
              </w:rPr>
              <w:t>✅  Remediation</w:t>
            </w:r>
          </w:p>
          <w:p w14:paraId="0000009E">
            <w:pPr>
              <w:spacing w:before="40" w:beforeAutospacing="0" w:after="40" w:afterAutospacing="0"/>
              <w:rPr/>
            </w:pPr>
            <w:r>
              <w:rPr>
                <w:rFonts w:ascii="Arial" w:cs="Arial" w:eastAsia="Arial" w:hAnsi="Arial"/>
                <w:sz w:val="20"/>
                <w:szCs w:val="20"/>
              </w:rPr>
              <w:t>Add the following headers to all API responses via middleware: Strict-Transport-Security: max-age=31536000; includeSubDomains, Content-Security-Policy: default-src 'self', X-Content-Type-Options: nosniff, X-Frame-Options: DENY, Referrer-Policy: no-referrer. Enforce HTTPS-only via server redirect rules.</w:t>
            </w:r>
          </w:p>
        </w:tc>
      </w:tr>
    </w:tbl>
    <w:p w14:paraId="0000009F">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A0">
            <w:r>
              <w:rPr>
                <w:rFonts w:ascii="Arial" w:cs="Arial" w:eastAsia="Arial" w:hAnsi="Arial"/>
                <w:b/>
                <w:bCs/>
                <w:color w:val="ffffff"/>
                <w:sz w:val="24"/>
                <w:szCs w:val="24"/>
              </w:rPr>
              <w:t>RISK-05 · Predictable Sequential Resource IDs</w:t>
            </w:r>
          </w:p>
          <w:p w14:paraId="000000A1">
            <w:r>
              <w:rPr>
                <w:rFonts w:ascii="Arial" w:cs="Arial" w:eastAsia="Arial" w:hAnsi="Arial"/>
                <w:color w:val="bdd7ee"/>
                <w:sz w:val="18"/>
                <w:szCs w:val="18"/>
              </w:rPr>
              <w:t>OWASP: API1:2023 — Broken Object Level Authorization  ·  Endpoint: GET /users/:id, /posts/:id, /comments/:id</w:t>
            </w:r>
          </w:p>
        </w:tc>
        <w:tc>
          <w:tcPr>
            <w:cnfStyle w:val="100001000000"/>
            <w:tcW w:w="2000" w:type="dxa"/>
            <w:tcBorders>
              <w:top w:val="none" w:sz="4" w:space="0"/>
              <w:left w:val="none" w:sz="4" w:space="0"/>
              <w:bottom w:val="none" w:sz="4" w:space="0"/>
              <w:right w:val="none" w:sz="4" w:space="0"/>
            </w:tcBorders>
            <w:shd w:val="clear" w:fill="fcf0e0"/>
            <w:tcMar>
              <w:top w:w="100" w:type="dxa"/>
              <w:left w:w="120" w:type="dxa"/>
              <w:bottom w:w="100" w:type="dxa"/>
              <w:right w:w="120" w:type="dxa"/>
            </w:tcMar>
            <w:vAlign w:val="center"/>
          </w:tcPr>
          <w:p w14:paraId="000000A2">
            <w:pPr>
              <w:jc w:val="center"/>
              <w:rPr/>
            </w:pPr>
            <w:r>
              <w:rPr>
                <w:rFonts w:ascii="Arial" w:cs="Arial" w:eastAsia="Arial" w:hAnsi="Arial"/>
                <w:b/>
                <w:bCs/>
                <w:color w:val="e36c09"/>
                <w:sz w:val="18"/>
                <w:szCs w:val="18"/>
              </w:rPr>
              <w:t>⚠  SEVERITY
</w:t>
            </w:r>
            <w:r>
              <w:rPr>
                <w:rFonts w:ascii="Arial" w:cs="Arial" w:eastAsia="Arial" w:hAnsi="Arial"/>
                <w:b/>
                <w:bCs/>
                <w:color w:val="e36c09"/>
                <w:sz w:val="28"/>
                <w:szCs w:val="28"/>
              </w:rPr>
              <w:t>MEDIUM</w:t>
            </w:r>
          </w:p>
        </w:tc>
      </w:tr>
    </w:tbl>
    <w:p w14:paraId="000000A3"/>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A4">
            <w:r>
              <w:rPr>
                <w:rFonts w:ascii="Arial" w:cs="Arial" w:eastAsia="Arial" w:hAnsi="Arial"/>
                <w:b/>
                <w:bCs/>
                <w:color w:val="1f3864"/>
                <w:sz w:val="20"/>
                <w:szCs w:val="20"/>
              </w:rPr>
              <w:t>📋  Finding</w:t>
            </w:r>
          </w:p>
          <w:p w14:paraId="000000A5">
            <w:pPr>
              <w:spacing w:before="40" w:beforeAutospacing="0" w:after="60" w:afterAutospacing="0"/>
              <w:rPr/>
            </w:pPr>
            <w:r>
              <w:rPr>
                <w:rFonts w:ascii="Arial" w:cs="Arial" w:eastAsia="Arial" w:hAnsi="Arial"/>
                <w:sz w:val="20"/>
                <w:szCs w:val="20"/>
              </w:rPr>
              <w:t>All resource identifiers follow a simple sequential integer pattern (e.g., /users/1, /users/2, ..., /users/10). An attacker can enumerate every object in the system by iterating through integer IDs with no authentication. This is demonstrated by the fact that /users/1 through /users/10 all return valid records. Combined with the lack of authentication (Risk 01), this creates a complete account enumeration vulnerability.</w:t>
            </w:r>
          </w:p>
          <w:p w14:paraId="000000A6">
            <w:r>
              <w:rPr>
                <w:rFonts w:ascii="Arial" w:cs="Arial" w:eastAsia="Arial" w:hAnsi="Arial"/>
                <w:b/>
                <w:bCs/>
                <w:color w:val="c00000"/>
                <w:sz w:val="20"/>
                <w:szCs w:val="20"/>
              </w:rPr>
              <w:t>⚡  Business Impact</w:t>
            </w:r>
          </w:p>
          <w:p w14:paraId="000000A7">
            <w:pPr>
              <w:spacing w:before="40" w:beforeAutospacing="0" w:after="60" w:afterAutospacing="0"/>
              <w:rPr/>
            </w:pPr>
            <w:r>
              <w:rPr>
                <w:rFonts w:ascii="Arial" w:cs="Arial" w:eastAsia="Arial" w:hAnsi="Arial"/>
                <w:sz w:val="20"/>
                <w:szCs w:val="20"/>
              </w:rPr>
              <w:t>Sequential IDs enable automated enumeration attacks: an attacker can write a simple script to download every user account, post, or resource in the system. This pattern also reveals the total count of records in the database (the last valid ID = total record count), leaking business intelligence. In multi-tenant SaaS applications, sequential IDs can enable cross-tenant data access (IDOR — Insecure Direct Object Reference).</w:t>
            </w:r>
          </w:p>
          <w:p w14:paraId="000000A8">
            <w:r>
              <w:rPr>
                <w:rFonts w:ascii="Arial" w:cs="Arial" w:eastAsia="Arial" w:hAnsi="Arial"/>
                <w:b/>
                <w:bCs/>
                <w:color w:val="375623"/>
                <w:sz w:val="20"/>
                <w:szCs w:val="20"/>
              </w:rPr>
              <w:t>✅  Remediation</w:t>
            </w:r>
          </w:p>
          <w:p w14:paraId="000000A9">
            <w:pPr>
              <w:spacing w:before="40" w:beforeAutospacing="0" w:after="40" w:afterAutospacing="0"/>
              <w:rPr/>
            </w:pPr>
            <w:r>
              <w:rPr>
                <w:rFonts w:ascii="Arial" w:cs="Arial" w:eastAsia="Arial" w:hAnsi="Arial"/>
                <w:sz w:val="20"/>
                <w:szCs w:val="20"/>
              </w:rPr>
              <w:t>Replace sequential integer IDs with UUIDs (Universally Unique Identifiers) such as /users/a3f2b1c4-... These are non-predictable and cannot be enumerated. Additionally, enforce object-level authorization checks on every request to verify the requesting user has permission to access the specific resource ID.</w:t>
            </w:r>
          </w:p>
        </w:tc>
      </w:tr>
    </w:tbl>
    <w:p w14:paraId="000000AA">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7360"/>
        <w:gridCol w:w="2000"/>
      </w:tblGrid>
      <w:tr>
        <w:trPr/>
        <w:tc>
          <w:tcPr>
            <w:cnfStyle w:val="100010000000"/>
            <w:tcW w:w="7360" w:type="dxa"/>
            <w:tcBorders>
              <w:top w:val="none" w:sz="4" w:space="0"/>
              <w:left w:val="none" w:sz="4" w:space="0"/>
              <w:bottom w:val="none" w:sz="4" w:space="0"/>
              <w:right w:val="none" w:sz="4" w:space="0"/>
            </w:tcBorders>
            <w:shd w:val="clear" w:fill="1f3864"/>
            <w:tcMar>
              <w:top w:w="100" w:type="dxa"/>
              <w:left w:w="160" w:type="dxa"/>
              <w:bottom w:w="100" w:type="dxa"/>
              <w:right w:w="160" w:type="dxa"/>
            </w:tcMar>
          </w:tcPr>
          <w:p w14:paraId="000000AB">
            <w:r>
              <w:rPr>
                <w:rFonts w:ascii="Arial" w:cs="Arial" w:eastAsia="Arial" w:hAnsi="Arial"/>
                <w:b/>
                <w:bCs/>
                <w:color w:val="ffffff"/>
                <w:sz w:val="24"/>
                <w:szCs w:val="24"/>
              </w:rPr>
              <w:t>RISK-06 · Authentication Tokens Without Documented Expiry</w:t>
            </w:r>
          </w:p>
          <w:p w14:paraId="000000AC">
            <w:r>
              <w:rPr>
                <w:rFonts w:ascii="Arial" w:cs="Arial" w:eastAsia="Arial" w:hAnsi="Arial"/>
                <w:color w:val="bdd7ee"/>
                <w:sz w:val="18"/>
                <w:szCs w:val="18"/>
              </w:rPr>
              <w:t>OWASP: API2:2023 — Broken Authentication  ·  Endpoint: POST /api/login (ReqRes)</w:t>
            </w:r>
          </w:p>
        </w:tc>
        <w:tc>
          <w:tcPr>
            <w:cnfStyle w:val="100001000000"/>
            <w:tcW w:w="2000" w:type="dxa"/>
            <w:tcBorders>
              <w:top w:val="none" w:sz="4" w:space="0"/>
              <w:left w:val="none" w:sz="4" w:space="0"/>
              <w:bottom w:val="none" w:sz="4" w:space="0"/>
              <w:right w:val="none" w:sz="4" w:space="0"/>
            </w:tcBorders>
            <w:shd w:val="clear" w:fill="fff2cc"/>
            <w:tcMar>
              <w:top w:w="100" w:type="dxa"/>
              <w:left w:w="120" w:type="dxa"/>
              <w:bottom w:w="100" w:type="dxa"/>
              <w:right w:w="120" w:type="dxa"/>
            </w:tcMar>
            <w:vAlign w:val="center"/>
          </w:tcPr>
          <w:p w14:paraId="000000AD">
            <w:pPr>
              <w:jc w:val="center"/>
              <w:rPr/>
            </w:pPr>
            <w:r>
              <w:rPr>
                <w:rFonts w:ascii="Arial" w:cs="Arial" w:eastAsia="Arial" w:hAnsi="Arial"/>
                <w:b/>
                <w:bCs/>
                <w:color w:val="ffc000"/>
                <w:sz w:val="18"/>
                <w:szCs w:val="18"/>
              </w:rPr>
              <w:t>⚠  SEVERITY
</w:t>
            </w:r>
            <w:r>
              <w:rPr>
                <w:rFonts w:ascii="Arial" w:cs="Arial" w:eastAsia="Arial" w:hAnsi="Arial"/>
                <w:b/>
                <w:bCs/>
                <w:color w:val="ffc000"/>
                <w:sz w:val="28"/>
                <w:szCs w:val="28"/>
              </w:rPr>
              <w:t>LOW</w:t>
            </w:r>
          </w:p>
        </w:tc>
      </w:tr>
    </w:tbl>
    <w:p w14:paraId="000000AE"/>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9360"/>
      </w:tblGrid>
      <w:tr>
        <w:trPr/>
        <w:tc>
          <w:tcPr>
            <w:cnfStyle w:val="100010000000"/>
            <w:tcW w:w="9360" w:type="dxa"/>
            <w:tcBorders>
              <w:top w:val="single" w:color="cccccc" w:sz="1" w:space="0"/>
              <w:left w:val="single" w:color="cccccc" w:sz="1" w:space="0"/>
              <w:bottom w:val="single" w:color="cccccc" w:sz="1" w:space="0"/>
              <w:right w:val="single" w:color="cccccc" w:sz="1" w:space="0"/>
            </w:tcBorders>
            <w:shd w:val="clear" w:fill="f2f2f2"/>
            <w:tcMar>
              <w:top w:w="100" w:type="dxa"/>
              <w:left w:w="160" w:type="dxa"/>
              <w:bottom w:w="100" w:type="dxa"/>
              <w:right w:w="160" w:type="dxa"/>
            </w:tcMar>
          </w:tcPr>
          <w:p w14:paraId="000000AF">
            <w:r>
              <w:rPr>
                <w:rFonts w:ascii="Arial" w:cs="Arial" w:eastAsia="Arial" w:hAnsi="Arial"/>
                <w:b/>
                <w:bCs/>
                <w:color w:val="1f3864"/>
                <w:sz w:val="20"/>
                <w:szCs w:val="20"/>
              </w:rPr>
              <w:t>📋  Finding</w:t>
            </w:r>
          </w:p>
          <w:p w14:paraId="000000B0">
            <w:pPr>
              <w:spacing w:before="40" w:beforeAutospacing="0" w:after="60" w:afterAutospacing="0"/>
              <w:rPr/>
            </w:pPr>
            <w:r>
              <w:rPr>
                <w:rFonts w:ascii="Arial" w:cs="Arial" w:eastAsia="Arial" w:hAnsi="Arial"/>
                <w:sz w:val="20"/>
                <w:szCs w:val="20"/>
              </w:rPr>
              <w:t>The ReqRes /api/login endpoint returns an authentication token (e.g., QpwL5tpe83ilfN2) upon successful login. However, the API documentation and response body provide no information about: (1) token expiry time (exp claim); (2) token invalidation mechanism; (3) refresh token support; (4) token format (opaque string, not JWT). Tokens that never expire or have very long lifetimes significantly extend the attack window if a token is compromised.</w:t>
            </w:r>
          </w:p>
          <w:p w14:paraId="000000B1">
            <w:r>
              <w:rPr>
                <w:rFonts w:ascii="Arial" w:cs="Arial" w:eastAsia="Arial" w:hAnsi="Arial"/>
                <w:b/>
                <w:bCs/>
                <w:color w:val="c00000"/>
                <w:sz w:val="20"/>
                <w:szCs w:val="20"/>
              </w:rPr>
              <w:t>⚡  Business Impact</w:t>
            </w:r>
          </w:p>
          <w:p w14:paraId="000000B2">
            <w:pPr>
              <w:spacing w:before="40" w:beforeAutospacing="0" w:after="60" w:afterAutospacing="0"/>
              <w:rPr/>
            </w:pPr>
            <w:r>
              <w:rPr>
                <w:rFonts w:ascii="Arial" w:cs="Arial" w:eastAsia="Arial" w:hAnsi="Arial"/>
                <w:sz w:val="20"/>
                <w:szCs w:val="20"/>
              </w:rPr>
              <w:t>Long-lived or non-expiring tokens present an elevated risk in cases of: token leakage via logs or error messages, insider threats who retain access after leaving an organization, and compromised client devices. A stolen non-expiring token grants permanent API access with no time limit for the attacker.</w:t>
            </w:r>
          </w:p>
          <w:p w14:paraId="000000B3">
            <w:r>
              <w:rPr>
                <w:rFonts w:ascii="Arial" w:cs="Arial" w:eastAsia="Arial" w:hAnsi="Arial"/>
                <w:b/>
                <w:bCs/>
                <w:color w:val="375623"/>
                <w:sz w:val="20"/>
                <w:szCs w:val="20"/>
              </w:rPr>
              <w:t>✅  Remediation</w:t>
            </w:r>
          </w:p>
          <w:p w14:paraId="000000B4">
            <w:pPr>
              <w:spacing w:before="40" w:beforeAutospacing="0" w:after="40" w:afterAutospacing="0"/>
              <w:rPr/>
            </w:pPr>
            <w:r>
              <w:rPr>
                <w:rFonts w:ascii="Arial" w:cs="Arial" w:eastAsia="Arial" w:hAnsi="Arial"/>
                <w:sz w:val="20"/>
                <w:szCs w:val="20"/>
              </w:rPr>
              <w:t>Issue short-lived tokens (recommended: 15-60 minutes for access tokens). Implement a refresh token mechanism for seamless renewal. Use JWT format with explicit exp (expiry) and iat (issued-at) claims. Implement token revocation via a server-side blocklist or token versioning. Document token lifetime clearly in API documentation.</w:t>
            </w:r>
          </w:p>
        </w:tc>
      </w:tr>
    </w:tbl>
    <w:p w14:paraId="000000B5">
      <w:pPr>
        <w:spacing w:before="0" w:beforeAutospacing="0" w:after="100" w:afterAutospacing="0"/>
        <w:rPr/>
      </w:pPr>
    </w:p>
    <w:p w14:paraId="000000B6">
      <w:pPr>
        <w:spacing w:before="0" w:beforeAutospacing="0" w:after="100" w:afterAutospacing="0"/>
        <w:rPr/>
      </w:pPr>
    </w:p>
    <w:p w14:paraId="000000B7">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5. API Endpoint Inventory</w:t>
      </w:r>
    </w:p>
    <w:p w14:paraId="000000B8">
      <w:pPr>
        <w:spacing w:before="60" w:beforeAutospacing="0" w:after="60" w:afterAutospacing="0"/>
        <w:rPr/>
      </w:pPr>
      <w:r>
        <w:rPr>
          <w:rFonts w:ascii="Arial" w:cs="Arial" w:eastAsia="Arial" w:hAnsi="Arial"/>
          <w:sz w:val="22"/>
          <w:szCs w:val="22"/>
        </w:rPr>
        <w:t>The following endpoints were analyzed during the assessment:</w:t>
      </w:r>
    </w:p>
    <w:p w14:paraId="000000B9">
      <w:pPr>
        <w:spacing w:before="0" w:beforeAutospacing="0" w:after="100" w:afterAutospacing="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200"/>
        <w:gridCol w:w="1200"/>
        <w:gridCol w:w="1500"/>
        <w:gridCol w:w="1500"/>
        <w:gridCol w:w="1960"/>
      </w:tblGrid>
      <w:tr>
        <w:trPr/>
        <w:tc>
          <w:tcPr>
            <w:cnfStyle w:val="100010000000"/>
            <w:tcW w:w="3200" w:type="dxa"/>
            <w:tcBorders>
              <w:top w:val="single" w:color="cccccc" w:sz="1" w:space="0"/>
              <w:left w:val="single" w:color="cccccc" w:sz="1" w:space="0"/>
              <w:bottom w:val="single" w:color="cccccc" w:sz="1" w:space="0"/>
              <w:right w:val="single" w:color="cccccc" w:sz="1" w:space="0"/>
            </w:tcBorders>
            <w:shd w:val="clear" w:fill="1f3864"/>
            <w:tcMar>
              <w:top w:w="70" w:type="dxa"/>
              <w:left w:w="90" w:type="dxa"/>
              <w:bottom w:w="70" w:type="dxa"/>
              <w:right w:w="90" w:type="dxa"/>
            </w:tcMar>
          </w:tcPr>
          <w:p w14:paraId="000000BA">
            <w:r>
              <w:rPr>
                <w:rFonts w:ascii="Arial" w:cs="Arial" w:eastAsia="Arial" w:hAnsi="Arial"/>
                <w:b/>
                <w:bCs/>
                <w:color w:val="ffffff"/>
                <w:sz w:val="18"/>
                <w:szCs w:val="18"/>
              </w:rPr>
              <w:t>Endpoint</w:t>
            </w:r>
          </w:p>
        </w:tc>
        <w:tc>
          <w:tcPr>
            <w:cnfStyle w:val="100001000000"/>
            <w:tcW w:w="1200" w:type="dxa"/>
            <w:tcBorders>
              <w:top w:val="single" w:color="cccccc" w:sz="1" w:space="0"/>
              <w:left w:val="single" w:color="cccccc" w:sz="1" w:space="0"/>
              <w:bottom w:val="single" w:color="cccccc" w:sz="1" w:space="0"/>
              <w:right w:val="single" w:color="cccccc" w:sz="1" w:space="0"/>
            </w:tcBorders>
            <w:shd w:val="clear" w:fill="1f3864"/>
            <w:tcMar>
              <w:top w:w="70" w:type="dxa"/>
              <w:left w:w="90" w:type="dxa"/>
              <w:bottom w:w="70" w:type="dxa"/>
              <w:right w:w="90" w:type="dxa"/>
            </w:tcMar>
          </w:tcPr>
          <w:p w14:paraId="000000BB">
            <w:r>
              <w:rPr>
                <w:rFonts w:ascii="Arial" w:cs="Arial" w:eastAsia="Arial" w:hAnsi="Arial"/>
                <w:b/>
                <w:bCs/>
                <w:color w:val="ffffff"/>
                <w:sz w:val="18"/>
                <w:szCs w:val="18"/>
              </w:rPr>
              <w:t>Method</w:t>
            </w:r>
          </w:p>
        </w:tc>
        <w:tc>
          <w:tcPr>
            <w:cnfStyle w:val="100010000000"/>
            <w:tcW w:w="1500" w:type="dxa"/>
            <w:tcBorders>
              <w:top w:val="single" w:color="cccccc" w:sz="1" w:space="0"/>
              <w:left w:val="single" w:color="cccccc" w:sz="1" w:space="0"/>
              <w:bottom w:val="single" w:color="cccccc" w:sz="1" w:space="0"/>
              <w:right w:val="single" w:color="cccccc" w:sz="1" w:space="0"/>
            </w:tcBorders>
            <w:shd w:val="clear" w:fill="1f3864"/>
            <w:tcMar>
              <w:top w:w="70" w:type="dxa"/>
              <w:left w:w="90" w:type="dxa"/>
              <w:bottom w:w="70" w:type="dxa"/>
              <w:right w:w="90" w:type="dxa"/>
            </w:tcMar>
          </w:tcPr>
          <w:p w14:paraId="000000BC">
            <w:r>
              <w:rPr>
                <w:rFonts w:ascii="Arial" w:cs="Arial" w:eastAsia="Arial" w:hAnsi="Arial"/>
                <w:b/>
                <w:bCs/>
                <w:color w:val="ffffff"/>
                <w:sz w:val="18"/>
                <w:szCs w:val="18"/>
              </w:rPr>
              <w:t>Auth Required</w:t>
            </w:r>
          </w:p>
        </w:tc>
        <w:tc>
          <w:tcPr>
            <w:cnfStyle w:val="100001000000"/>
            <w:tcW w:w="1500" w:type="dxa"/>
            <w:tcBorders>
              <w:top w:val="single" w:color="cccccc" w:sz="1" w:space="0"/>
              <w:left w:val="single" w:color="cccccc" w:sz="1" w:space="0"/>
              <w:bottom w:val="single" w:color="cccccc" w:sz="1" w:space="0"/>
              <w:right w:val="single" w:color="cccccc" w:sz="1" w:space="0"/>
            </w:tcBorders>
            <w:shd w:val="clear" w:fill="1f3864"/>
            <w:tcMar>
              <w:top w:w="70" w:type="dxa"/>
              <w:left w:w="90" w:type="dxa"/>
              <w:bottom w:w="70" w:type="dxa"/>
              <w:right w:w="90" w:type="dxa"/>
            </w:tcMar>
          </w:tcPr>
          <w:p w14:paraId="000000BD">
            <w:r>
              <w:rPr>
                <w:rFonts w:ascii="Arial" w:cs="Arial" w:eastAsia="Arial" w:hAnsi="Arial"/>
                <w:b/>
                <w:bCs/>
                <w:color w:val="ffffff"/>
                <w:sz w:val="18"/>
                <w:szCs w:val="18"/>
              </w:rPr>
              <w:t>Status Code</w:t>
            </w:r>
          </w:p>
        </w:tc>
        <w:tc>
          <w:tcPr>
            <w:cnfStyle w:val="100010000000"/>
            <w:tcW w:w="1960" w:type="dxa"/>
            <w:tcBorders>
              <w:top w:val="single" w:color="cccccc" w:sz="1" w:space="0"/>
              <w:left w:val="single" w:color="cccccc" w:sz="1" w:space="0"/>
              <w:bottom w:val="single" w:color="cccccc" w:sz="1" w:space="0"/>
              <w:right w:val="single" w:color="cccccc" w:sz="1" w:space="0"/>
            </w:tcBorders>
            <w:shd w:val="clear" w:fill="1f3864"/>
            <w:tcMar>
              <w:top w:w="70" w:type="dxa"/>
              <w:left w:w="90" w:type="dxa"/>
              <w:bottom w:w="70" w:type="dxa"/>
              <w:right w:w="90" w:type="dxa"/>
            </w:tcMar>
          </w:tcPr>
          <w:p w14:paraId="000000BE">
            <w:r>
              <w:rPr>
                <w:rFonts w:ascii="Arial" w:cs="Arial" w:eastAsia="Arial" w:hAnsi="Arial"/>
                <w:b/>
                <w:bCs/>
                <w:color w:val="ffffff"/>
                <w:sz w:val="18"/>
                <w:szCs w:val="18"/>
              </w:rPr>
              <w:t>Risk</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BF">
            <w:r>
              <w:rPr>
                <w:rFonts w:ascii="Courier New" w:cs="Courier New" w:eastAsia="Courier New" w:hAnsi="Courier New"/>
                <w:sz w:val="18"/>
                <w:szCs w:val="18"/>
              </w:rPr>
              <w:t>/users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C0">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C1">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C2">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C3">
            <w:pPr>
              <w:jc w:val="center"/>
              <w:rPr/>
            </w:pPr>
            <w:r>
              <w:rPr>
                <w:rFonts w:ascii="Arial" w:cs="Arial" w:eastAsia="Arial" w:hAnsi="Arial"/>
                <w:b/>
                <w:bCs/>
                <w:color w:val="c00000"/>
                <w:sz w:val="18"/>
                <w:szCs w:val="18"/>
              </w:rPr>
              <w:t>HIGH</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C4">
            <w:r>
              <w:rPr>
                <w:rFonts w:ascii="Courier New" w:cs="Courier New" w:eastAsia="Courier New" w:hAnsi="Courier New"/>
                <w:sz w:val="18"/>
                <w:szCs w:val="18"/>
              </w:rPr>
              <w:t>/users/:id</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C5">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C6">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C7">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C8">
            <w:pPr>
              <w:jc w:val="center"/>
              <w:rPr/>
            </w:pPr>
            <w:r>
              <w:rPr>
                <w:rFonts w:ascii="Arial" w:cs="Arial" w:eastAsia="Arial" w:hAnsi="Arial"/>
                <w:b/>
                <w:bCs/>
                <w:color w:val="c00000"/>
                <w:sz w:val="18"/>
                <w:szCs w:val="18"/>
              </w:rPr>
              <w:t>HIGH</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C9">
            <w:r>
              <w:rPr>
                <w:rFonts w:ascii="Courier New" w:cs="Courier New" w:eastAsia="Courier New" w:hAnsi="Courier New"/>
                <w:sz w:val="18"/>
                <w:szCs w:val="18"/>
              </w:rPr>
              <w:t>/posts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CA">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CB">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CC">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f0e0"/>
            <w:tcMar>
              <w:top w:w="70" w:type="dxa"/>
              <w:left w:w="90" w:type="dxa"/>
              <w:bottom w:w="70" w:type="dxa"/>
              <w:right w:w="90" w:type="dxa"/>
            </w:tcMar>
          </w:tcPr>
          <w:p w14:paraId="000000CD">
            <w:pPr>
              <w:jc w:val="center"/>
              <w:rPr/>
            </w:pPr>
            <w:r>
              <w:rPr>
                <w:rFonts w:ascii="Arial" w:cs="Arial" w:eastAsia="Arial" w:hAnsi="Arial"/>
                <w:b/>
                <w:bCs/>
                <w:color w:val="e36c09"/>
                <w:sz w:val="18"/>
                <w:szCs w:val="18"/>
              </w:rPr>
              <w:t>MEDIUM</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CE">
            <w:r>
              <w:rPr>
                <w:rFonts w:ascii="Courier New" w:cs="Courier New" w:eastAsia="Courier New" w:hAnsi="Courier New"/>
                <w:sz w:val="18"/>
                <w:szCs w:val="18"/>
              </w:rPr>
              <w:t>/posts/:id</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CF">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D0">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D1">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f0e0"/>
            <w:tcMar>
              <w:top w:w="70" w:type="dxa"/>
              <w:left w:w="90" w:type="dxa"/>
              <w:bottom w:w="70" w:type="dxa"/>
              <w:right w:w="90" w:type="dxa"/>
            </w:tcMar>
          </w:tcPr>
          <w:p w14:paraId="000000D2">
            <w:pPr>
              <w:jc w:val="center"/>
              <w:rPr/>
            </w:pPr>
            <w:r>
              <w:rPr>
                <w:rFonts w:ascii="Arial" w:cs="Arial" w:eastAsia="Arial" w:hAnsi="Arial"/>
                <w:b/>
                <w:bCs/>
                <w:color w:val="e36c09"/>
                <w:sz w:val="18"/>
                <w:szCs w:val="18"/>
              </w:rPr>
              <w:t>MEDIUM</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D3">
            <w:r>
              <w:rPr>
                <w:rFonts w:ascii="Courier New" w:cs="Courier New" w:eastAsia="Courier New" w:hAnsi="Courier New"/>
                <w:sz w:val="18"/>
                <w:szCs w:val="18"/>
              </w:rPr>
              <w:t>/comments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D4">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D5">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D6">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f0e0"/>
            <w:tcMar>
              <w:top w:w="70" w:type="dxa"/>
              <w:left w:w="90" w:type="dxa"/>
              <w:bottom w:w="70" w:type="dxa"/>
              <w:right w:w="90" w:type="dxa"/>
            </w:tcMar>
          </w:tcPr>
          <w:p w14:paraId="000000D7">
            <w:pPr>
              <w:jc w:val="center"/>
              <w:rPr/>
            </w:pPr>
            <w:r>
              <w:rPr>
                <w:rFonts w:ascii="Arial" w:cs="Arial" w:eastAsia="Arial" w:hAnsi="Arial"/>
                <w:b/>
                <w:bCs/>
                <w:color w:val="e36c09"/>
                <w:sz w:val="18"/>
                <w:szCs w:val="18"/>
              </w:rPr>
              <w:t>MEDIUM</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D8">
            <w:r>
              <w:rPr>
                <w:rFonts w:ascii="Courier New" w:cs="Courier New" w:eastAsia="Courier New" w:hAnsi="Courier New"/>
                <w:sz w:val="18"/>
                <w:szCs w:val="18"/>
              </w:rPr>
              <w:t>/todos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D9">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DA">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DB">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ff2cc"/>
            <w:tcMar>
              <w:top w:w="70" w:type="dxa"/>
              <w:left w:w="90" w:type="dxa"/>
              <w:bottom w:w="70" w:type="dxa"/>
              <w:right w:w="90" w:type="dxa"/>
            </w:tcMar>
          </w:tcPr>
          <w:p w14:paraId="000000DC">
            <w:pPr>
              <w:jc w:val="center"/>
              <w:rPr/>
            </w:pPr>
            <w:r>
              <w:rPr>
                <w:rFonts w:ascii="Arial" w:cs="Arial" w:eastAsia="Arial" w:hAnsi="Arial"/>
                <w:b/>
                <w:bCs/>
                <w:color w:val="ffc000"/>
                <w:sz w:val="18"/>
                <w:szCs w:val="18"/>
              </w:rPr>
              <w:t>LOW</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DD">
            <w:r>
              <w:rPr>
                <w:rFonts w:ascii="Courier New" w:cs="Courier New" w:eastAsia="Courier New" w:hAnsi="Courier New"/>
                <w:sz w:val="18"/>
                <w:szCs w:val="18"/>
              </w:rPr>
              <w:t>/photos (5000 items)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DE">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DF">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E0">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f0e0"/>
            <w:tcMar>
              <w:top w:w="70" w:type="dxa"/>
              <w:left w:w="90" w:type="dxa"/>
              <w:bottom w:w="70" w:type="dxa"/>
              <w:right w:w="90" w:type="dxa"/>
            </w:tcMar>
          </w:tcPr>
          <w:p w14:paraId="000000E1">
            <w:pPr>
              <w:jc w:val="center"/>
              <w:rPr/>
            </w:pPr>
            <w:r>
              <w:rPr>
                <w:rFonts w:ascii="Arial" w:cs="Arial" w:eastAsia="Arial" w:hAnsi="Arial"/>
                <w:b/>
                <w:bCs/>
                <w:color w:val="e36c09"/>
                <w:sz w:val="18"/>
                <w:szCs w:val="18"/>
              </w:rPr>
              <w:t>MEDIUM</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E2">
            <w:r>
              <w:rPr>
                <w:rFonts w:ascii="Courier New" w:cs="Courier New" w:eastAsia="Courier New" w:hAnsi="Courier New"/>
                <w:sz w:val="18"/>
                <w:szCs w:val="18"/>
              </w:rPr>
              <w:t>/api/users (ReqRes)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E3">
            <w:pPr>
              <w:jc w:val="center"/>
              <w:rPr/>
            </w:pPr>
            <w:r>
              <w:rPr>
                <w:rFonts w:ascii="Arial" w:cs="Arial" w:eastAsia="Arial" w:hAnsi="Arial"/>
                <w:b/>
                <w:bCs/>
                <w:color w:val="2e75b6"/>
                <w:sz w:val="18"/>
                <w:szCs w:val="18"/>
              </w:rPr>
              <w:t>GET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E4">
            <w:pPr>
              <w:jc w:val="center"/>
              <w:rPr/>
            </w:pPr>
            <w:r>
              <w:rPr>
                <w:rFonts w:ascii="Arial" w:cs="Arial" w:eastAsia="Arial" w:hAnsi="Arial"/>
                <w:color w:val="c00000"/>
                <w:sz w:val="18"/>
                <w:szCs w:val="18"/>
              </w:rPr>
              <w:t>None</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E5">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ce4d6"/>
            <w:tcMar>
              <w:top w:w="70" w:type="dxa"/>
              <w:left w:w="90" w:type="dxa"/>
              <w:bottom w:w="70" w:type="dxa"/>
              <w:right w:w="90" w:type="dxa"/>
            </w:tcMar>
          </w:tcPr>
          <w:p w14:paraId="000000E6">
            <w:pPr>
              <w:jc w:val="center"/>
              <w:rPr/>
            </w:pPr>
            <w:r>
              <w:rPr>
                <w:rFonts w:ascii="Arial" w:cs="Arial" w:eastAsia="Arial" w:hAnsi="Arial"/>
                <w:b/>
                <w:bCs/>
                <w:color w:val="c00000"/>
                <w:sz w:val="18"/>
                <w:szCs w:val="18"/>
              </w:rPr>
              <w:t>HIGH</w:t>
            </w:r>
          </w:p>
        </w:tc>
      </w:tr>
      <w:tr>
        <w:trPr/>
        <w:tc>
          <w:tcPr>
            <w:cnfStyle w:val="000010000000"/>
            <w:tcW w:w="3200" w:type="dxa"/>
            <w:tcBorders>
              <w:top w:val="single" w:color="cccccc" w:sz="1" w:space="0"/>
              <w:left w:val="single" w:color="cccccc" w:sz="1" w:space="0"/>
              <w:bottom w:val="single" w:color="cccccc" w:sz="1" w:space="0"/>
              <w:right w:val="single" w:color="cccccc" w:sz="1" w:space="0"/>
            </w:tcBorders>
            <w:tcMar>
              <w:top w:w="70" w:type="dxa"/>
              <w:left w:w="90" w:type="dxa"/>
              <w:bottom w:w="70" w:type="dxa"/>
              <w:right w:w="90" w:type="dxa"/>
            </w:tcMar>
          </w:tcPr>
          <w:p w14:paraId="000000E7">
            <w:r>
              <w:rPr>
                <w:rFonts w:ascii="Courier New" w:cs="Courier New" w:eastAsia="Courier New" w:hAnsi="Courier New"/>
                <w:sz w:val="18"/>
                <w:szCs w:val="18"/>
              </w:rPr>
              <w:t>/api/login (ReqRes)</w:t>
            </w:r>
          </w:p>
        </w:tc>
        <w:tc>
          <w:tcPr>
            <w:cnfStyle w:val="000001000000"/>
            <w:tcW w:w="1200" w:type="dxa"/>
            <w:tcBorders>
              <w:top w:val="single" w:color="cccccc" w:sz="1" w:space="0"/>
              <w:left w:val="single" w:color="cccccc" w:sz="1" w:space="0"/>
              <w:bottom w:val="single" w:color="cccccc" w:sz="1" w:space="0"/>
              <w:right w:val="single" w:color="cccccc" w:sz="1" w:space="0"/>
            </w:tcBorders>
            <w:shd w:val="clear" w:fill="d5e8f0"/>
            <w:tcMar>
              <w:top w:w="70" w:type="dxa"/>
              <w:left w:w="90" w:type="dxa"/>
              <w:bottom w:w="70" w:type="dxa"/>
              <w:right w:w="90" w:type="dxa"/>
            </w:tcMar>
          </w:tcPr>
          <w:p w14:paraId="000000E8">
            <w:pPr>
              <w:jc w:val="center"/>
              <w:rPr/>
            </w:pPr>
            <w:r>
              <w:rPr>
                <w:rFonts w:ascii="Arial" w:cs="Arial" w:eastAsia="Arial" w:hAnsi="Arial"/>
                <w:b/>
                <w:bCs/>
                <w:color w:val="2e75b6"/>
                <w:sz w:val="18"/>
                <w:szCs w:val="18"/>
              </w:rPr>
              <w:t>POST</w:t>
            </w:r>
          </w:p>
        </w:tc>
        <w:tc>
          <w:tcPr>
            <w:cnfStyle w:val="000010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E9">
            <w:pPr>
              <w:jc w:val="center"/>
              <w:rPr/>
            </w:pPr>
            <w:r>
              <w:rPr>
                <w:rFonts w:ascii="Arial" w:cs="Arial" w:eastAsia="Arial" w:hAnsi="Arial"/>
                <w:color w:val="375623"/>
                <w:sz w:val="18"/>
                <w:szCs w:val="18"/>
              </w:rPr>
              <w:t>Body</w:t>
            </w:r>
          </w:p>
        </w:tc>
        <w:tc>
          <w:tcPr>
            <w:cnfStyle w:val="000001000000"/>
            <w:tcW w:w="1500" w:type="dxa"/>
            <w:tcBorders>
              <w:top w:val="single" w:color="cccccc" w:sz="1" w:space="0"/>
              <w:left w:val="single" w:color="cccccc" w:sz="1" w:space="0"/>
              <w:bottom w:val="single" w:color="cccccc" w:sz="1" w:space="0"/>
              <w:right w:val="single" w:color="cccccc" w:sz="1" w:space="0"/>
            </w:tcBorders>
            <w:shd w:val="clear" w:fill="e2efda"/>
            <w:tcMar>
              <w:top w:w="70" w:type="dxa"/>
              <w:left w:w="90" w:type="dxa"/>
              <w:bottom w:w="70" w:type="dxa"/>
              <w:right w:w="90" w:type="dxa"/>
            </w:tcMar>
          </w:tcPr>
          <w:p w14:paraId="000000EA">
            <w:r>
              <w:rPr>
                <w:rFonts w:ascii="Arial" w:cs="Arial" w:eastAsia="Arial" w:hAnsi="Arial"/>
                <w:color w:val="375623"/>
                <w:sz w:val="18"/>
                <w:szCs w:val="18"/>
              </w:rPr>
              <w:t>200 OK</w:t>
            </w:r>
          </w:p>
        </w:tc>
        <w:tc>
          <w:tcPr>
            <w:cnfStyle w:val="000010000000"/>
            <w:tcW w:w="1960" w:type="dxa"/>
            <w:tcBorders>
              <w:top w:val="single" w:color="cccccc" w:sz="1" w:space="0"/>
              <w:left w:val="single" w:color="cccccc" w:sz="1" w:space="0"/>
              <w:bottom w:val="single" w:color="cccccc" w:sz="1" w:space="0"/>
              <w:right w:val="single" w:color="cccccc" w:sz="1" w:space="0"/>
            </w:tcBorders>
            <w:shd w:val="clear" w:fill="fff2cc"/>
            <w:tcMar>
              <w:top w:w="70" w:type="dxa"/>
              <w:left w:w="90" w:type="dxa"/>
              <w:bottom w:w="70" w:type="dxa"/>
              <w:right w:w="90" w:type="dxa"/>
            </w:tcMar>
          </w:tcPr>
          <w:p w14:paraId="000000EB">
            <w:pPr>
              <w:jc w:val="center"/>
              <w:rPr/>
            </w:pPr>
            <w:r>
              <w:rPr>
                <w:rFonts w:ascii="Arial" w:cs="Arial" w:eastAsia="Arial" w:hAnsi="Arial"/>
                <w:b/>
                <w:bCs/>
                <w:color w:val="ffc000"/>
                <w:sz w:val="18"/>
                <w:szCs w:val="18"/>
              </w:rPr>
              <w:t>LOW</w:t>
            </w:r>
          </w:p>
        </w:tc>
      </w:tr>
    </w:tbl>
    <w:p w14:paraId="000000EC">
      <w:pPr>
        <w:spacing w:before="0" w:beforeAutospacing="0" w:after="200" w:afterAutospacing="0"/>
        <w:rPr/>
      </w:pPr>
    </w:p>
    <w:p w14:paraId="000000ED">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5.1 Evidence — Postman API Test Screenshots</w:t>
      </w:r>
    </w:p>
    <w:p w14:paraId="000000EE">
      <w:pPr>
        <w:spacing w:before="60" w:beforeAutospacing="0" w:after="60" w:afterAutospacing="0"/>
        <w:rPr/>
      </w:pPr>
      <w:r>
        <w:rPr>
          <w:rFonts w:ascii="Arial" w:cs="Arial" w:eastAsia="Arial" w:hAnsi="Arial"/>
          <w:sz w:val="22"/>
          <w:szCs w:val="22"/>
        </w:rPr>
        <w:t>The following screenshots were captured during live API testing:</w:t>
      </w:r>
    </w:p>
    <w:p w14:paraId="000000EF">
      <w:pPr>
        <w:spacing w:before="0" w:beforeAutospacing="0" w:after="100" w:afterAutospacing="0"/>
        <w:rPr/>
      </w:pPr>
    </w:p>
    <w:p w14:paraId="000000F0">
      <w:pPr>
        <w:spacing w:before="60" w:beforeAutospacing="0" w:after="60" w:afterAutospacing="0"/>
        <w:rPr/>
      </w:pPr>
      <w:r>
        <w:rPr>
          <w:rFonts w:ascii="Arial" w:cs="Arial" w:eastAsia="Arial" w:hAnsi="Arial"/>
          <w:b/>
          <w:bCs/>
          <w:color w:val="1f3864"/>
          <w:sz w:val="22"/>
          <w:szCs w:val="22"/>
        </w:rPr>
        <w:t>Figure 1: JSONPlaceholder Homepage — Confirms public API, no auth required</w:t>
      </w:r>
    </w:p>
    <w:p w14:paraId="000000F1">
      <w:pPr>
        <w:spacing w:before="60" w:beforeAutospacing="0" w:after="60" w:afterAutospacing="0"/>
        <w:rPr/>
      </w:pPr>
      <w:r>
        <w:rPr/>
        <w:drawing xmlns:mc="http://schemas.openxmlformats.org/markup-compatibility/2006">
          <wp:inline distT="0" distB="0" distL="0" distR="0">
            <wp:extent cx="600075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2"/>
                    <a:srcRect/>
                    <a:stretch>
                      <a:fillRect/>
                    </a:stretch>
                  </pic:blipFill>
                  <pic:spPr>
                    <a:xfrm>
                      <a:off x="0" y="0"/>
                      <a:ext cx="6000750" cy="1714500"/>
                    </a:xfrm>
                    <a:prstGeom prst="rect">
                      <a:avLst/>
                    </a:prstGeom>
                  </pic:spPr>
                </pic:pic>
              </a:graphicData>
            </a:graphic>
          </wp:inline>
        </w:drawing>
      </w:r>
    </w:p>
    <w:p w14:paraId="000000F2">
      <w:pPr>
        <w:spacing w:before="0" w:beforeAutospacing="0" w:after="100" w:afterAutospacing="0"/>
        <w:rPr/>
      </w:pPr>
    </w:p>
    <w:p w14:paraId="000000F3">
      <w:pPr>
        <w:spacing w:before="60" w:beforeAutospacing="0" w:after="60" w:afterAutospacing="0"/>
        <w:rPr/>
      </w:pPr>
      <w:r>
        <w:rPr>
          <w:rFonts w:ascii="Arial" w:cs="Arial" w:eastAsia="Arial" w:hAnsi="Arial"/>
          <w:b/>
          <w:bCs/>
          <w:color w:val="1f3864"/>
          <w:sz w:val="22"/>
          <w:szCs w:val="22"/>
        </w:rPr>
        <w:t>Figure 2: GET /users — Full PII Exposure (confirms Risk-01 &amp; Risk-02)</w:t>
      </w:r>
    </w:p>
    <w:p w14:paraId="000000F4">
      <w:pPr>
        <w:spacing w:before="60" w:beforeAutospacing="0" w:after="60" w:afterAutospacing="0"/>
        <w:rPr/>
      </w:pPr>
      <w:r>
        <w:rPr/>
        <w:drawing xmlns:mc="http://schemas.openxmlformats.org/markup-compatibility/2006">
          <wp:inline distT="0" distB="0" distL="0" distR="0">
            <wp:extent cx="600075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3"/>
                    <a:srcRect/>
                    <a:stretch>
                      <a:fillRect/>
                    </a:stretch>
                  </pic:blipFill>
                  <pic:spPr>
                    <a:xfrm>
                      <a:off x="0" y="0"/>
                      <a:ext cx="6000750" cy="2095500"/>
                    </a:xfrm>
                    <a:prstGeom prst="rect">
                      <a:avLst/>
                    </a:prstGeom>
                  </pic:spPr>
                </pic:pic>
              </a:graphicData>
            </a:graphic>
          </wp:inline>
        </w:drawing>
      </w:r>
    </w:p>
    <w:p w14:paraId="000000F5">
      <w:pPr>
        <w:spacing w:before="0" w:beforeAutospacing="0" w:after="100" w:afterAutospacing="0"/>
        <w:rPr/>
      </w:pPr>
    </w:p>
    <w:p w14:paraId="000000F6">
      <w:pPr>
        <w:spacing w:before="60" w:beforeAutospacing="0" w:after="60" w:afterAutospacing="0"/>
        <w:rPr/>
      </w:pPr>
      <w:r>
        <w:rPr>
          <w:rFonts w:ascii="Arial" w:cs="Arial" w:eastAsia="Arial" w:hAnsi="Arial"/>
          <w:b/>
          <w:bCs/>
          <w:color w:val="1f3864"/>
          <w:sz w:val="22"/>
          <w:szCs w:val="22"/>
        </w:rPr>
        <w:t>Figure 3: GET /posts — Bulk unauthenticated data access, sequential IDs (confirms Risk-03 &amp; Risk-05)</w:t>
      </w:r>
    </w:p>
    <w:p w14:paraId="000000F7">
      <w:pPr>
        <w:spacing w:before="60" w:beforeAutospacing="0" w:after="60" w:afterAutospacing="0"/>
        <w:rPr/>
      </w:pPr>
      <w:r>
        <w:rPr/>
        <w:drawing xmlns:mc="http://schemas.openxmlformats.org/markup-compatibility/2006">
          <wp:inline distT="0" distB="0" distL="0" distR="0">
            <wp:extent cx="6000750" cy="2000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4"/>
                    <a:srcRect/>
                    <a:stretch>
                      <a:fillRect/>
                    </a:stretch>
                  </pic:blipFill>
                  <pic:spPr>
                    <a:xfrm>
                      <a:off x="0" y="0"/>
                      <a:ext cx="6000750" cy="2000250"/>
                    </a:xfrm>
                    <a:prstGeom prst="rect">
                      <a:avLst/>
                    </a:prstGeom>
                  </pic:spPr>
                </pic:pic>
              </a:graphicData>
            </a:graphic>
          </wp:inline>
        </w:drawing>
      </w:r>
    </w:p>
    <w:p w14:paraId="000000F8">
      <w:pPr>
        <w:spacing w:before="0" w:beforeAutospacing="0" w:after="200" w:afterAutospacing="0"/>
        <w:rPr/>
      </w:pPr>
    </w:p>
    <w:p w14:paraId="000000F9">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6. Recommendations</w:t>
      </w:r>
    </w:p>
    <w:p w14:paraId="000000FA">
      <w:pPr>
        <w:pStyle w:val="Heading2"/>
        <w:spacing w:before="220" w:beforeAutospacing="0" w:after="100" w:afterAutospacing="0"/>
        <w:rPr/>
      </w:pPr>
      <w:r>
        <w:rPr>
          <w:rFonts w:ascii="Arial" w:cs="Arial" w:eastAsia="Arial" w:hAnsi="Arial"/>
          <w:b/>
          <w:bCs/>
          <w:color w:val="2e75b6"/>
          <w:sz w:val="28"/>
          <w:szCs w:val="28"/>
        </w:rPr>
        <w:t>6.1 Immediate Actions (HIGH Priority)</w:t>
      </w:r>
    </w:p>
    <w:p w14:paraId="000000FB">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Implement authentication (JWT / OAuth 2.0) on all non-public endpoints immediately.</w:t>
      </w:r>
    </w:p>
    <w:p w14:paraId="000000FC">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Apply response field filtering — return only the minimum fields required by the client.</w:t>
      </w:r>
    </w:p>
    <w:p w14:paraId="000000FD">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Enable HTTPS enforcement and HSTS to eliminate plaintext API traffic.</w:t>
      </w:r>
    </w:p>
    <w:p w14:paraId="000000FE">
      <w:pPr>
        <w:spacing w:before="0" w:beforeAutospacing="0" w:after="100" w:afterAutospacing="0"/>
        <w:rPr/>
      </w:pPr>
    </w:p>
    <w:p w14:paraId="000000FF">
      <w:pPr>
        <w:pStyle w:val="Heading2"/>
        <w:spacing w:before="220" w:beforeAutospacing="0" w:after="100" w:afterAutospacing="0"/>
        <w:rPr/>
      </w:pPr>
      <w:r>
        <w:rPr>
          <w:rFonts w:ascii="Arial" w:cs="Arial" w:eastAsia="Arial" w:hAnsi="Arial"/>
          <w:b/>
          <w:bCs/>
          <w:color w:val="2e75b6"/>
          <w:sz w:val="28"/>
          <w:szCs w:val="28"/>
        </w:rPr>
        <w:t>6.2 Short-Term Actions (MEDIUM Priority — within 30 days)</w:t>
      </w:r>
    </w:p>
    <w:p w14:paraId="00000100">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Deploy API gateway rate limiting with HTTP 429 responses and Retry-After headers.</w:t>
      </w:r>
    </w:p>
    <w:p w14:paraId="00000101">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Add all required security response headers via server middleware.</w:t>
      </w:r>
    </w:p>
    <w:p w14:paraId="00000102">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Replace sequential integer IDs with UUIDs across all resources.</w:t>
      </w:r>
    </w:p>
    <w:p w14:paraId="00000103">
      <w:pPr>
        <w:spacing w:before="0" w:beforeAutospacing="0" w:after="100" w:afterAutospacing="0"/>
        <w:rPr/>
      </w:pPr>
    </w:p>
    <w:p w14:paraId="00000104">
      <w:pPr>
        <w:pStyle w:val="Heading2"/>
        <w:spacing w:before="220" w:beforeAutospacing="0" w:after="100" w:afterAutospacing="0"/>
        <w:rPr/>
      </w:pPr>
      <w:r>
        <w:rPr>
          <w:rFonts w:ascii="Arial" w:cs="Arial" w:eastAsia="Arial" w:hAnsi="Arial"/>
          <w:b/>
          <w:bCs/>
          <w:color w:val="2e75b6"/>
          <w:sz w:val="28"/>
          <w:szCs w:val="28"/>
        </w:rPr>
        <w:t>6.3 Long-Term Actions (LOW Priority — within 90 days)</w:t>
      </w:r>
    </w:p>
    <w:p w14:paraId="00000105">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Document token lifetime and implement refresh token rotation.</w:t>
      </w:r>
    </w:p>
    <w:p w14:paraId="00000106">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Establish an API security review process for every new endpoint deployment.</w:t>
      </w:r>
    </w:p>
    <w:p w14:paraId="00000107">
      <w:pPr>
        <w:pStyle w:val="ListParagraph"/>
        <w:numPr>
          <w:ilvl w:val="0"/>
          <w:numId w:val="2"/>
        </w:numPr>
        <w:spacing w:before="50" w:beforeAutospacing="0" w:after="50" w:afterAutospacing="0"/>
        <w:rPr/>
      </w:pPr>
      <w:r>
        <w:rPr>
          <w:rFonts w:ascii="Arial" w:cs="Arial" w:eastAsia="Arial" w:hAnsi="Arial"/>
          <w:b/>
          <w:bCs/>
          <w:color w:val="375623"/>
          <w:sz w:val="22"/>
          <w:szCs w:val="22"/>
        </w:rPr>
        <w:t xml:space="preserve">✔  </w:t>
      </w:r>
      <w:r>
        <w:rPr>
          <w:rFonts w:ascii="Arial" w:cs="Arial" w:eastAsia="Arial" w:hAnsi="Arial"/>
          <w:sz w:val="22"/>
          <w:szCs w:val="22"/>
        </w:rPr>
        <w:t>Implement API logging and anomaly detection for abuse pattern identification.</w:t>
      </w:r>
    </w:p>
    <w:p w14:paraId="00000108">
      <w:pPr>
        <w:spacing w:before="0" w:beforeAutospacing="0" w:after="200" w:afterAutospacing="0"/>
        <w:rPr/>
      </w:pPr>
    </w:p>
    <w:p w14:paraId="00000109">
      <w:pPr>
        <w:pStyle w:val="Heading1"/>
        <w:pBdr>
          <w:bottom w:val="single" w:color="2e75b6" w:sz="8" w:space="4"/>
        </w:pBdr>
        <w:spacing w:before="360" w:beforeAutospacing="0" w:after="160" w:afterAutospacing="0"/>
        <w:rPr/>
      </w:pPr>
      <w:r>
        <w:rPr>
          <w:rFonts w:ascii="Arial" w:cs="Arial" w:eastAsia="Arial" w:hAnsi="Arial"/>
          <w:b/>
          <w:bCs/>
          <w:color w:val="1f3864"/>
          <w:sz w:val="38"/>
          <w:szCs w:val="38"/>
        </w:rPr>
        <w:t>7. Conclusion</w:t>
      </w:r>
    </w:p>
    <w:p w14:paraId="0000010A">
      <w:pPr>
        <w:spacing w:before="60" w:beforeAutospacing="0" w:after="60" w:afterAutospacing="0"/>
        <w:rPr/>
      </w:pPr>
      <w:r>
        <w:rPr>
          <w:rFonts w:ascii="Arial" w:cs="Arial" w:eastAsia="Arial" w:hAnsi="Arial"/>
          <w:sz w:val="22"/>
          <w:szCs w:val="22"/>
        </w:rPr>
        <w:t>The API Security Risk Analysis of JSONPlaceholder and ReqRes identified 6 security risks — 2 of HIGH severity — that would represent critical vulnerabilities in any production environment. The most significant findings are the complete absence of authentication controls and the excessive exposure of Personally Identifiable Information in API responses.</w:t>
      </w:r>
    </w:p>
    <w:p w14:paraId="0000010B">
      <w:pPr>
        <w:spacing w:before="0" w:beforeAutospacing="0" w:after="100" w:afterAutospacing="0"/>
        <w:rPr/>
      </w:pPr>
    </w:p>
    <w:p w14:paraId="0000010C">
      <w:pPr>
        <w:spacing w:before="60" w:beforeAutospacing="0" w:after="60" w:afterAutospacing="0"/>
        <w:rPr/>
      </w:pPr>
      <w:r>
        <w:rPr>
          <w:rFonts w:ascii="Arial" w:cs="Arial" w:eastAsia="Arial" w:hAnsi="Arial"/>
          <w:sz w:val="22"/>
          <w:szCs w:val="22"/>
        </w:rPr>
        <w:t>While these APIs are intentionally open for testing and educational purposes, the patterns identified directly mirror the most common real-world API vulnerabilities found in SaaS and enterprise systems. The OWASP API Security Top 10 framework used in this analysis is the industry standard for API security assessments.</w:t>
      </w:r>
    </w:p>
    <w:p w14:paraId="0000010D">
      <w:pPr>
        <w:spacing w:before="0" w:beforeAutospacing="0" w:after="100" w:afterAutospacing="0"/>
        <w:rPr/>
      </w:pPr>
    </w:p>
    <w:p w14:paraId="0000010E">
      <w:pPr>
        <w:spacing w:before="60" w:beforeAutospacing="0" w:after="60" w:afterAutospacing="0"/>
        <w:rPr/>
      </w:pPr>
      <w:r>
        <w:rPr>
          <w:rFonts w:ascii="Arial" w:cs="Arial" w:eastAsia="Arial" w:hAnsi="Arial"/>
          <w:sz w:val="22"/>
          <w:szCs w:val="22"/>
        </w:rPr>
        <w:t>Adopting the recommended remediations — particularly JWT authentication, response field filtering, rate limiting, and security headers — would bring these APIs to a baseline level of security compliance suitable for production deployment.</w:t>
      </w:r>
    </w:p>
    <w:p w14:paraId="0000010F">
      <w:pPr>
        <w:spacing w:before="0" w:beforeAutospacing="0" w:after="100" w:afterAutospacing="0"/>
        <w:rPr/>
      </w:pPr>
    </w:p>
    <w:p w14:paraId="00000110">
      <w:pPr>
        <w:pBdr>
          <w:top w:val="single" w:color="2e75b6" w:sz="6" w:space="4"/>
        </w:pBdr>
        <w:spacing w:before="120" w:beforeAutospacing="0" w:after="80" w:afterAutospacing="0"/>
        <w:rPr/>
      </w:pPr>
      <w:r>
        <w:rPr>
          <w:rFonts w:ascii="Arial" w:cs="Arial" w:eastAsia="Arial" w:hAnsi="Arial"/>
          <w:color w:val="595959"/>
          <w:sz w:val="20"/>
          <w:szCs w:val="20"/>
        </w:rPr>
        <w:t xml:space="preserve">Report prepared by: Omoding innocent </w:t>
      </w:r>
      <w:r>
        <w:rPr>
          <w:rFonts w:ascii="Arial" w:cs="Arial" w:eastAsia="Arial" w:hAnsi="Arial"/>
          <w:color w:val="595959"/>
          <w:sz w:val="20"/>
          <w:szCs w:val="20"/>
        </w:rPr>
        <w:t>|  Cybersecurity Intern — Future Interns  |  17 March 2026</w:t>
      </w:r>
    </w:p>
    <w:sectPr>
      <w:headerReference w:type="default" r:id="rId15"/>
      <w:pgSz w:w="12240" w:h="15840" w:orient="portrait"/>
      <w:pgMar w:top="1080" w:right="1080" w:bottom="1080" w:left="1080" w:header="708" w:footer="708"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p w14:paraId="00000111">
    <w:pPr>
      <w:pBdr>
        <w:bottom w:val="single" w:color="2e75b6" w:sz="6" w:space="1"/>
      </w:pBdr>
      <w:spacing w:beforeAutospacing="0" w:after="0" w:afterAutospacing="0"/>
      <w:rPr/>
    </w:pPr>
    <w:r>
      <w:rPr>
        <w:rFonts w:ascii="Arial" w:cs="Arial" w:eastAsia="Arial" w:hAnsi="Arial"/>
        <w:b/>
        <w:bCs/>
        <w:color w:val="1f3864"/>
        <w:sz w:val="18"/>
        <w:szCs w:val="18"/>
      </w:rPr>
      <w:t>API SECURITY RISK ANALYSIS REPORT</w:t>
    </w:r>
    <w:r>
      <w:rPr>
        <w:rFonts w:ascii="Arial" w:cs="Arial" w:eastAsia="Arial" w:hAnsi="Arial"/>
        <w:color w:val="595959"/>
        <w:sz w:val="18"/>
        <w:szCs w:val="18"/>
      </w:rPr>
      <w:t xml:space="preserve">  ·  Cybersecurity Task 3 — Future Interns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footnotePr>
    <w:footnote w:id="0"/>
    <w:footnote w:id="1"/>
  </w:foot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Arial" w:cs="Arial" w:eastAsia="Arial" w:hAnsi="Arial"/>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paragraph" w:styleId="Heading1">
    <w:name w:val="Heading 1"/>
    <w:basedOn w:val="Normal"/>
    <w:next w:val="Normal"/>
    <w:uiPriority w:val="99"/>
    <w:qFormat w:val="on"/>
    <w:pPr>
      <w:spacing w:before="360" w:beforeAutospacing="0" w:after="160" w:afterAutospacing="0"/>
    </w:pPr>
    <w:rPr>
      <w:rFonts w:ascii="Arial" w:cs="Arial" w:eastAsia="Arial" w:hAnsi="Arial"/>
      <w:b/>
      <w:bCs/>
      <w:color w:val="1f3864"/>
      <w:sz w:val="38"/>
      <w:szCs w:val="38"/>
    </w:rPr>
  </w:style>
  <w:style w:type="paragraph" w:styleId="Heading2">
    <w:name w:val="Heading 2"/>
    <w:basedOn w:val="Normal"/>
    <w:next w:val="Normal"/>
    <w:uiPriority w:val="99"/>
    <w:qFormat w:val="on"/>
    <w:pPr>
      <w:spacing w:before="220" w:beforeAutospacing="0" w:after="100" w:afterAutospacing="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ntTable" Target="fontTable.xml"/><Relationship Id="rId11"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1.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string for wordlibDefault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Omoding Innocent</cp:lastModifiedBy>
</cp:coreProperties>
</file>

<file path=docProps/custom.xml><?xml version="1.0" encoding="utf-8"?>
<Properties xmlns="http://schemas.openxmlformats.org/officeDocument/2006/custom-properties" xmlns:vt="http://schemas.openxmlformats.org/officeDocument/2006/docPropsVTypes"/>
</file>