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pPr>
      <w:r>
        <w:rPr>
          <w:b/>
          <w:color w:val="C9853B"/>
          <w:sz w:val="18"/>
        </w:rPr>
        <w:t>INVESTOR BRIEF  /  WORKING DRAFT</w:t>
      </w:r>
    </w:p>
    <w:p>
      <w:pPr>
        <w:pStyle w:val="Title"/>
        <w:spacing w:before="200"/>
      </w:pPr>
      <w:r>
        <w:t>Shalom</w:t>
      </w:r>
    </w:p>
    <w:p>
      <w:pPr>
        <w:spacing w:before="40" w:after="360"/>
      </w:pPr>
      <w:r>
        <w:rPr>
          <w:rFonts w:ascii="Liberation Sans" w:hAnsi="Liberation Sans"/>
          <w:color w:val="20312F"/>
          <w:sz w:val="32"/>
        </w:rPr>
        <w:t>Digital houses of fellowship for connected, resilient faith communities</w:t>
      </w:r>
    </w:p>
    <w:tbl>
      <w:tblPr>
        <w:tblW w:type="auto" w:w="0"/>
        <w:jc w:val="center"/>
        <w:tblLook w:firstColumn="1" w:firstRow="1" w:lastColumn="0" w:lastRow="0" w:noHBand="0" w:noVBand="1" w:val="04A0"/>
      </w:tblPr>
      <w:tblGrid>
        <w:gridCol w:w="9878"/>
      </w:tblGrid>
      <w:tr>
        <w:tc>
          <w:tcPr>
            <w:tcW w:type="dxa" w:w="9878"/>
            <w:shd w:fill="F8F3EA"/>
            <w:tcMar>
              <w:top w:w="150" w:type="dxa"/>
              <w:start w:w="180" w:type="dxa"/>
              <w:bottom w:w="150" w:type="dxa"/>
              <w:end w:w="180" w:type="dxa"/>
            </w:tcMar>
          </w:tcPr>
          <w:p>
            <w:pPr>
              <w:spacing w:after="60"/>
            </w:pPr>
            <w:r/>
            <w:r>
              <w:rPr>
                <w:b/>
                <w:color w:val="1F5145"/>
                <w:sz w:val="16"/>
              </w:rPr>
              <w:t>STAGE AND MARKET SEQUENCE</w:t>
            </w:r>
          </w:p>
          <w:p>
            <w:pPr>
              <w:spacing w:after="0" w:line="259" w:lineRule="auto"/>
            </w:pPr>
            <w:r>
              <w:t>Product features tested and working; commercial launch is pending. Planned sequence: Uganda, East Africa, the rest of Africa, then the rest of the world.</w:t>
            </w:r>
          </w:p>
        </w:tc>
      </w:tr>
    </w:tbl>
    <w:p>
      <w:pPr>
        <w:spacing w:before="480"/>
      </w:pPr>
      <w:r>
        <w:rPr>
          <w:color w:val="5B6B67"/>
          <w:sz w:val="20"/>
        </w:rPr>
        <w:t>Prepared for investor and strategic-partner discussions</w:t>
      </w:r>
    </w:p>
    <w:p>
      <w:r>
        <w:rPr>
          <w:color w:val="5B6B67"/>
          <w:sz w:val="18"/>
        </w:rPr>
        <w:t>Founder: Mwebaze Innocent  |  mwbzinno@gmail.com  |  +256 751 433 267</w:t>
      </w:r>
    </w:p>
    <w:p>
      <w:pPr>
        <w:spacing w:before="920"/>
      </w:pPr>
      <w:r>
        <w:rPr>
          <w:b/>
          <w:color w:val="1F5145"/>
          <w:sz w:val="16"/>
        </w:rPr>
        <w:t>DISCUSSION DRAFT  •  NOT AN OFFER OF SECURITIES</w:t>
      </w:r>
    </w:p>
    <w:p>
      <w:r>
        <w:br w:type="page"/>
      </w:r>
    </w:p>
    <w:p>
      <w:pPr>
        <w:pStyle w:val="Heading1"/>
      </w:pPr>
      <w:r>
        <w:t>Executive Summary</w:t>
      </w:r>
    </w:p>
    <w:p>
      <w:r>
        <w:t>Shalom is an early-stage mobile platform concept and product for faith communities. It brings together digital fellowship groups (“Houses”), community communication, prayer and testimony sharing, spiritual resources, member services, and tools intended to support more accountable giving. The goal is to help communities stay connected and coordinate support beyond in-person gatherings.</w:t>
      </w:r>
    </w:p>
    <w:p>
      <w:r>
        <w:t>The initial market is Uganda. Expansion is planned in stages—first East Africa, then the rest of Africa, and later other global markets—subject to evidence of product fit, operational readiness, partnerships, and sustainable economics. Shalom's product features have been tested and are working. A small tester group has used the product, registration is available, and commercial launch and paid subscriptions have not begun.</w:t>
      </w:r>
    </w:p>
    <w:tbl>
      <w:tblPr>
        <w:tblW w:type="auto" w:w="0"/>
        <w:jc w:val="center"/>
        <w:tblLook w:firstColumn="1" w:firstRow="1" w:lastColumn="0" w:lastRow="0" w:noHBand="0" w:noVBand="1" w:val="04A0"/>
      </w:tblPr>
      <w:tblGrid>
        <w:gridCol w:w="9878"/>
      </w:tblGrid>
      <w:tr>
        <w:tc>
          <w:tcPr>
            <w:tcW w:type="dxa" w:w="9878"/>
            <w:shd w:fill="EEF4F1"/>
            <w:tcMar>
              <w:top w:w="150" w:type="dxa"/>
              <w:start w:w="180" w:type="dxa"/>
              <w:bottom w:w="150" w:type="dxa"/>
              <w:end w:w="180" w:type="dxa"/>
            </w:tcMar>
          </w:tcPr>
          <w:p>
            <w:pPr>
              <w:spacing w:after="60"/>
            </w:pPr>
            <w:r/>
            <w:r>
              <w:rPr>
                <w:b/>
                <w:color w:val="1F5145"/>
                <w:sz w:val="16"/>
              </w:rPr>
              <w:t>INVESTOR CONTEXT</w:t>
            </w:r>
          </w:p>
          <w:p>
            <w:pPr>
              <w:spacing w:after="0" w:line="259" w:lineRule="auto"/>
            </w:pPr>
            <w:r>
              <w:t>The source pitch included revenue forecasts and a seed request. This brief does not repeat those figures because the underlying pricing, cost, adoption, and use-of-funds assumptions were not supplied. Raise size, valuation, terms, and runway remain to be established.</w:t>
            </w:r>
          </w:p>
        </w:tc>
      </w:tr>
    </w:tbl>
    <w:p>
      <w:pPr>
        <w:pStyle w:val="Heading1"/>
      </w:pPr>
      <w:r>
        <w:t>Mission, Vision, and Product</w:t>
      </w:r>
    </w:p>
    <w:p>
      <w:pPr>
        <w:pStyle w:val="Heading2"/>
      </w:pPr>
      <w:r>
        <w:t>Mission</w:t>
      </w:r>
    </w:p>
    <w:p>
      <w:r>
        <w:t>Empower churches and communities with modern tools for engagement and transparency.</w:t>
      </w:r>
    </w:p>
    <w:p>
      <w:pPr>
        <w:pStyle w:val="Heading2"/>
      </w:pPr>
      <w:r>
        <w:t>Vision</w:t>
      </w:r>
    </w:p>
    <w:p>
      <w:r>
        <w:t>Connect believers into digital Houses of fellowship, making prayer, testimonies, and giving seamless.</w:t>
      </w:r>
    </w:p>
    <w:p>
      <w:pPr>
        <w:pStyle w:val="Heading2"/>
      </w:pPr>
      <w:r>
        <w:t>Product proposition</w:t>
      </w:r>
    </w:p>
    <w:p>
      <w:r>
        <w:t>Shalom is designed to give each participating community a dedicated digital space for member updates, prayer requests, testimonies, events, and mutual support. The source presentation also describes moderation and administration tools, weekly sermons, a spiritual-resource library, a professional-services directory, and donation-related functionality. These features have been tested and are working. Shalom is not yet commercially launched.</w:t>
      </w:r>
    </w:p>
    <w:p>
      <w:pPr>
        <w:pStyle w:val="Heading1"/>
      </w:pPr>
      <w:r>
        <w:t>Problem and Response</w:t>
      </w:r>
    </w:p>
    <w:tbl>
      <w:tblPr>
        <w:tblW w:type="auto" w:w="0"/>
        <w:jc w:val="center"/>
        <w:tblLayout w:type="fixed"/>
        <w:tblLook w:firstColumn="1" w:firstRow="1" w:lastColumn="0" w:lastRow="0" w:noHBand="0" w:noVBand="1" w:val="04A0"/>
      </w:tblPr>
      <w:tblGrid>
        <w:gridCol w:w="4939"/>
        <w:gridCol w:w="4939"/>
      </w:tblGrid>
      <w:tr>
        <w:tc>
          <w:tcPr>
            <w:tcW w:type="dxa" w:w="4392"/>
            <w:shd w:fill="1F5145"/>
            <w:vAlign w:val="center"/>
            <w:tcMar>
              <w:top w:w="110" w:type="dxa"/>
              <w:start w:w="130" w:type="dxa"/>
              <w:bottom w:w="110" w:type="dxa"/>
              <w:end w:w="130" w:type="dxa"/>
            </w:tcMar>
          </w:tcPr>
          <w:p>
            <w:pPr>
              <w:spacing w:after="0"/>
            </w:pPr>
            <w:r/>
            <w:r>
              <w:rPr>
                <w:rFonts w:ascii="Liberation Sans" w:hAnsi="Liberation Sans"/>
                <w:b/>
                <w:color w:val="FFFFFF"/>
                <w:sz w:val="17"/>
              </w:rPr>
              <w:t>Community need described in the pitch</w:t>
            </w:r>
          </w:p>
        </w:tc>
        <w:tc>
          <w:tcPr>
            <w:tcW w:type="dxa" w:w="5256"/>
            <w:shd w:fill="1F5145"/>
            <w:vAlign w:val="center"/>
            <w:tcMar>
              <w:top w:w="110" w:type="dxa"/>
              <w:start w:w="130" w:type="dxa"/>
              <w:bottom w:w="110" w:type="dxa"/>
              <w:end w:w="130" w:type="dxa"/>
            </w:tcMar>
          </w:tcPr>
          <w:p>
            <w:pPr>
              <w:spacing w:after="0"/>
            </w:pPr>
            <w:r/>
            <w:r>
              <w:rPr>
                <w:rFonts w:ascii="Liberation Sans" w:hAnsi="Liberation Sans"/>
                <w:b/>
                <w:color w:val="FFFFFF"/>
                <w:sz w:val="17"/>
              </w:rPr>
              <w:t>Shalom response</w:t>
            </w:r>
          </w:p>
        </w:tc>
      </w:tr>
      <w:tr>
        <w:tc>
          <w:tcPr>
            <w:tcW w:type="dxa" w:w="4392"/>
            <w:shd w:fill="F5F7F5"/>
            <w:vAlign w:val="center"/>
            <w:tcMar>
              <w:top w:w="110" w:type="dxa"/>
              <w:start w:w="130" w:type="dxa"/>
              <w:bottom w:w="110" w:type="dxa"/>
              <w:end w:w="130" w:type="dxa"/>
            </w:tcMar>
          </w:tcPr>
          <w:p>
            <w:pPr>
              <w:spacing w:after="0"/>
            </w:pPr>
            <w:r/>
            <w:r>
              <w:rPr>
                <w:rFonts w:ascii="Liberation Sans" w:hAnsi="Liberation Sans"/>
                <w:b w:val="0"/>
                <w:color w:val="20312F"/>
                <w:sz w:val="17"/>
              </w:rPr>
              <w:t>Communication is fragmented across channels.</w:t>
            </w:r>
          </w:p>
        </w:tc>
        <w:tc>
          <w:tcPr>
            <w:tcW w:type="dxa" w:w="5256"/>
            <w:shd w:fill="F5F7F5"/>
            <w:vAlign w:val="center"/>
            <w:tcMar>
              <w:top w:w="110" w:type="dxa"/>
              <w:start w:w="130" w:type="dxa"/>
              <w:bottom w:w="110" w:type="dxa"/>
              <w:end w:w="130" w:type="dxa"/>
            </w:tcMar>
          </w:tcPr>
          <w:p>
            <w:pPr>
              <w:spacing w:after="0"/>
            </w:pPr>
            <w:r/>
            <w:r>
              <w:rPr>
                <w:rFonts w:ascii="Liberation Sans" w:hAnsi="Liberation Sans"/>
                <w:b w:val="0"/>
                <w:color w:val="20312F"/>
                <w:sz w:val="17"/>
              </w:rPr>
              <w:t>A shared community space for updates, coordination, and ongoing engagement.</w:t>
            </w:r>
          </w:p>
        </w:tc>
      </w:tr>
      <w:tr>
        <w:tc>
          <w:tcPr>
            <w:tcW w:type="dxa" w:w="4392"/>
            <w:vAlign w:val="center"/>
            <w:tcMar>
              <w:top w:w="110" w:type="dxa"/>
              <w:start w:w="130" w:type="dxa"/>
              <w:bottom w:w="110" w:type="dxa"/>
              <w:end w:w="130" w:type="dxa"/>
            </w:tcMar>
          </w:tcPr>
          <w:p>
            <w:pPr>
              <w:spacing w:after="0"/>
            </w:pPr>
            <w:r/>
            <w:r>
              <w:rPr>
                <w:rFonts w:ascii="Liberation Sans" w:hAnsi="Liberation Sans"/>
                <w:b w:val="0"/>
                <w:color w:val="20312F"/>
                <w:sz w:val="17"/>
              </w:rPr>
              <w:t>Participation often drops between weekly gatherings.</w:t>
            </w:r>
          </w:p>
        </w:tc>
        <w:tc>
          <w:tcPr>
            <w:tcW w:type="dxa" w:w="5256"/>
            <w:vAlign w:val="center"/>
            <w:tcMar>
              <w:top w:w="110" w:type="dxa"/>
              <w:start w:w="130" w:type="dxa"/>
              <w:bottom w:w="110" w:type="dxa"/>
              <w:end w:w="130" w:type="dxa"/>
            </w:tcMar>
          </w:tcPr>
          <w:p>
            <w:pPr>
              <w:spacing w:after="0"/>
            </w:pPr>
            <w:r/>
            <w:r>
              <w:rPr>
                <w:rFonts w:ascii="Liberation Sans" w:hAnsi="Liberation Sans"/>
                <w:b w:val="0"/>
                <w:color w:val="20312F"/>
                <w:sz w:val="17"/>
              </w:rPr>
              <w:t>Digital Houses, prayer requests, testimonies, and community content designed to support continuity.</w:t>
            </w:r>
          </w:p>
        </w:tc>
      </w:tr>
      <w:tr>
        <w:tc>
          <w:tcPr>
            <w:tcW w:type="dxa" w:w="4392"/>
            <w:shd w:fill="F5F7F5"/>
            <w:vAlign w:val="center"/>
            <w:tcMar>
              <w:top w:w="110" w:type="dxa"/>
              <w:start w:w="130" w:type="dxa"/>
              <w:bottom w:w="110" w:type="dxa"/>
              <w:end w:w="130" w:type="dxa"/>
            </w:tcMar>
          </w:tcPr>
          <w:p>
            <w:pPr>
              <w:spacing w:after="0"/>
            </w:pPr>
            <w:r/>
            <w:r>
              <w:rPr>
                <w:rFonts w:ascii="Liberation Sans" w:hAnsi="Liberation Sans"/>
                <w:b w:val="0"/>
                <w:color w:val="20312F"/>
                <w:sz w:val="17"/>
              </w:rPr>
              <w:t>Giving can be inconvenient and difficult to account for.</w:t>
            </w:r>
          </w:p>
        </w:tc>
        <w:tc>
          <w:tcPr>
            <w:tcW w:type="dxa" w:w="5256"/>
            <w:shd w:fill="F5F7F5"/>
            <w:vAlign w:val="center"/>
            <w:tcMar>
              <w:top w:w="110" w:type="dxa"/>
              <w:start w:w="130" w:type="dxa"/>
              <w:bottom w:w="110" w:type="dxa"/>
              <w:end w:w="130" w:type="dxa"/>
            </w:tcMar>
          </w:tcPr>
          <w:p>
            <w:pPr>
              <w:spacing w:after="0"/>
            </w:pPr>
            <w:r>
              <w:t>Tested donation-related tools support visibility and administration; payment custody and compliance require appropriate partners and controls.</w:t>
            </w:r>
          </w:p>
        </w:tc>
      </w:tr>
      <w:tr>
        <w:tc>
          <w:tcPr>
            <w:tcW w:type="dxa" w:w="4392"/>
            <w:vAlign w:val="center"/>
            <w:tcMar>
              <w:top w:w="110" w:type="dxa"/>
              <w:start w:w="130" w:type="dxa"/>
              <w:bottom w:w="110" w:type="dxa"/>
              <w:end w:w="130" w:type="dxa"/>
            </w:tcMar>
          </w:tcPr>
          <w:p>
            <w:pPr>
              <w:spacing w:after="0"/>
            </w:pPr>
            <w:r/>
            <w:r>
              <w:rPr>
                <w:rFonts w:ascii="Liberation Sans" w:hAnsi="Liberation Sans"/>
                <w:b w:val="0"/>
                <w:color w:val="20312F"/>
                <w:sz w:val="17"/>
              </w:rPr>
              <w:t>Communities need structure and safe participation.</w:t>
            </w:r>
          </w:p>
        </w:tc>
        <w:tc>
          <w:tcPr>
            <w:tcW w:type="dxa" w:w="5256"/>
            <w:vAlign w:val="center"/>
            <w:tcMar>
              <w:top w:w="110" w:type="dxa"/>
              <w:start w:w="130" w:type="dxa"/>
              <w:bottom w:w="110" w:type="dxa"/>
              <w:end w:w="130" w:type="dxa"/>
            </w:tcMar>
          </w:tcPr>
          <w:p>
            <w:pPr>
              <w:spacing w:after="0"/>
            </w:pPr>
            <w:r>
              <w:t>Tested role-based administration and moderation tools support community structure and safer participation.</w:t>
            </w:r>
          </w:p>
        </w:tc>
      </w:tr>
    </w:tbl>
    <w:p>
      <w:pPr>
        <w:spacing w:after="0"/>
      </w:pPr>
    </w:p>
    <w:p>
      <w:pPr>
        <w:pStyle w:val="Heading1"/>
      </w:pPr>
      <w:r>
        <w:t>Market Entry</w:t>
      </w:r>
    </w:p>
    <w:p>
      <w:r>
        <w:t>Shalom will pursue a focused geographic sequence rather than claiming global scale at launch. Each step should be earned through local validation and delivery capacity.</w:t>
      </w:r>
    </w:p>
    <w:tbl>
      <w:tblPr>
        <w:tblW w:type="auto" w:w="0"/>
        <w:jc w:val="center"/>
        <w:tblLayout w:type="fixed"/>
        <w:tblLook w:firstColumn="1" w:firstRow="1" w:lastColumn="0" w:lastRow="0" w:noHBand="0" w:noVBand="1" w:val="04A0"/>
      </w:tblPr>
      <w:tblGrid>
        <w:gridCol w:w="3293"/>
        <w:gridCol w:w="3293"/>
        <w:gridCol w:w="3293"/>
      </w:tblGrid>
      <w:tr>
        <w:tc>
          <w:tcPr>
            <w:tcW w:type="dxa" w:w="1656"/>
            <w:shd w:fill="1F5145"/>
            <w:vAlign w:val="center"/>
            <w:tcMar>
              <w:top w:w="110" w:type="dxa"/>
              <w:start w:w="130" w:type="dxa"/>
              <w:bottom w:w="110" w:type="dxa"/>
              <w:end w:w="130" w:type="dxa"/>
            </w:tcMar>
          </w:tcPr>
          <w:p>
            <w:pPr>
              <w:spacing w:after="0"/>
            </w:pPr>
            <w:r/>
            <w:r>
              <w:rPr>
                <w:rFonts w:ascii="Liberation Sans" w:hAnsi="Liberation Sans"/>
                <w:b/>
                <w:color w:val="FFFFFF"/>
                <w:sz w:val="17"/>
              </w:rPr>
              <w:t>Phase</w:t>
            </w:r>
          </w:p>
        </w:tc>
        <w:tc>
          <w:tcPr>
            <w:tcW w:type="dxa" w:w="3744"/>
            <w:shd w:fill="1F5145"/>
            <w:vAlign w:val="center"/>
            <w:tcMar>
              <w:top w:w="110" w:type="dxa"/>
              <w:start w:w="130" w:type="dxa"/>
              <w:bottom w:w="110" w:type="dxa"/>
              <w:end w:w="130" w:type="dxa"/>
            </w:tcMar>
          </w:tcPr>
          <w:p>
            <w:pPr>
              <w:spacing w:after="0"/>
            </w:pPr>
            <w:r/>
            <w:r>
              <w:rPr>
                <w:rFonts w:ascii="Liberation Sans" w:hAnsi="Liberation Sans"/>
                <w:b/>
                <w:color w:val="FFFFFF"/>
                <w:sz w:val="17"/>
              </w:rPr>
              <w:t>Focus</w:t>
            </w:r>
          </w:p>
        </w:tc>
        <w:tc>
          <w:tcPr>
            <w:tcW w:type="dxa" w:w="4248"/>
            <w:shd w:fill="1F5145"/>
            <w:vAlign w:val="center"/>
            <w:tcMar>
              <w:top w:w="110" w:type="dxa"/>
              <w:start w:w="130" w:type="dxa"/>
              <w:bottom w:w="110" w:type="dxa"/>
              <w:end w:w="130" w:type="dxa"/>
            </w:tcMar>
          </w:tcPr>
          <w:p>
            <w:pPr>
              <w:spacing w:after="0"/>
            </w:pPr>
            <w:r/>
            <w:r>
              <w:rPr>
                <w:rFonts w:ascii="Liberation Sans" w:hAnsi="Liberation Sans"/>
                <w:b/>
                <w:color w:val="FFFFFF"/>
                <w:sz w:val="17"/>
              </w:rPr>
              <w:t>Gate to progress</w:t>
            </w:r>
          </w:p>
        </w:tc>
      </w:tr>
      <w:tr>
        <w:tc>
          <w:tcPr>
            <w:tcW w:type="dxa" w:w="1656"/>
            <w:shd w:fill="F5F7F5"/>
            <w:vAlign w:val="center"/>
            <w:tcMar>
              <w:top w:w="110" w:type="dxa"/>
              <w:start w:w="130" w:type="dxa"/>
              <w:bottom w:w="110" w:type="dxa"/>
              <w:end w:w="130" w:type="dxa"/>
            </w:tcMar>
          </w:tcPr>
          <w:p>
            <w:pPr>
              <w:spacing w:after="0"/>
            </w:pPr>
            <w:r/>
            <w:r>
              <w:rPr>
                <w:rFonts w:ascii="Liberation Sans" w:hAnsi="Liberation Sans"/>
                <w:b w:val="0"/>
                <w:color w:val="20312F"/>
                <w:sz w:val="17"/>
              </w:rPr>
              <w:t>1. Uganda</w:t>
            </w:r>
          </w:p>
        </w:tc>
        <w:tc>
          <w:tcPr>
            <w:tcW w:type="dxa" w:w="3744"/>
            <w:shd w:fill="F5F7F5"/>
            <w:vAlign w:val="center"/>
            <w:tcMar>
              <w:top w:w="110" w:type="dxa"/>
              <w:start w:w="130" w:type="dxa"/>
              <w:bottom w:w="110" w:type="dxa"/>
              <w:end w:w="130" w:type="dxa"/>
            </w:tcMar>
          </w:tcPr>
          <w:p>
            <w:pPr>
              <w:spacing w:after="0"/>
            </w:pPr>
            <w:r/>
            <w:r>
              <w:rPr>
                <w:rFonts w:ascii="Liberation Sans" w:hAnsi="Liberation Sans"/>
                <w:b w:val="0"/>
                <w:color w:val="20312F"/>
                <w:sz w:val="17"/>
              </w:rPr>
              <w:t>Work with local churches, ministries, and community leaders; test onboarding and recurring use.</w:t>
            </w:r>
          </w:p>
        </w:tc>
        <w:tc>
          <w:tcPr>
            <w:tcW w:type="dxa" w:w="4248"/>
            <w:shd w:fill="F5F7F5"/>
            <w:vAlign w:val="center"/>
            <w:tcMar>
              <w:top w:w="110" w:type="dxa"/>
              <w:start w:w="130" w:type="dxa"/>
              <w:bottom w:w="110" w:type="dxa"/>
              <w:end w:w="130" w:type="dxa"/>
            </w:tcMar>
          </w:tcPr>
          <w:p>
            <w:pPr>
              <w:spacing w:after="0"/>
            </w:pPr>
            <w:r/>
            <w:r>
              <w:rPr>
                <w:rFonts w:ascii="Liberation Sans" w:hAnsi="Liberation Sans"/>
                <w:b w:val="0"/>
                <w:color w:val="20312F"/>
                <w:sz w:val="17"/>
              </w:rPr>
              <w:t>Documented pilot participation, repeat engagement, user feedback, reliability, and willingness to pay.</w:t>
            </w:r>
          </w:p>
        </w:tc>
      </w:tr>
      <w:tr>
        <w:tc>
          <w:tcPr>
            <w:tcW w:type="dxa" w:w="1656"/>
            <w:vAlign w:val="center"/>
            <w:tcMar>
              <w:top w:w="110" w:type="dxa"/>
              <w:start w:w="130" w:type="dxa"/>
              <w:bottom w:w="110" w:type="dxa"/>
              <w:end w:w="130" w:type="dxa"/>
            </w:tcMar>
          </w:tcPr>
          <w:p>
            <w:pPr>
              <w:spacing w:after="0"/>
            </w:pPr>
            <w:r/>
            <w:r>
              <w:rPr>
                <w:rFonts w:ascii="Liberation Sans" w:hAnsi="Liberation Sans"/>
                <w:b w:val="0"/>
                <w:color w:val="20312F"/>
                <w:sz w:val="17"/>
              </w:rPr>
              <w:t>2. East Africa</w:t>
            </w:r>
          </w:p>
        </w:tc>
        <w:tc>
          <w:tcPr>
            <w:tcW w:type="dxa" w:w="3744"/>
            <w:vAlign w:val="center"/>
            <w:tcMar>
              <w:top w:w="110" w:type="dxa"/>
              <w:start w:w="130" w:type="dxa"/>
              <w:bottom w:w="110" w:type="dxa"/>
              <w:end w:w="130" w:type="dxa"/>
            </w:tcMar>
          </w:tcPr>
          <w:p>
            <w:pPr>
              <w:spacing w:after="0"/>
            </w:pPr>
            <w:r/>
            <w:r>
              <w:rPr>
                <w:rFonts w:ascii="Liberation Sans" w:hAnsi="Liberation Sans"/>
                <w:b w:val="0"/>
                <w:color w:val="20312F"/>
                <w:sz w:val="17"/>
              </w:rPr>
              <w:t>Adapt language, partnerships, support, and operating practices to selected neighboring markets.</w:t>
            </w:r>
          </w:p>
        </w:tc>
        <w:tc>
          <w:tcPr>
            <w:tcW w:type="dxa" w:w="4248"/>
            <w:vAlign w:val="center"/>
            <w:tcMar>
              <w:top w:w="110" w:type="dxa"/>
              <w:start w:w="130" w:type="dxa"/>
              <w:bottom w:w="110" w:type="dxa"/>
              <w:end w:w="130" w:type="dxa"/>
            </w:tcMar>
          </w:tcPr>
          <w:p>
            <w:pPr>
              <w:spacing w:after="0"/>
            </w:pPr>
            <w:r/>
            <w:r>
              <w:rPr>
                <w:rFonts w:ascii="Liberation Sans" w:hAnsi="Liberation Sans"/>
                <w:b w:val="0"/>
                <w:color w:val="20312F"/>
                <w:sz w:val="17"/>
              </w:rPr>
              <w:t>Repeatable Uganda playbook and evidence that local adaptation and economics are viable.</w:t>
            </w:r>
          </w:p>
        </w:tc>
      </w:tr>
      <w:tr>
        <w:tc>
          <w:tcPr>
            <w:tcW w:type="dxa" w:w="1656"/>
            <w:shd w:fill="F5F7F5"/>
            <w:vAlign w:val="center"/>
            <w:tcMar>
              <w:top w:w="110" w:type="dxa"/>
              <w:start w:w="130" w:type="dxa"/>
              <w:bottom w:w="110" w:type="dxa"/>
              <w:end w:w="130" w:type="dxa"/>
            </w:tcMar>
          </w:tcPr>
          <w:p>
            <w:pPr>
              <w:spacing w:after="0"/>
            </w:pPr>
            <w:r/>
            <w:r>
              <w:rPr>
                <w:rFonts w:ascii="Liberation Sans" w:hAnsi="Liberation Sans"/>
                <w:b w:val="0"/>
                <w:color w:val="20312F"/>
                <w:sz w:val="17"/>
              </w:rPr>
              <w:t>3. Rest of Africa</w:t>
            </w:r>
          </w:p>
        </w:tc>
        <w:tc>
          <w:tcPr>
            <w:tcW w:type="dxa" w:w="3744"/>
            <w:shd w:fill="F5F7F5"/>
            <w:vAlign w:val="center"/>
            <w:tcMar>
              <w:top w:w="110" w:type="dxa"/>
              <w:start w:w="130" w:type="dxa"/>
              <w:bottom w:w="110" w:type="dxa"/>
              <w:end w:w="130" w:type="dxa"/>
            </w:tcMar>
          </w:tcPr>
          <w:p>
            <w:pPr>
              <w:spacing w:after="0"/>
            </w:pPr>
            <w:r/>
            <w:r>
              <w:rPr>
                <w:rFonts w:ascii="Liberation Sans" w:hAnsi="Liberation Sans"/>
                <w:b w:val="0"/>
                <w:color w:val="20312F"/>
                <w:sz w:val="17"/>
              </w:rPr>
              <w:t>Enter additional markets selectively through local partners and country-specific readiness.</w:t>
            </w:r>
          </w:p>
        </w:tc>
        <w:tc>
          <w:tcPr>
            <w:tcW w:type="dxa" w:w="4248"/>
            <w:shd w:fill="F5F7F5"/>
            <w:vAlign w:val="center"/>
            <w:tcMar>
              <w:top w:w="110" w:type="dxa"/>
              <w:start w:w="130" w:type="dxa"/>
              <w:bottom w:w="110" w:type="dxa"/>
              <w:end w:w="130" w:type="dxa"/>
            </w:tcMar>
          </w:tcPr>
          <w:p>
            <w:pPr>
              <w:spacing w:after="0"/>
            </w:pPr>
            <w:r/>
            <w:r>
              <w:rPr>
                <w:rFonts w:ascii="Liberation Sans" w:hAnsi="Liberation Sans"/>
                <w:b w:val="0"/>
                <w:color w:val="20312F"/>
                <w:sz w:val="17"/>
              </w:rPr>
              <w:t>Demonstrated partner capacity, compliance review, support coverage, and sustainable acquisition.</w:t>
            </w:r>
          </w:p>
        </w:tc>
      </w:tr>
      <w:tr>
        <w:tc>
          <w:tcPr>
            <w:tcW w:type="dxa" w:w="1656"/>
            <w:vAlign w:val="center"/>
            <w:tcMar>
              <w:top w:w="110" w:type="dxa"/>
              <w:start w:w="130" w:type="dxa"/>
              <w:bottom w:w="110" w:type="dxa"/>
              <w:end w:w="130" w:type="dxa"/>
            </w:tcMar>
          </w:tcPr>
          <w:p>
            <w:pPr>
              <w:spacing w:after="0"/>
            </w:pPr>
            <w:r/>
            <w:r>
              <w:rPr>
                <w:rFonts w:ascii="Liberation Sans" w:hAnsi="Liberation Sans"/>
                <w:b w:val="0"/>
                <w:color w:val="20312F"/>
                <w:sz w:val="17"/>
              </w:rPr>
              <w:t>4. Rest of the world</w:t>
            </w:r>
          </w:p>
        </w:tc>
        <w:tc>
          <w:tcPr>
            <w:tcW w:type="dxa" w:w="3744"/>
            <w:vAlign w:val="center"/>
            <w:tcMar>
              <w:top w:w="110" w:type="dxa"/>
              <w:start w:w="130" w:type="dxa"/>
              <w:bottom w:w="110" w:type="dxa"/>
              <w:end w:w="130" w:type="dxa"/>
            </w:tcMar>
          </w:tcPr>
          <w:p>
            <w:pPr>
              <w:spacing w:after="0"/>
            </w:pPr>
            <w:r/>
            <w:r>
              <w:rPr>
                <w:rFonts w:ascii="Liberation Sans" w:hAnsi="Liberation Sans"/>
                <w:b w:val="0"/>
                <w:color w:val="20312F"/>
                <w:sz w:val="17"/>
              </w:rPr>
              <w:t>Expand beyond Africa where there is clear demand and a supportable route to market.</w:t>
            </w:r>
          </w:p>
        </w:tc>
        <w:tc>
          <w:tcPr>
            <w:tcW w:type="dxa" w:w="4248"/>
            <w:vAlign w:val="center"/>
            <w:tcMar>
              <w:top w:w="110" w:type="dxa"/>
              <w:start w:w="130" w:type="dxa"/>
              <w:bottom w:w="110" w:type="dxa"/>
              <w:end w:w="130" w:type="dxa"/>
            </w:tcMar>
          </w:tcPr>
          <w:p>
            <w:pPr>
              <w:spacing w:after="0"/>
            </w:pPr>
            <w:r/>
            <w:r>
              <w:rPr>
                <w:rFonts w:ascii="Liberation Sans" w:hAnsi="Liberation Sans"/>
                <w:b w:val="0"/>
                <w:color w:val="20312F"/>
                <w:sz w:val="17"/>
              </w:rPr>
              <w:t>Product localization, legal and data-readiness, and positive market-level economics.</w:t>
            </w:r>
          </w:p>
        </w:tc>
      </w:tr>
    </w:tbl>
    <w:p>
      <w:pPr>
        <w:spacing w:after="0"/>
      </w:pPr>
    </w:p>
    <w:p>
      <w:pPr>
        <w:pStyle w:val="Caption"/>
      </w:pPr>
      <w:r>
        <w:t>The source pitch included broad population and market-size figures. They are intentionally omitted here pending current, sourced research that distinguishes the addressable customer segment from the total population of each region.</w:t>
      </w:r>
    </w:p>
    <w:p>
      <w:pPr>
        <w:pStyle w:val="Heading1"/>
      </w:pPr>
      <w:r>
        <w:t>Current Stage and Commercial Readiness</w:t>
      </w:r>
    </w:p>
    <w:p>
      <w:r>
        <w:t>Shalom has not yet launched commercially or started paid subscriptions. Its product features have been tested and are working, and a small tester group has used the platform. Registration is available. The current backend uses Supabase’s free tier; this is the present testing setup and does not establish production-scale capacity, service guarantees, or completed security and privacy readiness.</w:t>
      </w:r>
    </w:p>
    <w:p>
      <w:pPr>
        <w:pStyle w:val="ListBullet"/>
        <w:spacing w:after="60"/>
      </w:pPr>
      <w:r>
        <w:t>Confirm the most urgent workflow for Ugandan church leaders and members through structured interviews and observed testing.</w:t>
      </w:r>
    </w:p>
    <w:p>
      <w:pPr>
        <w:pStyle w:val="ListBullet"/>
        <w:spacing w:after="60"/>
      </w:pPr>
      <w:r>
        <w:t>Track tester activation, repeat use, and retention with clear definitions and measurement periods; distinguish testing from commercial adoption.</w:t>
      </w:r>
    </w:p>
    <w:p>
      <w:pPr>
        <w:pStyle w:val="ListBullet"/>
        <w:spacing w:after="60"/>
      </w:pPr>
      <w:r>
        <w:t>Recruit a small set of pilot communities and document onboarding effort, support needs, and decision-makers.</w:t>
      </w:r>
    </w:p>
    <w:p>
      <w:pPr>
        <w:pStyle w:val="ListBullet"/>
        <w:spacing w:after="60"/>
      </w:pPr>
      <w:r>
        <w:t>Obtain shareholder agreement on the subscription fee, billing interval, and payment method before commercial launch.</w:t>
      </w:r>
    </w:p>
    <w:p>
      <w:pPr>
        <w:pStyle w:val="ListBullet"/>
        <w:spacing w:after="60"/>
      </w:pPr>
      <w:r>
        <w:t>Establish production hosting, backup, access-control, privacy, moderation, and support requirements before broad rollout.</w:t>
      </w:r>
    </w:p>
    <w:p>
      <w:pPr>
        <w:pStyle w:val="Heading1"/>
      </w:pPr>
      <w:r>
        <w:t>Business Model and Subscription Terms</w:t>
      </w:r>
    </w:p>
    <w:p>
      <w:r>
        <w:t>The identified revenue streams are subscription fees, with sponsorships and partnerships as supplementary opportunities. The product and its described features have been tested and are working. Shareholders will agree the subscription fee amount, billing interval, and payment method before commercial launch.</w:t>
      </w:r>
    </w:p>
    <w:tbl>
      <w:tblPr>
        <w:tblW w:type="auto" w:w="0"/>
        <w:jc w:val="center"/>
        <w:tblLayout w:type="fixed"/>
        <w:tblLook w:firstColumn="1" w:firstRow="1" w:lastColumn="0" w:lastRow="0" w:noHBand="0" w:noVBand="1" w:val="04A0"/>
      </w:tblPr>
      <w:tblGrid>
        <w:gridCol w:w="3293"/>
        <w:gridCol w:w="3293"/>
        <w:gridCol w:w="3293"/>
      </w:tblGrid>
      <w:tr>
        <w:tc>
          <w:tcPr>
            <w:tcW w:type="dxa" w:w="1944"/>
            <w:shd w:fill="1F5145"/>
            <w:vAlign w:val="center"/>
            <w:tcMar>
              <w:top w:w="110" w:type="dxa"/>
              <w:start w:w="130" w:type="dxa"/>
              <w:bottom w:w="110" w:type="dxa"/>
              <w:end w:w="130" w:type="dxa"/>
            </w:tcMar>
          </w:tcPr>
          <w:p>
            <w:pPr>
              <w:spacing w:after="0"/>
            </w:pPr>
            <w:r/>
            <w:r>
              <w:rPr>
                <w:rFonts w:ascii="Liberation Sans" w:hAnsi="Liberation Sans"/>
                <w:b/>
                <w:color w:val="FFFFFF"/>
                <w:sz w:val="17"/>
              </w:rPr>
              <w:t>Revenue stream</w:t>
            </w:r>
          </w:p>
        </w:tc>
        <w:tc>
          <w:tcPr>
            <w:tcW w:type="dxa" w:w="4104"/>
            <w:shd w:fill="1F5145"/>
            <w:vAlign w:val="center"/>
            <w:tcMar>
              <w:top w:w="110" w:type="dxa"/>
              <w:start w:w="130" w:type="dxa"/>
              <w:bottom w:w="110" w:type="dxa"/>
              <w:end w:w="130" w:type="dxa"/>
            </w:tcMar>
          </w:tcPr>
          <w:p>
            <w:pPr>
              <w:spacing w:after="0"/>
            </w:pPr>
            <w:r/>
            <w:r>
              <w:rPr>
                <w:rFonts w:ascii="Liberation Sans" w:hAnsi="Liberation Sans"/>
                <w:b/>
                <w:color w:val="FFFFFF"/>
                <w:sz w:val="17"/>
              </w:rPr>
              <w:t>Potential payer and value</w:t>
            </w:r>
          </w:p>
        </w:tc>
        <w:tc>
          <w:tcPr>
            <w:tcW w:type="dxa" w:w="3600"/>
            <w:shd w:fill="1F5145"/>
            <w:vAlign w:val="center"/>
            <w:tcMar>
              <w:top w:w="110" w:type="dxa"/>
              <w:start w:w="130" w:type="dxa"/>
              <w:bottom w:w="110" w:type="dxa"/>
              <w:end w:w="130" w:type="dxa"/>
            </w:tcMar>
          </w:tcPr>
          <w:p>
            <w:pPr>
              <w:spacing w:after="0"/>
            </w:pPr>
            <w:r/>
            <w:r>
              <w:rPr>
                <w:rFonts w:ascii="Liberation Sans" w:hAnsi="Liberation Sans"/>
                <w:b/>
                <w:color w:val="FFFFFF"/>
                <w:sz w:val="17"/>
              </w:rPr>
              <w:t>Status / guardrail</w:t>
            </w:r>
          </w:p>
        </w:tc>
      </w:tr>
      <w:tr>
        <w:tc>
          <w:tcPr>
            <w:tcW w:type="dxa" w:w="1944"/>
            <w:shd w:fill="F5F7F5"/>
            <w:vAlign w:val="center"/>
            <w:tcMar>
              <w:top w:w="110" w:type="dxa"/>
              <w:start w:w="130" w:type="dxa"/>
              <w:bottom w:w="110" w:type="dxa"/>
              <w:end w:w="130" w:type="dxa"/>
            </w:tcMar>
          </w:tcPr>
          <w:p>
            <w:r>
              <w:t>Subscription fees</w:t>
            </w:r>
          </w:p>
        </w:tc>
        <w:tc>
          <w:tcPr>
            <w:tcW w:type="dxa" w:w="4104"/>
            <w:shd w:fill="F5F7F5"/>
            <w:vAlign w:val="center"/>
            <w:tcMar>
              <w:top w:w="110" w:type="dxa"/>
              <w:start w:w="130" w:type="dxa"/>
              <w:bottom w:w="110" w:type="dxa"/>
              <w:end w:w="130" w:type="dxa"/>
            </w:tcMar>
          </w:tcPr>
          <w:p>
            <w:r>
              <w:t>Subscribers pay recurring fees for access to Shalom’s tested community and administration features.</w:t>
            </w:r>
          </w:p>
        </w:tc>
        <w:tc>
          <w:tcPr>
            <w:tcW w:type="dxa" w:w="3600"/>
            <w:shd w:fill="F5F7F5"/>
            <w:vAlign w:val="center"/>
            <w:tcMar>
              <w:top w:w="110" w:type="dxa"/>
              <w:start w:w="130" w:type="dxa"/>
              <w:bottom w:w="110" w:type="dxa"/>
              <w:end w:w="130" w:type="dxa"/>
            </w:tcMar>
          </w:tcPr>
          <w:p>
            <w:r>
              <w:t>Revenue stream identified. Shareholders will set the fee amount, billing interval, and payment method before commercial launch.</w:t>
            </w:r>
          </w:p>
        </w:tc>
      </w:tr>
      <w:tr>
        <w:tc>
          <w:tcPr>
            <w:tcW w:type="dxa" w:w="1944"/>
            <w:shd w:fill="F5F7F5"/>
            <w:vAlign w:val="center"/>
            <w:tcMar>
              <w:top w:w="110" w:type="dxa"/>
              <w:start w:w="130" w:type="dxa"/>
              <w:bottom w:w="110" w:type="dxa"/>
              <w:end w:w="130" w:type="dxa"/>
            </w:tcMar>
          </w:tcPr>
          <w:p>
            <w:r>
              <w:t>Sponsorships and partnerships</w:t>
            </w:r>
          </w:p>
        </w:tc>
        <w:tc>
          <w:tcPr>
            <w:tcW w:type="dxa" w:w="4104"/>
            <w:shd w:fill="F5F7F5"/>
            <w:vAlign w:val="center"/>
            <w:tcMar>
              <w:top w:w="110" w:type="dxa"/>
              <w:start w:w="130" w:type="dxa"/>
              <w:bottom w:w="110" w:type="dxa"/>
              <w:end w:w="130" w:type="dxa"/>
            </w:tcMar>
          </w:tcPr>
          <w:p>
            <w:r>
              <w:t>Mission-aligned partners may provide supplementary income alongside subscriptions.</w:t>
            </w:r>
          </w:p>
        </w:tc>
        <w:tc>
          <w:tcPr>
            <w:tcW w:type="dxa" w:w="3600"/>
            <w:shd w:fill="F5F7F5"/>
            <w:vAlign w:val="center"/>
            <w:tcMar>
              <w:top w:w="110" w:type="dxa"/>
              <w:start w:w="130" w:type="dxa"/>
              <w:bottom w:w="110" w:type="dxa"/>
              <w:end w:w="130" w:type="dxa"/>
            </w:tcMar>
          </w:tcPr>
          <w:p>
            <w:r>
              <w:t>Supplementary stream identified in the source pitch; no unconfirmed partner income is represented as contracted.</w:t>
            </w:r>
          </w:p>
        </w:tc>
      </w:tr>
      <w:tr>
        <w:tc>
          <w:tcPr>
            <w:tcW w:type="dxa" w:w="1944"/>
            <w:shd w:fill="F5F7F5"/>
            <w:vAlign w:val="center"/>
            <w:tcMar>
              <w:top w:w="110" w:type="dxa"/>
              <w:start w:w="130" w:type="dxa"/>
              <w:bottom w:w="110" w:type="dxa"/>
              <w:end w:w="130" w:type="dxa"/>
            </w:tcMar>
          </w:tcPr>
          <w:p>
            <w:r>
              <w:t>Donations and giving</w:t>
            </w:r>
          </w:p>
        </w:tc>
        <w:tc>
          <w:tcPr>
            <w:tcW w:type="dxa" w:w="4104"/>
            <w:shd w:fill="F5F7F5"/>
            <w:vAlign w:val="center"/>
            <w:tcMar>
              <w:top w:w="110" w:type="dxa"/>
              <w:start w:w="130" w:type="dxa"/>
              <w:bottom w:w="110" w:type="dxa"/>
              <w:end w:w="130" w:type="dxa"/>
            </w:tcMar>
          </w:tcPr>
          <w:p>
            <w:r>
              <w:t>Shalom includes tested donation-related functionality for community giving.</w:t>
            </w:r>
          </w:p>
        </w:tc>
        <w:tc>
          <w:tcPr>
            <w:tcW w:type="dxa" w:w="3600"/>
            <w:shd w:fill="F5F7F5"/>
            <w:vAlign w:val="center"/>
            <w:tcMar>
              <w:top w:w="110" w:type="dxa"/>
              <w:start w:w="130" w:type="dxa"/>
              <w:bottom w:w="110" w:type="dxa"/>
              <w:end w:w="130" w:type="dxa"/>
            </w:tcMar>
          </w:tcPr>
          <w:p>
            <w:r>
              <w:t>Donated funds are not Shalom revenue by default; payment fees and custody depend on providers and applicable requirements.</w:t>
            </w:r>
          </w:p>
        </w:tc>
      </w:tr>
    </w:tbl>
    <w:p>
      <w:pPr>
        <w:spacing w:after="0"/>
      </w:pPr>
    </w:p>
    <w:p>
      <w:pPr>
        <w:pStyle w:val="Heading2"/>
      </w:pPr>
      <w:r>
        <w:t>How to validate the model</w:t>
      </w:r>
    </w:p>
    <w:p>
      <w:pPr>
        <w:pStyle w:val="ListBullet"/>
        <w:spacing w:after="60"/>
      </w:pPr>
      <w:r>
        <w:t>Document the shareholder decision on the subscription fee, billing interval, and payment method, and communicate the agreed terms clearly before launch.</w:t>
      </w:r>
    </w:p>
    <w:p>
      <w:pPr>
        <w:pStyle w:val="ListBullet"/>
        <w:spacing w:after="60"/>
      </w:pPr>
      <w:r>
        <w:t>Prepare the subscription collection and renewal process for the agreed payment method and billing interval, including receipts, failed payments, and cancellations.</w:t>
      </w:r>
    </w:p>
    <w:p>
      <w:pPr>
        <w:pStyle w:val="ListBullet"/>
        <w:spacing w:after="60"/>
      </w:pPr>
      <w:r>
        <w:t>Model support, hosting, payment, and acquisition costs per organization before making margin claims.</w:t>
      </w:r>
    </w:p>
    <w:p>
      <w:pPr>
        <w:pStyle w:val="ListBullet"/>
        <w:spacing w:after="60"/>
      </w:pPr>
      <w:r>
        <w:t>Include sponsorship income in financial projections only when partner commitments and amounts are documented.</w:t>
      </w:r>
    </w:p>
    <w:p>
      <w:pPr>
        <w:pStyle w:val="Heading1"/>
      </w:pPr>
      <w:r>
        <w:t>Go-to-Market Approach</w:t>
      </w:r>
    </w:p>
    <w:p>
      <w:r>
        <w:t>The source pitch proposes relationship-led distribution through pastors, ministries, church networks, conferences, and social media. For an early Uganda launch, trusted introductions and hands-on onboarding should lead; broader digital campaigns should follow evidence of activation and retention.</w:t>
      </w:r>
    </w:p>
    <w:p>
      <w:pPr>
        <w:pStyle w:val="ListNumber"/>
        <w:spacing w:after="60"/>
      </w:pPr>
      <w:r>
        <w:t>Recruit a small number of willing Ugandan church or ministry partners for structured pilots.</w:t>
      </w:r>
    </w:p>
    <w:p>
      <w:pPr>
        <w:pStyle w:val="ListNumber"/>
        <w:spacing w:after="60"/>
      </w:pPr>
      <w:r>
        <w:t>Equip each partner with a clear onboarding guide, community guidelines, and a named support contact.</w:t>
      </w:r>
    </w:p>
    <w:p>
      <w:pPr>
        <w:pStyle w:val="ListNumber"/>
        <w:spacing w:after="60"/>
      </w:pPr>
      <w:r>
        <w:t>Measure which referral and partner channels produce active, returning communities—not just registrations.</w:t>
      </w:r>
    </w:p>
    <w:p>
      <w:pPr>
        <w:pStyle w:val="ListNumber"/>
        <w:spacing w:after="60"/>
      </w:pPr>
      <w:r>
        <w:t>Turn proven onboarding and support practices into a repeatable playbook before entering neighboring markets.</w:t>
      </w:r>
    </w:p>
    <w:p>
      <w:pPr>
        <w:pStyle w:val="Heading1"/>
      </w:pPr>
      <w:r>
        <w:t>Milestones and Use of Capital</w:t>
      </w:r>
    </w:p>
    <w:p>
      <w:r>
        <w:t>No verified fundraising target, runway, or budget allocation was supplied. The milestones below are proposed planning areas; timelines and budgets should be set only after scope, quotations, and pilot commitments are available.</w:t>
      </w:r>
    </w:p>
    <w:tbl>
      <w:tblPr>
        <w:tblW w:type="auto" w:w="0"/>
        <w:jc w:val="center"/>
        <w:tblLayout w:type="fixed"/>
        <w:tblLook w:firstColumn="1" w:firstRow="1" w:lastColumn="0" w:lastRow="0" w:noHBand="0" w:noVBand="1" w:val="04A0"/>
      </w:tblPr>
      <w:tblGrid>
        <w:gridCol w:w="4939"/>
        <w:gridCol w:w="4939"/>
      </w:tblGrid>
      <w:tr>
        <w:tc>
          <w:tcPr>
            <w:tcW w:type="dxa" w:w="2376"/>
            <w:shd w:fill="1F5145"/>
            <w:vAlign w:val="center"/>
            <w:tcMar>
              <w:top w:w="110" w:type="dxa"/>
              <w:start w:w="130" w:type="dxa"/>
              <w:bottom w:w="110" w:type="dxa"/>
              <w:end w:w="130" w:type="dxa"/>
            </w:tcMar>
          </w:tcPr>
          <w:p>
            <w:pPr>
              <w:spacing w:after="0"/>
            </w:pPr>
            <w:r/>
            <w:r>
              <w:rPr>
                <w:rFonts w:ascii="Liberation Sans" w:hAnsi="Liberation Sans"/>
                <w:b/>
                <w:color w:val="FFFFFF"/>
                <w:sz w:val="17"/>
              </w:rPr>
              <w:t>Workstream</w:t>
            </w:r>
          </w:p>
        </w:tc>
        <w:tc>
          <w:tcPr>
            <w:tcW w:type="dxa" w:w="7272"/>
            <w:shd w:fill="1F5145"/>
            <w:vAlign w:val="center"/>
            <w:tcMar>
              <w:top w:w="110" w:type="dxa"/>
              <w:start w:w="130" w:type="dxa"/>
              <w:bottom w:w="110" w:type="dxa"/>
              <w:end w:w="130" w:type="dxa"/>
            </w:tcMar>
          </w:tcPr>
          <w:p>
            <w:pPr>
              <w:spacing w:after="0"/>
            </w:pPr>
            <w:r/>
            <w:r>
              <w:rPr>
                <w:rFonts w:ascii="Liberation Sans" w:hAnsi="Liberation Sans"/>
                <w:b/>
                <w:color w:val="FFFFFF"/>
                <w:sz w:val="17"/>
              </w:rPr>
              <w:t>Milestone evidence</w:t>
            </w:r>
          </w:p>
        </w:tc>
      </w:tr>
      <w:tr>
        <w:tc>
          <w:tcPr>
            <w:tcW w:type="dxa" w:w="2376"/>
            <w:shd w:fill="F5F7F5"/>
            <w:vAlign w:val="center"/>
            <w:tcMar>
              <w:top w:w="110" w:type="dxa"/>
              <w:start w:w="130" w:type="dxa"/>
              <w:bottom w:w="110" w:type="dxa"/>
              <w:end w:w="130" w:type="dxa"/>
            </w:tcMar>
          </w:tcPr>
          <w:p>
            <w:pPr>
              <w:spacing w:after="0"/>
            </w:pPr>
            <w:r/>
            <w:r>
              <w:rPr>
                <w:rFonts w:ascii="Liberation Sans" w:hAnsi="Liberation Sans"/>
                <w:b w:val="0"/>
                <w:color w:val="20312F"/>
                <w:sz w:val="17"/>
              </w:rPr>
              <w:t>Product and reliability</w:t>
            </w:r>
          </w:p>
        </w:tc>
        <w:tc>
          <w:tcPr>
            <w:tcW w:type="dxa" w:w="7272"/>
            <w:shd w:fill="F5F7F5"/>
            <w:vAlign w:val="center"/>
            <w:tcMar>
              <w:top w:w="110" w:type="dxa"/>
              <w:start w:w="130" w:type="dxa"/>
              <w:bottom w:w="110" w:type="dxa"/>
              <w:end w:w="130" w:type="dxa"/>
            </w:tcMar>
          </w:tcPr>
          <w:p>
            <w:pPr>
              <w:spacing w:after="0"/>
            </w:pPr>
            <w:r/>
            <w:r>
              <w:rPr>
                <w:rFonts w:ascii="Liberation Sans" w:hAnsi="Liberation Sans"/>
                <w:b w:val="0"/>
                <w:color w:val="20312F"/>
                <w:sz w:val="17"/>
              </w:rPr>
              <w:t>Production-ready infrastructure plan; tested onboarding; backup and recovery; access and moderation controls.</w:t>
            </w:r>
          </w:p>
        </w:tc>
      </w:tr>
      <w:tr>
        <w:tc>
          <w:tcPr>
            <w:tcW w:type="dxa" w:w="2376"/>
            <w:vAlign w:val="center"/>
            <w:tcMar>
              <w:top w:w="110" w:type="dxa"/>
              <w:start w:w="130" w:type="dxa"/>
              <w:bottom w:w="110" w:type="dxa"/>
              <w:end w:w="130" w:type="dxa"/>
            </w:tcMar>
          </w:tcPr>
          <w:p>
            <w:pPr>
              <w:spacing w:after="0"/>
            </w:pPr>
            <w:r/>
            <w:r>
              <w:rPr>
                <w:rFonts w:ascii="Liberation Sans" w:hAnsi="Liberation Sans"/>
                <w:b w:val="0"/>
                <w:color w:val="20312F"/>
                <w:sz w:val="17"/>
              </w:rPr>
              <w:t>Uganda pilot</w:t>
            </w:r>
          </w:p>
        </w:tc>
        <w:tc>
          <w:tcPr>
            <w:tcW w:type="dxa" w:w="7272"/>
            <w:vAlign w:val="center"/>
            <w:tcMar>
              <w:top w:w="110" w:type="dxa"/>
              <w:start w:w="130" w:type="dxa"/>
              <w:bottom w:w="110" w:type="dxa"/>
              <w:end w:w="130" w:type="dxa"/>
            </w:tcMar>
          </w:tcPr>
          <w:p>
            <w:pPr>
              <w:spacing w:after="0"/>
            </w:pPr>
            <w:r/>
            <w:r>
              <w:rPr>
                <w:rFonts w:ascii="Liberation Sans" w:hAnsi="Liberation Sans"/>
                <w:b w:val="0"/>
                <w:color w:val="20312F"/>
                <w:sz w:val="17"/>
              </w:rPr>
              <w:t>Named pilot partners; baseline and follow-up usage measures; documented feedback and product changes.</w:t>
            </w:r>
          </w:p>
        </w:tc>
      </w:tr>
      <w:tr>
        <w:tc>
          <w:tcPr>
            <w:tcW w:type="dxa" w:w="2376"/>
            <w:shd w:fill="F5F7F5"/>
            <w:vAlign w:val="center"/>
            <w:tcMar>
              <w:top w:w="110" w:type="dxa"/>
              <w:start w:w="130" w:type="dxa"/>
              <w:bottom w:w="110" w:type="dxa"/>
              <w:end w:w="130" w:type="dxa"/>
            </w:tcMar>
          </w:tcPr>
          <w:p>
            <w:pPr>
              <w:spacing w:after="0"/>
            </w:pPr>
            <w:r>
              <w:t>Subscription terms and launch</w:t>
            </w:r>
          </w:p>
        </w:tc>
        <w:tc>
          <w:tcPr>
            <w:tcW w:type="dxa" w:w="7272"/>
            <w:shd w:fill="F5F7F5"/>
            <w:vAlign w:val="center"/>
            <w:tcMar>
              <w:top w:w="110" w:type="dxa"/>
              <w:start w:w="130" w:type="dxa"/>
              <w:bottom w:w="110" w:type="dxa"/>
              <w:end w:w="130" w:type="dxa"/>
            </w:tcMar>
          </w:tcPr>
          <w:p>
            <w:pPr>
              <w:spacing w:after="0"/>
            </w:pPr>
            <w:r>
              <w:t>Shareholder-approved subscription fee, billing interval, and payment method; collection and renewal process ready for launch.</w:t>
            </w:r>
          </w:p>
        </w:tc>
      </w:tr>
      <w:tr>
        <w:tc>
          <w:tcPr>
            <w:tcW w:type="dxa" w:w="2376"/>
            <w:vAlign w:val="center"/>
            <w:tcMar>
              <w:top w:w="110" w:type="dxa"/>
              <w:start w:w="130" w:type="dxa"/>
              <w:bottom w:w="110" w:type="dxa"/>
              <w:end w:w="130" w:type="dxa"/>
            </w:tcMar>
          </w:tcPr>
          <w:p>
            <w:pPr>
              <w:spacing w:after="0"/>
            </w:pPr>
            <w:r/>
            <w:r>
              <w:rPr>
                <w:rFonts w:ascii="Liberation Sans" w:hAnsi="Liberation Sans"/>
                <w:b w:val="0"/>
                <w:color w:val="20312F"/>
                <w:sz w:val="17"/>
              </w:rPr>
              <w:t>Governance and readiness</w:t>
            </w:r>
          </w:p>
        </w:tc>
        <w:tc>
          <w:tcPr>
            <w:tcW w:type="dxa" w:w="7272"/>
            <w:vAlign w:val="center"/>
            <w:tcMar>
              <w:top w:w="110" w:type="dxa"/>
              <w:start w:w="130" w:type="dxa"/>
              <w:bottom w:w="110" w:type="dxa"/>
              <w:end w:w="130" w:type="dxa"/>
            </w:tcMar>
          </w:tcPr>
          <w:p>
            <w:pPr>
              <w:spacing w:after="0"/>
            </w:pPr>
            <w:r/>
            <w:r>
              <w:rPr>
                <w:rFonts w:ascii="Liberation Sans" w:hAnsi="Liberation Sans"/>
                <w:b w:val="0"/>
                <w:color w:val="20312F"/>
                <w:sz w:val="17"/>
              </w:rPr>
              <w:t>Privacy, security, safeguarding, payment-partner, and applicable legal reviews completed for launch scope.</w:t>
            </w:r>
          </w:p>
        </w:tc>
      </w:tr>
      <w:tr>
        <w:tc>
          <w:tcPr>
            <w:tcW w:type="dxa" w:w="2376"/>
            <w:shd w:fill="F5F7F5"/>
            <w:vAlign w:val="center"/>
            <w:tcMar>
              <w:top w:w="110" w:type="dxa"/>
              <w:start w:w="130" w:type="dxa"/>
              <w:bottom w:w="110" w:type="dxa"/>
              <w:end w:w="130" w:type="dxa"/>
            </w:tcMar>
          </w:tcPr>
          <w:p>
            <w:pPr>
              <w:spacing w:after="0"/>
            </w:pPr>
            <w:r/>
            <w:r>
              <w:rPr>
                <w:rFonts w:ascii="Liberation Sans" w:hAnsi="Liberation Sans"/>
                <w:b w:val="0"/>
                <w:color w:val="20312F"/>
                <w:sz w:val="17"/>
              </w:rPr>
              <w:t>Expansion readiness</w:t>
            </w:r>
          </w:p>
        </w:tc>
        <w:tc>
          <w:tcPr>
            <w:tcW w:type="dxa" w:w="7272"/>
            <w:shd w:fill="F5F7F5"/>
            <w:vAlign w:val="center"/>
            <w:tcMar>
              <w:top w:w="110" w:type="dxa"/>
              <w:start w:w="130" w:type="dxa"/>
              <w:bottom w:w="110" w:type="dxa"/>
              <w:end w:w="130" w:type="dxa"/>
            </w:tcMar>
          </w:tcPr>
          <w:p>
            <w:pPr>
              <w:spacing w:after="0"/>
            </w:pPr>
            <w:r/>
            <w:r>
              <w:rPr>
                <w:rFonts w:ascii="Liberation Sans" w:hAnsi="Liberation Sans"/>
                <w:b w:val="0"/>
                <w:color w:val="20312F"/>
                <w:sz w:val="17"/>
              </w:rPr>
              <w:t>A repeatable local playbook and explicit go/no-go criteria before East African expansion.</w:t>
            </w:r>
          </w:p>
        </w:tc>
      </w:tr>
    </w:tbl>
    <w:p>
      <w:pPr>
        <w:spacing w:after="0"/>
      </w:pPr>
    </w:p>
    <w:p>
      <w:r>
        <w:t>Potential uses of future capital include product and infrastructure readiness, Uganda pilot delivery and onboarding, partner development, user support, and legal, privacy, and security review. Percentages and spending amounts remain unallocated until a raise target and milestone budget are agreed.</w:t>
      </w:r>
    </w:p>
    <w:p>
      <w:pPr>
        <w:pStyle w:val="Heading1"/>
      </w:pPr>
      <w:r>
        <w:t>Key Risks and Response</w:t>
      </w:r>
    </w:p>
    <w:tbl>
      <w:tblPr>
        <w:tblW w:type="auto" w:w="0"/>
        <w:jc w:val="center"/>
        <w:tblLayout w:type="fixed"/>
        <w:tblLook w:firstColumn="1" w:firstRow="1" w:lastColumn="0" w:lastRow="0" w:noHBand="0" w:noVBand="1" w:val="04A0"/>
      </w:tblPr>
      <w:tblGrid>
        <w:gridCol w:w="4939"/>
        <w:gridCol w:w="4939"/>
      </w:tblGrid>
      <w:tr>
        <w:tc>
          <w:tcPr>
            <w:tcW w:type="dxa" w:w="3096"/>
            <w:shd w:fill="1F5145"/>
            <w:vAlign w:val="center"/>
            <w:tcMar>
              <w:top w:w="110" w:type="dxa"/>
              <w:start w:w="130" w:type="dxa"/>
              <w:bottom w:w="110" w:type="dxa"/>
              <w:end w:w="130" w:type="dxa"/>
            </w:tcMar>
          </w:tcPr>
          <w:p>
            <w:pPr>
              <w:spacing w:after="0"/>
            </w:pPr>
            <w:r/>
            <w:r>
              <w:rPr>
                <w:rFonts w:ascii="Liberation Sans" w:hAnsi="Liberation Sans"/>
                <w:b/>
                <w:color w:val="FFFFFF"/>
                <w:sz w:val="17"/>
              </w:rPr>
              <w:t>Risk</w:t>
            </w:r>
          </w:p>
        </w:tc>
        <w:tc>
          <w:tcPr>
            <w:tcW w:type="dxa" w:w="6552"/>
            <w:shd w:fill="1F5145"/>
            <w:vAlign w:val="center"/>
            <w:tcMar>
              <w:top w:w="110" w:type="dxa"/>
              <w:start w:w="130" w:type="dxa"/>
              <w:bottom w:w="110" w:type="dxa"/>
              <w:end w:w="130" w:type="dxa"/>
            </w:tcMar>
          </w:tcPr>
          <w:p>
            <w:pPr>
              <w:spacing w:after="0"/>
            </w:pPr>
            <w:r/>
            <w:r>
              <w:rPr>
                <w:rFonts w:ascii="Liberation Sans" w:hAnsi="Liberation Sans"/>
                <w:b/>
                <w:color w:val="FFFFFF"/>
                <w:sz w:val="17"/>
              </w:rPr>
              <w:t>Practical response</w:t>
            </w:r>
          </w:p>
        </w:tc>
      </w:tr>
      <w:tr>
        <w:tc>
          <w:tcPr>
            <w:tcW w:type="dxa" w:w="3096"/>
            <w:shd w:fill="F5F7F5"/>
            <w:vAlign w:val="center"/>
            <w:tcMar>
              <w:top w:w="110" w:type="dxa"/>
              <w:start w:w="130" w:type="dxa"/>
              <w:bottom w:w="110" w:type="dxa"/>
              <w:end w:w="130" w:type="dxa"/>
            </w:tcMar>
          </w:tcPr>
          <w:p>
            <w:pPr>
              <w:spacing w:after="0"/>
            </w:pPr>
            <w:r/>
            <w:r>
              <w:rPr>
                <w:rFonts w:ascii="Liberation Sans" w:hAnsi="Liberation Sans"/>
                <w:b w:val="0"/>
                <w:color w:val="20312F"/>
                <w:sz w:val="17"/>
              </w:rPr>
              <w:t>Pre-launch product-market fit is unproven.</w:t>
            </w:r>
          </w:p>
        </w:tc>
        <w:tc>
          <w:tcPr>
            <w:tcW w:type="dxa" w:w="6552"/>
            <w:shd w:fill="F5F7F5"/>
            <w:vAlign w:val="center"/>
            <w:tcMar>
              <w:top w:w="110" w:type="dxa"/>
              <w:start w:w="130" w:type="dxa"/>
              <w:bottom w:w="110" w:type="dxa"/>
              <w:end w:w="130" w:type="dxa"/>
            </w:tcMar>
          </w:tcPr>
          <w:p>
            <w:pPr>
              <w:spacing w:after="0"/>
            </w:pPr>
            <w:r/>
            <w:r>
              <w:rPr>
                <w:rFonts w:ascii="Liberation Sans" w:hAnsi="Liberation Sans"/>
                <w:b w:val="0"/>
                <w:color w:val="20312F"/>
                <w:sz w:val="17"/>
              </w:rPr>
              <w:t>Use bounded pilots, behavioral measures, and explicit go/no-go decisions.</w:t>
            </w:r>
          </w:p>
        </w:tc>
      </w:tr>
      <w:tr>
        <w:tc>
          <w:tcPr>
            <w:tcW w:type="dxa" w:w="3096"/>
            <w:vAlign w:val="center"/>
            <w:tcMar>
              <w:top w:w="110" w:type="dxa"/>
              <w:start w:w="130" w:type="dxa"/>
              <w:bottom w:w="110" w:type="dxa"/>
              <w:end w:w="130" w:type="dxa"/>
            </w:tcMar>
          </w:tcPr>
          <w:p>
            <w:pPr>
              <w:spacing w:after="0"/>
            </w:pPr>
            <w:r/>
            <w:r>
              <w:rPr>
                <w:rFonts w:ascii="Liberation Sans" w:hAnsi="Liberation Sans"/>
                <w:b w:val="0"/>
                <w:color w:val="20312F"/>
                <w:sz w:val="17"/>
              </w:rPr>
              <w:t>Registration counts could be mistaken for traction.</w:t>
            </w:r>
          </w:p>
        </w:tc>
        <w:tc>
          <w:tcPr>
            <w:tcW w:type="dxa" w:w="6552"/>
            <w:vAlign w:val="center"/>
            <w:tcMar>
              <w:top w:w="110" w:type="dxa"/>
              <w:start w:w="130" w:type="dxa"/>
              <w:bottom w:w="110" w:type="dxa"/>
              <w:end w:w="130" w:type="dxa"/>
            </w:tcMar>
          </w:tcPr>
          <w:p>
            <w:pPr>
              <w:spacing w:after="0"/>
            </w:pPr>
            <w:r/>
            <w:r>
              <w:rPr>
                <w:rFonts w:ascii="Liberation Sans" w:hAnsi="Liberation Sans"/>
                <w:b w:val="0"/>
                <w:color w:val="20312F"/>
                <w:sz w:val="17"/>
              </w:rPr>
              <w:t>Report testers, registered accounts, active users, and paying organizations separately with dates and definitions.</w:t>
            </w:r>
          </w:p>
        </w:tc>
      </w:tr>
      <w:tr>
        <w:tc>
          <w:tcPr>
            <w:tcW w:type="dxa" w:w="3096"/>
            <w:shd w:fill="F5F7F5"/>
            <w:vAlign w:val="center"/>
            <w:tcMar>
              <w:top w:w="110" w:type="dxa"/>
              <w:start w:w="130" w:type="dxa"/>
              <w:bottom w:w="110" w:type="dxa"/>
              <w:end w:w="130" w:type="dxa"/>
            </w:tcMar>
          </w:tcPr>
          <w:p>
            <w:pPr>
              <w:spacing w:after="0"/>
            </w:pPr>
            <w:r/>
            <w:r>
              <w:rPr>
                <w:rFonts w:ascii="Liberation Sans" w:hAnsi="Liberation Sans"/>
                <w:b w:val="0"/>
                <w:color w:val="20312F"/>
                <w:sz w:val="17"/>
              </w:rPr>
              <w:t>Free-tier infrastructure may not meet production needs.</w:t>
            </w:r>
          </w:p>
        </w:tc>
        <w:tc>
          <w:tcPr>
            <w:tcW w:type="dxa" w:w="6552"/>
            <w:shd w:fill="F5F7F5"/>
            <w:vAlign w:val="center"/>
            <w:tcMar>
              <w:top w:w="110" w:type="dxa"/>
              <w:start w:w="130" w:type="dxa"/>
              <w:bottom w:w="110" w:type="dxa"/>
              <w:end w:w="130" w:type="dxa"/>
            </w:tcMar>
          </w:tcPr>
          <w:p>
            <w:pPr>
              <w:spacing w:after="0"/>
            </w:pPr>
            <w:r/>
            <w:r>
              <w:rPr>
                <w:rFonts w:ascii="Liberation Sans" w:hAnsi="Liberation Sans"/>
                <w:b w:val="0"/>
                <w:color w:val="20312F"/>
                <w:sz w:val="17"/>
              </w:rPr>
              <w:t>Complete capacity, security, backup, privacy, and cost reviews before commercial rollout.</w:t>
            </w:r>
          </w:p>
        </w:tc>
      </w:tr>
      <w:tr>
        <w:tc>
          <w:tcPr>
            <w:tcW w:type="dxa" w:w="3096"/>
            <w:vAlign w:val="center"/>
            <w:tcMar>
              <w:top w:w="110" w:type="dxa"/>
              <w:start w:w="130" w:type="dxa"/>
              <w:bottom w:w="110" w:type="dxa"/>
              <w:end w:w="130" w:type="dxa"/>
            </w:tcMar>
          </w:tcPr>
          <w:p>
            <w:pPr>
              <w:spacing w:after="0"/>
            </w:pPr>
            <w:r/>
            <w:r>
              <w:rPr>
                <w:rFonts w:ascii="Liberation Sans" w:hAnsi="Liberation Sans"/>
                <w:b w:val="0"/>
                <w:color w:val="20312F"/>
                <w:sz w:val="17"/>
              </w:rPr>
              <w:t>Trust can be damaged by weak moderation or opaque giving.</w:t>
            </w:r>
          </w:p>
        </w:tc>
        <w:tc>
          <w:tcPr>
            <w:tcW w:type="dxa" w:w="6552"/>
            <w:vAlign w:val="center"/>
            <w:tcMar>
              <w:top w:w="110" w:type="dxa"/>
              <w:start w:w="130" w:type="dxa"/>
              <w:bottom w:w="110" w:type="dxa"/>
              <w:end w:w="130" w:type="dxa"/>
            </w:tcMar>
          </w:tcPr>
          <w:p>
            <w:pPr>
              <w:spacing w:after="0"/>
            </w:pPr>
            <w:r/>
            <w:r>
              <w:rPr>
                <w:rFonts w:ascii="Liberation Sans" w:hAnsi="Liberation Sans"/>
                <w:b w:val="0"/>
                <w:color w:val="20312F"/>
                <w:sz w:val="17"/>
              </w:rPr>
              <w:t>Publish clear community policies and roles; separate platform revenue from donated funds; use qualified payment partners.</w:t>
            </w:r>
          </w:p>
        </w:tc>
      </w:tr>
      <w:tr>
        <w:tc>
          <w:tcPr>
            <w:tcW w:type="dxa" w:w="3096"/>
            <w:shd w:fill="F5F7F5"/>
            <w:vAlign w:val="center"/>
            <w:tcMar>
              <w:top w:w="110" w:type="dxa"/>
              <w:start w:w="130" w:type="dxa"/>
              <w:bottom w:w="110" w:type="dxa"/>
              <w:end w:w="130" w:type="dxa"/>
            </w:tcMar>
          </w:tcPr>
          <w:p>
            <w:pPr>
              <w:spacing w:after="0"/>
            </w:pPr>
            <w:r/>
            <w:r>
              <w:rPr>
                <w:rFonts w:ascii="Liberation Sans" w:hAnsi="Liberation Sans"/>
                <w:b w:val="0"/>
                <w:color w:val="20312F"/>
                <w:sz w:val="17"/>
              </w:rPr>
              <w:t>Expansion can outpace local support or compliance.</w:t>
            </w:r>
          </w:p>
        </w:tc>
        <w:tc>
          <w:tcPr>
            <w:tcW w:type="dxa" w:w="6552"/>
            <w:shd w:fill="F5F7F5"/>
            <w:vAlign w:val="center"/>
            <w:tcMar>
              <w:top w:w="110" w:type="dxa"/>
              <w:start w:w="130" w:type="dxa"/>
              <w:bottom w:w="110" w:type="dxa"/>
              <w:end w:w="130" w:type="dxa"/>
            </w:tcMar>
          </w:tcPr>
          <w:p>
            <w:pPr>
              <w:spacing w:after="0"/>
            </w:pPr>
            <w:r/>
            <w:r>
              <w:rPr>
                <w:rFonts w:ascii="Liberation Sans" w:hAnsi="Liberation Sans"/>
                <w:b w:val="0"/>
                <w:color w:val="20312F"/>
                <w:sz w:val="17"/>
              </w:rPr>
              <w:t>Enter markets sequentially only when partner, language, legal, and support requirements are met.</w:t>
            </w:r>
          </w:p>
        </w:tc>
      </w:tr>
      <w:tr>
        <w:tc>
          <w:tcPr>
            <w:tcW w:type="dxa" w:w="3096"/>
            <w:vAlign w:val="center"/>
            <w:tcMar>
              <w:top w:w="110" w:type="dxa"/>
              <w:start w:w="130" w:type="dxa"/>
              <w:bottom w:w="110" w:type="dxa"/>
              <w:end w:w="130" w:type="dxa"/>
            </w:tcMar>
          </w:tcPr>
          <w:p>
            <w:pPr>
              <w:spacing w:after="0"/>
            </w:pPr>
            <w:r/>
            <w:r>
              <w:rPr>
                <w:rFonts w:ascii="Liberation Sans" w:hAnsi="Liberation Sans"/>
                <w:b w:val="0"/>
                <w:color w:val="20312F"/>
                <w:sz w:val="17"/>
              </w:rPr>
              <w:t>Revenue and fundraising assumptions are not yet evidenced.</w:t>
            </w:r>
          </w:p>
        </w:tc>
        <w:tc>
          <w:tcPr>
            <w:tcW w:type="dxa" w:w="6552"/>
            <w:vAlign w:val="center"/>
            <w:tcMar>
              <w:top w:w="110" w:type="dxa"/>
              <w:start w:w="130" w:type="dxa"/>
              <w:bottom w:w="110" w:type="dxa"/>
              <w:end w:w="130" w:type="dxa"/>
            </w:tcMar>
          </w:tcPr>
          <w:p>
            <w:pPr>
              <w:spacing w:after="0"/>
            </w:pPr>
            <w:r>
              <w:t>Build forecasts from agreed subscription terms, documented operating costs, and a milestone-based operating plan.</w:t>
            </w:r>
          </w:p>
        </w:tc>
      </w:tr>
    </w:tbl>
    <w:p>
      <w:pPr>
        <w:spacing w:after="0"/>
      </w:pPr>
    </w:p>
    <w:p>
      <w:pPr>
        <w:pStyle w:val="Heading1"/>
      </w:pPr>
      <w:r>
        <w:t>Investor Discussion and Information Still Needed</w:t>
      </w:r>
    </w:p>
    <w:p>
      <w:r>
        <w:t>Shalom welcomes conversations with prospective shareholders and strategic partners. The current materials are an early-stage discussion brief, not a complete investment memorandum. Before making a formal offer, the founder should confirm and document:</w:t>
      </w:r>
    </w:p>
    <w:p>
      <w:pPr>
        <w:pStyle w:val="ListBullet"/>
        <w:spacing w:after="60"/>
      </w:pPr>
      <w:r>
        <w:t>The exact product features that are live, in testing, or planned, and any known limitations.</w:t>
      </w:r>
    </w:p>
    <w:p>
      <w:pPr>
        <w:pStyle w:val="ListBullet"/>
        <w:spacing w:after="60"/>
      </w:pPr>
      <w:r>
        <w:t>Tester and pilot counts with definitions, dates, retention, and feedback summaries.</w:t>
      </w:r>
    </w:p>
    <w:p>
      <w:pPr>
        <w:pStyle w:val="ListBullet"/>
        <w:spacing w:after="60"/>
      </w:pPr>
      <w:r>
        <w:t>Founder and team biographies, roles, ownership, and relevant delivery experience.</w:t>
      </w:r>
    </w:p>
    <w:p>
      <w:pPr>
        <w:pStyle w:val="ListBullet"/>
        <w:spacing w:after="60"/>
      </w:pPr>
      <w:r>
        <w:t>Target raise, currency, instrument, valuation or pricing basis, intended runway, and milestone-linked budget.</w:t>
      </w:r>
    </w:p>
    <w:p>
      <w:pPr>
        <w:pStyle w:val="ListBullet"/>
        <w:spacing w:after="60"/>
      </w:pPr>
      <w:r>
        <w:t>Uganda customer research, market sizing methodology, competitor set, and subscription price tests.</w:t>
      </w:r>
    </w:p>
    <w:p>
      <w:pPr>
        <w:pStyle w:val="ListBullet"/>
        <w:spacing w:after="60"/>
      </w:pPr>
      <w:r>
        <w:t>Entity, intellectual property, data protection, security, payment, and applicable regulatory status.</w:t>
      </w:r>
    </w:p>
    <w:tbl>
      <w:tblPr>
        <w:tblW w:type="auto" w:w="0"/>
        <w:jc w:val="center"/>
        <w:tblLook w:firstColumn="1" w:firstRow="1" w:lastColumn="0" w:lastRow="0" w:noHBand="0" w:noVBand="1" w:val="04A0"/>
      </w:tblPr>
      <w:tblGrid>
        <w:gridCol w:w="9878"/>
      </w:tblGrid>
      <w:tr>
        <w:tc>
          <w:tcPr>
            <w:tcW w:type="dxa" w:w="9878"/>
            <w:shd w:fill="F8F3EA"/>
            <w:tcMar>
              <w:top w:w="150" w:type="dxa"/>
              <w:start w:w="180" w:type="dxa"/>
              <w:bottom w:w="150" w:type="dxa"/>
              <w:end w:w="180" w:type="dxa"/>
            </w:tcMar>
          </w:tcPr>
          <w:p>
            <w:pPr>
              <w:spacing w:after="60"/>
            </w:pPr>
            <w:r/>
            <w:r>
              <w:rPr>
                <w:b/>
                <w:color w:val="1F5145"/>
                <w:sz w:val="16"/>
              </w:rPr>
              <w:t>CONTACT</w:t>
            </w:r>
          </w:p>
          <w:p>
            <w:pPr>
              <w:spacing w:after="0" w:line="259" w:lineRule="auto"/>
            </w:pPr>
            <w:r>
              <w:t>Mwebaze Innocent  |  mwbzinno@gmail.com  |  +256 751 433 267</w:t>
            </w:r>
          </w:p>
        </w:tc>
      </w:tr>
    </w:tbl>
    <w:p/>
    <w:p>
      <w:pPr>
        <w:spacing w:before="240"/>
      </w:pPr>
      <w:r>
        <w:rPr>
          <w:b/>
          <w:color w:val="1F5145"/>
        </w:rPr>
        <w:t>Important notice</w:t>
      </w:r>
    </w:p>
    <w:p>
      <w:r>
        <w:t>This document is for discussion and planning purposes only. It is not an offer to sell or a solicitation to buy securities, and it does not contain investment terms. Any fundraising or investment proposal should be reviewed by qualified legal, tax, and regulatory advisers in the relevant jurisdictions.</w:t>
      </w:r>
    </w:p>
    <w:sectPr w:rsidR="00FC693F" w:rsidRPr="0006063C" w:rsidSect="00034616">
      <w:headerReference w:type="default" r:id="rId9"/>
      <w:footerReference w:type="default" r:id="rId10"/>
      <w:pgSz w:w="12240" w:h="15840"/>
      <w:pgMar w:top="1037" w:right="1181" w:bottom="1008"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B67"/>
        <w:sz w:val="16"/>
      </w:rPr>
      <w:t xml:space="preserve">Working draft  |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5B6B67"/>
        <w:sz w:val="16"/>
      </w:rPr>
      <w:t>SHALOM  /  INVESTOR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Liberation Sans" w:hAnsi="Liberation Sans"/>
      <w:color w:val="20312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b/>
      <w:bCs/>
      <w:color w:val="1F5145"/>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ans" w:hAnsi="Liberation Sans"/>
      <w:b/>
      <w:bCs/>
      <w:color w:val="20312F"/>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Liberation Sans" w:hAnsi="Liberation Sans"/>
      <w:b/>
      <w:bCs/>
      <w:color w:val="1F514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Liberation Sans" w:hAnsi="Liberation Sans"/>
      <w:b w:val="0"/>
      <w:color w:val="1F5145"/>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Shalom Investor Brief - Working Draft</dc:title>
  <dc:subject>Uganda-first faith community platform; pre-launch investor discussion brief</dc:subject>
  <dc:creator>Mwebaze Innocent</dc:creator>
  <cp:keywords>Shalom, Uganda, faith communities, investor brief, working draft</cp:keywords>
  <dc:description>generated by python-docx</dc:description>
  <cp:lastModifiedBy/>
  <cp:revision>1</cp:revision>
  <dcterms:created xsi:type="dcterms:W3CDTF">2013-12-23T23:15:00Z</dcterms:created>
  <dcterms:modified xsi:type="dcterms:W3CDTF">2013-12-23T23:15:00Z</dcterms:modified>
  <cp:category/>
</cp:coreProperties>
</file>