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wmf" ContentType="image/x-wmf"/>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eastAsia="黑体"/>
        </w:rPr>
      </w:pPr>
      <w:r>
        <w:rPr>
          <w:rFonts w:eastAsia="黑体"/>
          <w:lang w:eastAsia="zh-CN"/>
        </w:rPr>
        <w:t>海上</w:t>
      </w:r>
      <w:r>
        <w:rPr>
          <w:rFonts w:eastAsia="黑体"/>
        </w:rPr>
        <w:t>风力发电专题研讨报告</w:t>
      </w:r>
    </w:p>
    <w:tbl>
      <w:tblPr>
        <w:tblW w:w="3848" w:type="dxa"/>
        <w:jc w:val="end"/>
        <w:tblInd w:w="0" w:type="dxa"/>
        <w:tblLayout w:type="fixed"/>
        <w:tblCellMar>
          <w:top w:w="0" w:type="dxa"/>
          <w:start w:w="108" w:type="dxa"/>
          <w:bottom w:w="0" w:type="dxa"/>
          <w:end w:w="108" w:type="dxa"/>
        </w:tblCellMar>
      </w:tblPr>
      <w:tblGrid>
        <w:gridCol w:w="2000"/>
        <w:gridCol w:w="923"/>
        <w:gridCol w:w="925"/>
      </w:tblGrid>
      <w:tr>
        <w:trPr/>
        <w:tc>
          <w:tcPr>
            <w:tcW w:w="2000" w:type="dxa"/>
            <w:tcBorders>
              <w:top w:val="single" w:sz="4" w:space="0" w:color="000000"/>
              <w:start w:val="single" w:sz="4" w:space="0" w:color="000000"/>
              <w:bottom w:val="single" w:sz="4" w:space="0" w:color="000000"/>
              <w:end w:val="single" w:sz="4" w:space="0" w:color="000000"/>
            </w:tcBorders>
          </w:tcPr>
          <w:p>
            <w:pPr>
              <w:pStyle w:val="Normal"/>
              <w:rPr/>
            </w:pPr>
            <w:r>
              <w:rPr>
                <w:lang w:eastAsia="zh-CN"/>
              </w:rPr>
              <w:t>评分</w:t>
            </w:r>
            <w:r>
              <w:rPr/>
              <w:t>项目</w:t>
            </w:r>
          </w:p>
        </w:tc>
        <w:tc>
          <w:tcPr>
            <w:tcW w:w="923" w:type="dxa"/>
            <w:tcBorders>
              <w:top w:val="single" w:sz="4" w:space="0" w:color="000000"/>
              <w:start w:val="single" w:sz="4" w:space="0" w:color="000000"/>
              <w:bottom w:val="single" w:sz="4" w:space="0" w:color="000000"/>
              <w:end w:val="single" w:sz="4" w:space="0" w:color="000000"/>
            </w:tcBorders>
          </w:tcPr>
          <w:p>
            <w:pPr>
              <w:pStyle w:val="Normal"/>
              <w:rPr/>
            </w:pPr>
            <w:r>
              <w:rPr/>
              <w:t>满分</w:t>
            </w:r>
          </w:p>
        </w:tc>
        <w:tc>
          <w:tcPr>
            <w:tcW w:w="925" w:type="dxa"/>
            <w:tcBorders>
              <w:top w:val="single" w:sz="4" w:space="0" w:color="000000"/>
              <w:start w:val="single" w:sz="4" w:space="0" w:color="000000"/>
              <w:bottom w:val="single" w:sz="4" w:space="0" w:color="000000"/>
              <w:end w:val="single" w:sz="4" w:space="0" w:color="000000"/>
            </w:tcBorders>
          </w:tcPr>
          <w:p>
            <w:pPr>
              <w:pStyle w:val="Normal"/>
              <w:rPr/>
            </w:pPr>
            <w:r>
              <w:rPr/>
              <w:t>得分</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rPr>
                <w:rFonts w:eastAsia="宋体"/>
                <w:lang w:eastAsia="zh-CN"/>
              </w:rPr>
            </w:pPr>
            <w:r>
              <w:rPr/>
              <w:t>内容</w:t>
            </w:r>
            <w:r>
              <w:rPr>
                <w:lang w:eastAsia="zh-CN"/>
              </w:rPr>
              <w:t>的深度</w:t>
            </w:r>
          </w:p>
        </w:tc>
        <w:tc>
          <w:tcPr>
            <w:tcW w:w="923" w:type="dxa"/>
            <w:tcBorders>
              <w:top w:val="single" w:sz="4" w:space="0" w:color="000000"/>
              <w:start w:val="single" w:sz="4" w:space="0" w:color="000000"/>
              <w:bottom w:val="single" w:sz="4" w:space="0" w:color="000000"/>
              <w:end w:val="single" w:sz="4" w:space="0" w:color="000000"/>
            </w:tcBorders>
          </w:tcPr>
          <w:p>
            <w:pPr>
              <w:pStyle w:val="Normal"/>
              <w:rPr>
                <w:rFonts w:eastAsia="宋体"/>
                <w:lang w:eastAsia="zh-CN"/>
              </w:rPr>
            </w:pPr>
            <w:r>
              <w:rPr>
                <w:lang w:val="en-US" w:eastAsia="zh-CN"/>
              </w:rPr>
              <w:t>5</w:t>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宋体"/>
                <w:lang w:eastAsia="zh-CN"/>
              </w:rPr>
            </w:pPr>
            <w:r>
              <w:rPr>
                <w:rFonts w:eastAsia="宋体"/>
                <w:lang w:eastAsia="zh-CN"/>
              </w:rPr>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rPr>
                <w:rFonts w:eastAsia="宋体"/>
                <w:lang w:eastAsia="zh-CN"/>
              </w:rPr>
            </w:pPr>
            <w:r>
              <w:rPr>
                <w:lang w:eastAsia="zh-CN"/>
              </w:rPr>
              <w:t>内容的广度</w:t>
            </w:r>
          </w:p>
        </w:tc>
        <w:tc>
          <w:tcPr>
            <w:tcW w:w="923" w:type="dxa"/>
            <w:tcBorders>
              <w:top w:val="single" w:sz="4" w:space="0" w:color="000000"/>
              <w:start w:val="single" w:sz="4" w:space="0" w:color="000000"/>
              <w:bottom w:val="single" w:sz="4" w:space="0" w:color="000000"/>
              <w:end w:val="single" w:sz="4" w:space="0" w:color="000000"/>
            </w:tcBorders>
          </w:tcPr>
          <w:p>
            <w:pPr>
              <w:pStyle w:val="Normal"/>
              <w:rPr/>
            </w:pPr>
            <w:r>
              <w:rPr/>
              <w:t>5</w:t>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rPr>
                <w:rFonts w:eastAsia="宋体"/>
                <w:lang w:eastAsia="zh-CN"/>
              </w:rPr>
            </w:pPr>
            <w:r>
              <w:rPr>
                <w:lang w:eastAsia="zh-CN"/>
              </w:rPr>
              <w:t>内容的逻辑性</w:t>
            </w:r>
          </w:p>
        </w:tc>
        <w:tc>
          <w:tcPr>
            <w:tcW w:w="923" w:type="dxa"/>
            <w:tcBorders>
              <w:top w:val="single" w:sz="4" w:space="0" w:color="000000"/>
              <w:start w:val="single" w:sz="4" w:space="0" w:color="000000"/>
              <w:bottom w:val="single" w:sz="4" w:space="0" w:color="000000"/>
              <w:end w:val="single" w:sz="4" w:space="0" w:color="000000"/>
            </w:tcBorders>
          </w:tcPr>
          <w:p>
            <w:pPr>
              <w:pStyle w:val="Normal"/>
              <w:rPr>
                <w:rFonts w:eastAsia="宋体"/>
                <w:lang w:val="en-US" w:eastAsia="zh-CN"/>
              </w:rPr>
            </w:pPr>
            <w:r>
              <w:rPr>
                <w:lang w:val="en-US" w:eastAsia="zh-CN"/>
              </w:rPr>
              <w:t>5</w:t>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宋体"/>
                <w:lang w:val="en-US" w:eastAsia="zh-CN"/>
              </w:rPr>
            </w:pPr>
            <w:r>
              <w:rPr>
                <w:rFonts w:eastAsia="宋体"/>
                <w:lang w:val="en-US" w:eastAsia="zh-CN"/>
              </w:rPr>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rPr/>
            </w:pPr>
            <w:r>
              <w:rPr/>
              <w:t>文字的流畅性</w:t>
            </w:r>
          </w:p>
        </w:tc>
        <w:tc>
          <w:tcPr>
            <w:tcW w:w="923" w:type="dxa"/>
            <w:tcBorders>
              <w:top w:val="single" w:sz="4" w:space="0" w:color="000000"/>
              <w:start w:val="single" w:sz="4" w:space="0" w:color="000000"/>
              <w:bottom w:val="single" w:sz="4" w:space="0" w:color="000000"/>
              <w:end w:val="single" w:sz="4" w:space="0" w:color="000000"/>
            </w:tcBorders>
          </w:tcPr>
          <w:p>
            <w:pPr>
              <w:pStyle w:val="Normal"/>
              <w:rPr>
                <w:rFonts w:eastAsia="宋体"/>
                <w:lang w:val="en-US" w:eastAsia="zh-CN"/>
              </w:rPr>
            </w:pPr>
            <w:r>
              <w:rPr>
                <w:lang w:val="en-US" w:eastAsia="zh-CN"/>
              </w:rPr>
              <w:t>5</w:t>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宋体"/>
                <w:lang w:val="en-US" w:eastAsia="zh-CN"/>
              </w:rPr>
            </w:pPr>
            <w:r>
              <w:rPr>
                <w:rFonts w:eastAsia="宋体"/>
                <w:lang w:val="en-US" w:eastAsia="zh-CN"/>
              </w:rPr>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rPr>
                <w:rFonts w:eastAsia="宋体"/>
                <w:lang w:eastAsia="zh-CN"/>
              </w:rPr>
            </w:pPr>
            <w:r>
              <w:rPr>
                <w:lang w:eastAsia="zh-CN"/>
              </w:rPr>
              <w:t>格式的规范性</w:t>
            </w:r>
          </w:p>
        </w:tc>
        <w:tc>
          <w:tcPr>
            <w:tcW w:w="923" w:type="dxa"/>
            <w:tcBorders>
              <w:top w:val="single" w:sz="4" w:space="0" w:color="000000"/>
              <w:start w:val="single" w:sz="4" w:space="0" w:color="000000"/>
              <w:bottom w:val="single" w:sz="4" w:space="0" w:color="000000"/>
              <w:end w:val="single" w:sz="4" w:space="0" w:color="000000"/>
            </w:tcBorders>
          </w:tcPr>
          <w:p>
            <w:pPr>
              <w:pStyle w:val="Normal"/>
              <w:rPr>
                <w:rFonts w:eastAsia="宋体"/>
                <w:lang w:val="en-US" w:eastAsia="zh-CN"/>
              </w:rPr>
            </w:pPr>
            <w:r>
              <w:rPr>
                <w:lang w:val="en-US" w:eastAsia="zh-CN"/>
              </w:rPr>
              <w:t>5</w:t>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宋体"/>
                <w:lang w:val="en-US" w:eastAsia="zh-CN"/>
              </w:rPr>
            </w:pPr>
            <w:r>
              <w:rPr>
                <w:rFonts w:eastAsia="宋体"/>
                <w:lang w:val="en-US" w:eastAsia="zh-CN"/>
              </w:rPr>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rPr/>
            </w:pPr>
            <w:r>
              <w:rPr/>
              <w:t>总分</w:t>
            </w:r>
          </w:p>
        </w:tc>
        <w:tc>
          <w:tcPr>
            <w:tcW w:w="923" w:type="dxa"/>
            <w:tcBorders>
              <w:top w:val="single" w:sz="4" w:space="0" w:color="000000"/>
              <w:start w:val="single" w:sz="4" w:space="0" w:color="000000"/>
              <w:bottom w:val="single" w:sz="4" w:space="0" w:color="000000"/>
              <w:end w:val="single" w:sz="4" w:space="0" w:color="000000"/>
            </w:tcBorders>
          </w:tcPr>
          <w:p>
            <w:pPr>
              <w:pStyle w:val="Normal"/>
              <w:rPr>
                <w:rFonts w:eastAsia="宋体"/>
                <w:lang w:val="en-US" w:eastAsia="zh-CN"/>
              </w:rPr>
            </w:pPr>
            <w:r>
              <w:rPr>
                <w:rFonts w:eastAsia="宋体"/>
                <w:lang w:val="en-US" w:eastAsia="zh-CN"/>
              </w:rPr>
              <w:t>25</w:t>
            </w:r>
          </w:p>
        </w:tc>
        <w:tc>
          <w:tcPr>
            <w:tcW w:w="925"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宋体"/>
                <w:lang w:val="en-US" w:eastAsia="zh-CN"/>
              </w:rPr>
            </w:pPr>
            <w:r>
              <w:rPr>
                <w:rFonts w:eastAsia="宋体"/>
                <w:lang w:val="en-US" w:eastAsia="zh-CN"/>
              </w:rPr>
            </w:r>
          </w:p>
        </w:tc>
      </w:tr>
    </w:tbl>
    <w:p>
      <w:pPr>
        <w:pStyle w:val="Normal"/>
        <w:rPr>
          <w:rFonts w:eastAsia="黑体"/>
        </w:rPr>
      </w:pPr>
      <w:r>
        <w:rPr>
          <w:rFonts w:eastAsia="黑体"/>
        </w:rPr>
      </w:r>
    </w:p>
    <w:p>
      <w:pPr>
        <w:pStyle w:val="Normal"/>
        <w:spacing w:before="120" w:after="60"/>
        <w:jc w:val="center"/>
        <w:rPr>
          <w:rFonts w:eastAsia="黑体"/>
          <w:sz w:val="36"/>
          <w:szCs w:val="52"/>
        </w:rPr>
      </w:pPr>
      <w:r>
        <w:rPr>
          <w:rFonts w:ascii="Times New Roman" w:hAnsi="Times New Roman" w:eastAsia="黑体"/>
          <w:sz w:val="36"/>
          <w:szCs w:val="36"/>
        </w:rPr>
        <w:t xml:space="preserve">中国海上风电产业链及产业集群布局分析</w:t>
      </w:r>
    </w:p>
    <w:p>
      <w:pPr>
        <w:pStyle w:val="Normal"/>
        <w:spacing w:before="90" w:after="180"/>
        <w:jc w:val="center"/>
        <w:rPr>
          <w:sz w:val="21"/>
        </w:rPr>
      </w:pPr>
      <w:r>
        <w:rPr>
          <w:rFonts w:ascii="Times New Roman" w:hAnsi="Times New Roman" w:eastAsia="楷体_GB2312;楷体"/>
          <w:sz w:val="21"/>
          <w:szCs w:val="21"/>
        </w:rPr>
        <w:t xml:space="preserve">姓名1</w:t>
      </w:r>
      <w:r>
        <w:rPr>
          <w:rFonts w:ascii="Times New Roman" w:hAnsi="Times New Roman" w:eastAsia="楷体_GB2312;楷体"/>
          <w:vertAlign w:val="superscript"/>
          <w:sz w:val="21"/>
          <w:szCs w:val="21"/>
        </w:rPr>
        <w:t xml:space="preserve">1</w:t>
      </w:r>
      <w:r>
        <w:rPr>
          <w:rFonts w:ascii="Times New Roman" w:hAnsi="Times New Roman" w:eastAsia="楷体_GB2312;楷体"/>
          <w:sz w:val="21"/>
          <w:szCs w:val="21"/>
        </w:rPr>
        <w:t xml:space="preserve">，</w:t>
      </w:r>
      <w:r>
        <w:rPr>
          <w:rFonts w:ascii="Times New Roman" w:hAnsi="Times New Roman" w:eastAsia="楷体_GB2312;楷体"/>
          <w:sz w:val="21"/>
          <w:szCs w:val="21"/>
        </w:rPr>
        <w:t xml:space="preserve">姓名2</w:t>
      </w:r>
      <w:r>
        <w:rPr>
          <w:rFonts w:ascii="Times New Roman" w:hAnsi="Times New Roman" w:eastAsia="楷体_GB2312;楷体"/>
          <w:vertAlign w:val="superscript"/>
          <w:sz w:val="21"/>
          <w:szCs w:val="21"/>
        </w:rPr>
        <w:t xml:space="preserve">1</w:t>
      </w:r>
      <w:r>
        <w:rPr>
          <w:rFonts w:ascii="Times New Roman" w:hAnsi="Times New Roman" w:eastAsia="楷体_GB2312;楷体"/>
          <w:sz w:val="21"/>
          <w:szCs w:val="21"/>
        </w:rPr>
        <w:t xml:space="preserve">，</w:t>
      </w:r>
      <w:r>
        <w:rPr>
          <w:rFonts w:ascii="Times New Roman" w:hAnsi="Times New Roman" w:eastAsia="楷体_GB2312;楷体"/>
          <w:sz w:val="21"/>
          <w:szCs w:val="21"/>
        </w:rPr>
        <w:t xml:space="preserve">姓名3</w:t>
      </w:r>
      <w:r>
        <w:rPr>
          <w:rFonts w:ascii="Times New Roman" w:hAnsi="Times New Roman" w:eastAsia="楷体_GB2312;楷体"/>
          <w:vertAlign w:val="superscript"/>
          <w:sz w:val="21"/>
          <w:szCs w:val="21"/>
        </w:rPr>
        <w:t xml:space="preserve">2</w:t>
      </w:r>
      <w:r>
        <w:rPr>
          <w:rFonts w:ascii="Times New Roman" w:hAnsi="Times New Roman" w:eastAsia="楷体_GB2312;楷体"/>
          <w:sz w:val="21"/>
          <w:szCs w:val="21"/>
        </w:rPr>
        <w:t xml:space="preserve">，</w:t>
      </w:r>
      <w:r>
        <w:rPr>
          <w:rFonts w:ascii="Times New Roman" w:hAnsi="Times New Roman" w:eastAsia="楷体_GB2312;楷体"/>
          <w:sz w:val="21"/>
          <w:szCs w:val="21"/>
        </w:rPr>
        <w:t xml:space="preserve">姓名4</w:t>
      </w:r>
      <w:r>
        <w:rPr>
          <w:rFonts w:ascii="Times New Roman" w:hAnsi="Times New Roman" w:eastAsia="楷体_GB2312;楷体"/>
          <w:vertAlign w:val="superscript"/>
          <w:sz w:val="21"/>
          <w:szCs w:val="21"/>
        </w:rPr>
        <w:t xml:space="preserve">2</w:t>
      </w:r>
    </w:p>
    <w:p>
      <w:pPr>
        <w:pStyle w:val="Normal"/>
        <w:spacing w:before="0" w:after="60"/>
        <w:jc w:val="center"/>
        <w:rPr>
          <w:sz w:val="18"/>
        </w:rPr>
      </w:pPr>
      <w:r>
        <w:rPr>
          <w:sz w:val="18"/>
          <w:szCs w:val="18"/>
        </w:rPr>
        <w:t xml:space="preserve">(1.东北电力大学能源与动力工程学院新能源XXX班，吉林，吉林 132012</w:t>
      </w:r>
    </w:p>
    <w:p>
      <w:pPr>
        <w:pStyle w:val="Normal"/>
        <w:spacing w:before="0" w:after="180"/>
        <w:jc w:val="center"/>
        <w:rPr>
          <w:sz w:val="18"/>
        </w:rPr>
      </w:pPr>
      <w:r>
        <w:rPr>
          <w:sz w:val="18"/>
          <w:szCs w:val="18"/>
        </w:rPr>
        <w:t xml:space="preserve">2. 东北电力大学能源与动力工程学院新能源XXX班，吉林，吉林 132012)</w:t>
      </w:r>
    </w:p>
    <w:p>
      <w:pPr>
        <w:pStyle w:val="Normal"/>
        <w:spacing w:after="60"/>
        <w:ind w:hanging="742" w:start="746" w:end="0"/>
        <w:rPr>
          <w:sz w:val="18"/>
        </w:rPr>
      </w:pPr>
      <w:r>
        <w:rPr>
          <w:rFonts w:ascii="Times New Roman" w:hAnsi="Times New Roman" w:eastAsia="黑体"/>
          <w:b/>
          <w:bCs/>
          <w:sz w:val="18"/>
          <w:szCs w:val="18"/>
        </w:rPr>
        <w:t xml:space="preserve">摘  要：</w:t>
      </w:r>
      <w:r>
        <w:rPr>
          <w:sz w:val="18"/>
          <w:szCs w:val="18"/>
        </w:rPr>
        <w:t xml:space="preserve">围绕中国海上风电产业链及产业集群布局问题，以2019—2025年并网统计数据和代表性工程为基础，采用产业链环节分解与区域比较相结合的方法，从关键技术入手梳理上游零部件、中游整机与海工装备、下游开发运维的技术特征和国产化水平，并对沿海主要产业集群的空间布局及其形成机制进行分析。结果表明：截至2025年底，中国海上风电累计并网容量约4700万千瓦，连续5年居全球首位，已形成覆盖设计、制造、施工、运维的完整产业链，单机容量迈入20 MW级；产业集群呈现沿海带状分布、依港布局、随项目集聚的特征，江苏盐城、广东阳江等地集聚效应突出。主轴承与大功率IGBT等核心部件对外依存、深远海送出与漂浮式技术成本偏高、用海约束趋紧及集群同质化竞争是当前主要制约因素。以大型化和深远海技术为牵引、按海域统筹推进集群差异化分工，是产业布局优化的主要方向。</w:t>
      </w:r>
    </w:p>
    <w:p>
      <w:pPr>
        <w:pStyle w:val="Normal"/>
        <w:spacing w:after="60"/>
        <w:ind w:hanging="742" w:start="746" w:end="0"/>
        <w:rPr>
          <w:sz w:val="18"/>
        </w:rPr>
      </w:pPr>
      <w:r>
        <w:rPr>
          <w:rFonts w:ascii="Times New Roman" w:hAnsi="Times New Roman" w:eastAsia="黑体"/>
          <w:b/>
          <w:bCs/>
          <w:sz w:val="18"/>
          <w:szCs w:val="18"/>
        </w:rPr>
        <w:t xml:space="preserve">关键词：</w:t>
      </w:r>
      <w:r>
        <w:rPr>
          <w:sz w:val="18"/>
          <w:szCs w:val="18"/>
        </w:rPr>
        <w:t xml:space="preserve">海上风电；产业链；产业集群；空间布局；深远海；关键技术</w:t>
      </w:r>
    </w:p>
    <w:p>
      <w:pPr>
        <w:pStyle w:val="Normal"/>
        <w:spacing w:before="240" w:after="120"/>
        <w:jc w:val="center"/>
        <w:rPr>
          <w:b/>
          <w:sz w:val="24"/>
        </w:rPr>
      </w:pPr>
      <w:r>
        <w:rPr>
          <w:b/>
          <w:bCs/>
          <w:sz w:val="24"/>
          <w:szCs w:val="24"/>
        </w:rPr>
        <w:t xml:space="preserve">Analysis of the Industrial Chain and Industrial Cluster Layout of China's Offshore Wind Power</w:t>
      </w:r>
    </w:p>
    <w:p>
      <w:pPr>
        <w:pStyle w:val="Normal"/>
        <w:spacing w:after="60"/>
        <w:ind w:hanging="1000" w:start="1004" w:end="0"/>
        <w:rPr>
          <w:sz w:val="18"/>
        </w:rPr>
      </w:pPr>
      <w:r>
        <w:rPr>
          <w:b/>
          <w:bCs/>
          <w:sz w:val="18"/>
          <w:szCs w:val="18"/>
        </w:rPr>
        <w:t xml:space="preserve">Abstract: </w:t>
      </w:r>
      <w:r>
        <w:rPr>
          <w:sz w:val="18"/>
          <w:szCs w:val="18"/>
        </w:rPr>
        <w:t xml:space="preserve">Based on grid-connection statistics from 2019 to 2025 and representative projects, the industrial chain of China's offshore wind power is decomposed into upstream components, midstream turbine and marine engineering equipment, and downstream development and operation, and the technical features and localization level of each link are reviewed. The spatial layout of the main coastal industrial clusters and its formation mechanism are then compared. By the end of 2025, China's cumulative grid-connected offshore wind capacity reached about 47 GW, ranking first in the world for five consecutive years, and a complete industrial chain has been built with unit capacity entering the 20 MW class. The clusters are distributed along the coast, rely on ports and gather around projects, with Yancheng and Yangjiang as the most prominent. Dependence on imported main bearings and high-power IGBTs, the high cost of far-offshore transmission and floating technology, tighter sea-use constraints and homogeneous competition among clusters are the main restrictions. Large-scale and far-offshore technologies, together with differentiated division of labour among clusters coordinated by sea area, are the main directions for optimizing the layout.</w:t>
      </w:r>
    </w:p>
    <w:p>
      <w:pPr>
        <w:pStyle w:val="Normal"/>
        <w:spacing w:after="60"/>
        <w:ind w:hanging="1000" w:start="1004" w:end="0"/>
        <w:rPr>
          <w:sz w:val="18"/>
        </w:rPr>
      </w:pPr>
      <w:r>
        <w:rPr>
          <w:b/>
          <w:bCs/>
          <w:sz w:val="18"/>
          <w:szCs w:val="18"/>
        </w:rPr>
        <w:t xml:space="preserve">Key words: </w:t>
      </w:r>
      <w:r>
        <w:rPr>
          <w:sz w:val="18"/>
          <w:szCs w:val="18"/>
        </w:rPr>
        <w:t xml:space="preserve">offshore wind power; industrial chain; industrial cluster; spatial layout; far-offshore; key technology</w:t>
      </w:r>
    </w:p>
    <w:p>
      <w:pPr>
        <w:pStyle w:val="Normal"/>
        <w:spacing w:lineRule="exact" w:line="240"/>
        <w:rPr>
          <w:sz w:val="12"/>
        </w:rPr>
      </w:pPr>
    </w:p>
    <w:p>
      <w:pPr>
        <w:pStyle w:val="Heading1"/>
        <w:keepNext w:val="true"/>
        <w:numPr>
          <w:ilvl w:val="0"/>
          <w:numId w:val="0"/>
        </w:numPr>
        <w:snapToGrid w:val="false"/>
        <w:spacing w:before="240" w:after="120"/>
        <w:ind w:start="0" w:hanging="0"/>
        <w:jc w:val="start"/>
        <w:rPr>
          <w:rFonts w:eastAsia="黑体"/>
          <w:b w:val="false"/>
          <w:sz w:val="28"/>
        </w:rPr>
      </w:pPr>
      <w:r>
        <w:rPr>
          <w:b w:val="false"/>
          <w:rFonts w:ascii="Times New Roman" w:hAnsi="Times New Roman" w:eastAsia="黑体"/>
          <w:sz w:val="28"/>
          <w:szCs w:val="28"/>
        </w:rPr>
        <w:t xml:space="preserve">1 引言</w:t>
      </w:r>
    </w:p>
    <w:p>
      <w:pPr>
        <w:pStyle w:val="Normal"/>
        <w:spacing w:lineRule="exact" w:line="360"/>
        <w:ind w:firstLine="482" w:end="0"/>
        <w:rPr>
          <w:sz w:val="21"/>
          <w:szCs w:val="21"/>
        </w:rPr>
      </w:pPr>
      <w:r>
        <w:rPr>
          <w:sz w:val="21"/>
          <w:szCs w:val="21"/>
        </w:rPr>
        <w:t xml:space="preserve">海上风电具有风速高、湍流强度小、年利用小时数高、不占用陆地资源、靠近东部沿海负荷中心等优势，是实现“碳达峰、碳中和”目标和构建新型电力系统的重要支撑。与陆上风电相比，海面粗糙度小，同一高度处的平均风速一般高出20%左右，而风电机组输出功率与风速的三次方成正比，因此海上风电年利用小时数普遍可达2500～3500 h，明显高于陆上风电。我国大陆海岸线长约1.8万km，近海风能资源丰富，近海5～50 m水深范围内风能资源技术可开发量约5亿千瓦，水深50 m以上的深远海资源潜力更大</w:t>
      </w:r>
      <w:r>
        <w:rPr>
          <w:vertAlign w:val="superscript"/>
          <w:sz w:val="21"/>
          <w:szCs w:val="21"/>
        </w:rPr>
        <w:t xml:space="preserve">[1]</w:t>
      </w:r>
      <w:r>
        <w:rPr>
          <w:sz w:val="21"/>
          <w:szCs w:val="21"/>
        </w:rPr>
        <w:t xml:space="preserve">。</w:t>
      </w:r>
    </w:p>
    <w:p>
      <w:pPr>
        <w:pStyle w:val="Normal"/>
        <w:spacing w:lineRule="exact" w:line="360"/>
        <w:ind w:firstLine="482" w:end="0"/>
        <w:rPr>
          <w:sz w:val="21"/>
          <w:szCs w:val="21"/>
        </w:rPr>
      </w:pPr>
      <w:r>
        <w:rPr>
          <w:sz w:val="21"/>
          <w:szCs w:val="21"/>
        </w:rPr>
        <w:t xml:space="preserve">我国海上风电起步于2007年渤海海域投运的第一台1.5 MW试验机组。2010年上海东海大桥10.2万千瓦海上风电场建成投运，标志着我国海上风电进入工程化开发阶段；此后先后经历示范探索、核准电价支持下的规模化开发、2021年“抢装”高峰和平价发展等阶段。截至2025年底，全国海上风电累计并网容量约4700万千瓦</w:t>
      </w:r>
      <w:r>
        <w:rPr>
          <w:vertAlign w:val="superscript"/>
          <w:sz w:val="21"/>
          <w:szCs w:val="21"/>
        </w:rPr>
        <w:t xml:space="preserve">[2]</w:t>
      </w:r>
      <w:r>
        <w:rPr>
          <w:sz w:val="21"/>
          <w:szCs w:val="21"/>
        </w:rPr>
        <w:t xml:space="preserve">，形成了从原材料、关键零部件、整机制造、海工施工到开发运维的完整产业链，并在江苏、广东、福建、山东等沿海地区形成了一批特色鲜明的产业集群。</w:t>
      </w:r>
    </w:p>
    <w:p>
      <w:pPr>
        <w:pStyle w:val="Normal"/>
        <w:spacing w:lineRule="exact" w:line="360"/>
        <w:ind w:firstLine="482" w:end="0"/>
        <w:rPr>
          <w:sz w:val="21"/>
          <w:szCs w:val="21"/>
        </w:rPr>
      </w:pPr>
      <w:r>
        <w:rPr>
          <w:sz w:val="21"/>
          <w:szCs w:val="21"/>
        </w:rPr>
        <w:t xml:space="preserve">与陆上风电相比，海上风电产业链具有“部件超大、装备重型、依港布局、技术密集”的特点：叶片长度已超过120 m，单桩基础重量可达2000 t以上，大部件基本只能依靠水路运输，产业布局高度依赖港口与岸线资源；机组大型化、深远海送出和漂浮式基础等技术进步，又不断改变产业链各环节的技术门槛和空间分布。可以说，海上风电产业“在哪里布局”，很大程度上是由“采用什么技术”决定的。</w:t>
      </w:r>
    </w:p>
    <w:p>
      <w:pPr>
        <w:pStyle w:val="Normal"/>
        <w:spacing w:lineRule="exact" w:line="360"/>
        <w:ind w:firstLine="482" w:end="0"/>
        <w:rPr>
          <w:sz w:val="21"/>
          <w:szCs w:val="21"/>
        </w:rPr>
      </w:pPr>
      <w:r>
        <w:rPr>
          <w:sz w:val="21"/>
          <w:szCs w:val="21"/>
        </w:rPr>
        <w:t xml:space="preserve">基于上述认识，报告以海上风电为基本前提、以技术问题为核心，采用文献与统计资料分析、产业链环节分解和区域比较相结合的方法：首先以国家能源局等官方统计数据为基础梳理发展现状和关键技术进展；其次按上、中、下游分解产业链，分析各环节的关键技术与国产化水平；再次比较沿海主要产业集群的空间布局和形成机制；然后从技术、政策市场和集群三个层面分析制约因素；最后论述技术发展趋势，并提出产业集群布局的优化建议。</w:t>
      </w:r>
    </w:p>
    <w:p>
      <w:pPr>
        <w:pStyle w:val="Heading1"/>
        <w:keepNext w:val="true"/>
        <w:numPr>
          <w:ilvl w:val="0"/>
          <w:numId w:val="0"/>
        </w:numPr>
        <w:snapToGrid w:val="false"/>
        <w:spacing w:before="240" w:after="120"/>
        <w:ind w:start="0" w:hanging="0"/>
        <w:jc w:val="start"/>
        <w:rPr>
          <w:rFonts w:eastAsia="黑体"/>
          <w:b w:val="false"/>
          <w:sz w:val="28"/>
        </w:rPr>
      </w:pPr>
      <w:r>
        <w:rPr>
          <w:b w:val="false"/>
          <w:rFonts w:ascii="Times New Roman" w:hAnsi="Times New Roman" w:eastAsia="黑体"/>
          <w:sz w:val="28"/>
          <w:szCs w:val="28"/>
        </w:rPr>
        <w:t xml:space="preserve">2 中国海上风电发展现状</w:t>
      </w:r>
    </w:p>
    <w:p>
      <w:pPr>
        <w:pStyle w:val="Normal"/>
        <w:keepNext w:val="true"/>
        <w:snapToGrid w:val="false"/>
        <w:spacing w:before="120" w:after="60"/>
        <w:ind w:firstLine="0"/>
        <w:rPr>
          <w:b/>
          <w:sz w:val="24"/>
        </w:rPr>
      </w:pPr>
      <w:r>
        <w:rPr>
          <w:rFonts w:ascii="Times New Roman" w:hAnsi="Times New Roman" w:eastAsia="黑体"/>
          <w:b/>
          <w:bCs/>
          <w:sz w:val="24"/>
          <w:szCs w:val="24"/>
        </w:rPr>
        <w:t xml:space="preserve">2.1 发展阶段与装机规模</w:t>
      </w:r>
    </w:p>
    <w:p>
      <w:pPr>
        <w:pStyle w:val="Normal"/>
        <w:spacing w:lineRule="exact" w:line="360"/>
        <w:ind w:firstLine="482" w:end="0"/>
        <w:rPr>
          <w:sz w:val="21"/>
          <w:szCs w:val="21"/>
        </w:rPr>
      </w:pPr>
      <w:r>
        <w:rPr>
          <w:sz w:val="21"/>
          <w:szCs w:val="21"/>
        </w:rPr>
        <w:t xml:space="preserve">从政策和市场演变看，我国海上风电大体经历了四个阶段。一是示范起步阶段（2007—2013年），以渤海试验机组、东海大桥和江苏潮间带示范项目为代表，主要解决“能不能建”的问题。二是核准电价驱动的规模化阶段（2014—2018年），国家明确近海风电项目上网电价0.85元/(kW·h)、潮间带项目0.75元/(kW·h)，江苏、福建、广东等省份项目陆续开工。三是竞争配置与“抢装”阶段（2019—2021年），新核准项目开始通过竞争方式配置资源、确定电价，同时财政补贴退出政策明确，2018年底前核准的项目须在2021年底前全容量并网方可执行核准电价，由此引发“抢装潮”。四是平价发展阶段（2022年至今），新增项目不再享受中央财政补贴，产业链转向以技术进步降低度电成本。</w:t>
      </w:r>
    </w:p>
    <w:p>
      <w:pPr>
        <w:pStyle w:val="Normal"/>
        <w:spacing w:lineRule="exact" w:line="360"/>
        <w:ind w:firstLine="482" w:end="0"/>
        <w:rPr>
          <w:sz w:val="21"/>
          <w:szCs w:val="21"/>
        </w:rPr>
      </w:pPr>
      <w:r>
        <w:rPr>
          <w:sz w:val="21"/>
          <w:szCs w:val="21"/>
        </w:rPr>
        <w:t xml:space="preserve">2019—2025年我国海上风电新增及累计并网容量如图1所示。2021年新增并网1690万千瓦，超过此前历年新增之和；2022年起年新增规模回落至400万～700万千瓦，2025年新增并网659万千瓦，年末累计约4700万千瓦</w:t>
      </w:r>
      <w:r>
        <w:rPr>
          <w:vertAlign w:val="superscript"/>
          <w:sz w:val="21"/>
          <w:szCs w:val="21"/>
        </w:rPr>
        <w:t xml:space="preserve">[2]</w:t>
      </w:r>
      <w:r>
        <w:rPr>
          <w:sz w:val="21"/>
          <w:szCs w:val="21"/>
        </w:rPr>
        <w:t xml:space="preserve">。从全球看，据全球风能理事会(GWEC)统计，截至2024年底中国海上风电累计装机41.8 GW，约占全球总量的一半，欧洲合计约36 GW，中国已连续7年位居全球年度新增装机首位</w:t>
      </w:r>
      <w:r>
        <w:rPr>
          <w:vertAlign w:val="superscript"/>
          <w:sz w:val="21"/>
          <w:szCs w:val="21"/>
        </w:rPr>
        <w:t xml:space="preserve">[3]</w:t>
      </w:r>
      <w:r>
        <w:rPr>
          <w:sz w:val="21"/>
          <w:szCs w:val="21"/>
        </w:rPr>
        <w:t xml:space="preserve">；截至2025年底，我国海上风电累计并网规模已连续5年居全球第一</w:t>
      </w:r>
      <w:r>
        <w:rPr>
          <w:vertAlign w:val="superscript"/>
          <w:sz w:val="21"/>
          <w:szCs w:val="21"/>
        </w:rPr>
        <w:t xml:space="preserve">[4]</w:t>
      </w:r>
      <w:r>
        <w:rPr>
          <w:sz w:val="21"/>
          <w:szCs w:val="21"/>
        </w:rPr>
        <w:t xml:space="preserve">。</w:t>
      </w:r>
    </w:p>
    <w:p>
      <w:pPr>
        <w:pStyle w:val="Normal"/>
        <w:keepNext w:val="true"/>
        <w:spacing w:before="120"/>
        <w:jc w:val="center"/>
      </w:pPr>
      <w:r>
        <w:drawing>
          <wp:inline distT="0" distB="0" distL="0" distR="0">
            <wp:extent cx="5580000" cy="2140309"/>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Fig1"/>
                    <a:stretch>
                      <a:fillRect/>
                    </a:stretch>
                  </pic:blipFill>
                  <pic:spPr>
                    <a:xfrm>
                      <a:off x="0" y="0"/>
                      <a:ext cx="5580000" cy="2140309"/>
                    </a:xfrm>
                    <a:prstGeom prst="rect">
                      <a:avLst/>
                    </a:prstGeom>
                  </pic:spPr>
                </pic:pic>
              </a:graphicData>
            </a:graphic>
          </wp:inline>
        </w:drawing>
      </w:r>
    </w:p>
    <w:p>
      <w:pPr>
        <w:pStyle w:val="Normal"/>
        <w:snapToGrid w:val="false"/>
        <w:spacing w:before="60" w:after="120"/>
        <w:jc w:val="center"/>
        <w:rPr>
          <w:sz w:val="18"/>
        </w:rPr>
      </w:pPr>
      <w:r>
        <w:rPr>
          <w:sz w:val="18"/>
          <w:szCs w:val="18"/>
        </w:rPr>
        <w:t xml:space="preserve">图1 2019—2025年中国海上风电并网容量（数据来源：国家能源局，2025年累计值为约数）</w:t>
      </w:r>
    </w:p>
    <w:p>
      <w:pPr>
        <w:pStyle w:val="Normal"/>
        <w:spacing w:lineRule="exact" w:line="360"/>
        <w:ind w:firstLine="482" w:end="0"/>
        <w:rPr>
          <w:sz w:val="21"/>
          <w:szCs w:val="21"/>
        </w:rPr>
      </w:pPr>
      <w:r>
        <w:rPr>
          <w:sz w:val="21"/>
          <w:szCs w:val="21"/>
        </w:rPr>
        <w:t xml:space="preserve">从图1可以看出，我国海上风电装机增长呈现明显的“政策驱动型”特征：补贴政策窗口期带来装机的脉冲式增长，而平价阶段的增长则更多取决于技术降本速度和项目审批节奏。这种波动直接传导到产业链上游，抢装期间安装船、海缆和整机供不应求，平价初期又出现产能闲置，对产业集群的稳定发展提出了挑战。</w:t>
      </w:r>
    </w:p>
    <w:p>
      <w:pPr>
        <w:pStyle w:val="Normal"/>
        <w:keepNext w:val="true"/>
        <w:snapToGrid w:val="false"/>
        <w:spacing w:before="120" w:after="60"/>
        <w:ind w:firstLine="0"/>
        <w:rPr>
          <w:b/>
          <w:sz w:val="24"/>
        </w:rPr>
      </w:pPr>
      <w:r>
        <w:rPr>
          <w:rFonts w:ascii="Times New Roman" w:hAnsi="Times New Roman" w:eastAsia="黑体"/>
          <w:b/>
          <w:bCs/>
          <w:sz w:val="24"/>
          <w:szCs w:val="24"/>
        </w:rPr>
        <w:t xml:space="preserve">2.2 区域分布</w:t>
      </w:r>
    </w:p>
    <w:p>
      <w:pPr>
        <w:pStyle w:val="Normal"/>
        <w:spacing w:lineRule="exact" w:line="360"/>
        <w:ind w:firstLine="482" w:end="0"/>
        <w:rPr>
          <w:sz w:val="21"/>
          <w:szCs w:val="21"/>
        </w:rPr>
      </w:pPr>
      <w:r>
        <w:rPr>
          <w:sz w:val="21"/>
          <w:szCs w:val="21"/>
        </w:rPr>
        <w:t xml:space="preserve">我国海上风电开发呈现“沿海全面铺开、苏粤领先”的格局。江苏依托平缓的潮间带和近海浅水海域率先实现规模化开发，据国网江苏省电力公司披露，截至2025年底江苏省网海上风电并网容量1349万千瓦，居全国各省份首位，长三角地区合计超过1900万千瓦。广东在“十四五”期间快速追赶，2026年9月阳江一市海上风电并网容量已达801.66万千瓦，约占全省的55.2%，居全国地级市首位</w:t>
      </w:r>
      <w:r>
        <w:rPr>
          <w:vertAlign w:val="superscript"/>
          <w:sz w:val="21"/>
          <w:szCs w:val="21"/>
        </w:rPr>
        <w:t xml:space="preserve">[5]</w:t>
      </w:r>
      <w:r>
        <w:rPr>
          <w:sz w:val="21"/>
          <w:szCs w:val="21"/>
        </w:rPr>
        <w:t xml:space="preserve">。福建、山东、浙江、辽宁、广西、海南等省份也已建成或在建海上风电项目，开发重心正由江苏一省独大转向黄海、东海、南海多海域并进。</w:t>
      </w:r>
    </w:p>
    <w:p>
      <w:pPr>
        <w:pStyle w:val="Normal"/>
        <w:spacing w:lineRule="exact" w:line="360"/>
        <w:ind w:firstLine="482" w:end="0"/>
        <w:rPr>
          <w:sz w:val="21"/>
          <w:szCs w:val="21"/>
        </w:rPr>
      </w:pPr>
      <w:r>
        <w:rPr>
          <w:sz w:val="21"/>
          <w:szCs w:val="21"/>
        </w:rPr>
        <w:t xml:space="preserve">各海域的自然条件差异明显，决定了区域开发的技术路线各不相同：江苏海域水深浅、海床以砂土和粉土为主，适合大直径单桩基础，但需重视冲刷防护；福建海域风资源好，但海床基岩埋深浅，常需采用嵌岩桩或导管架基础；广东、广西和海南海域水深较大且台风频发，对机组抗台风能力和深水基础提出了更高要求；渤海北部冬季有海冰，基础需考虑冰荷载。区域自然条件的差异，是后文分析集群差异化分工的重要依据。</w:t>
      </w:r>
    </w:p>
    <w:p>
      <w:pPr>
        <w:pStyle w:val="Normal"/>
        <w:keepNext w:val="true"/>
        <w:snapToGrid w:val="false"/>
        <w:spacing w:before="120" w:after="60"/>
        <w:ind w:firstLine="0"/>
        <w:rPr>
          <w:b/>
          <w:sz w:val="24"/>
        </w:rPr>
      </w:pPr>
      <w:r>
        <w:rPr>
          <w:rFonts w:ascii="Times New Roman" w:hAnsi="Times New Roman" w:eastAsia="黑体"/>
          <w:b/>
          <w:bCs/>
          <w:sz w:val="24"/>
          <w:szCs w:val="24"/>
        </w:rPr>
        <w:t xml:space="preserve">2.3 关键技术发展现状</w:t>
      </w:r>
    </w:p>
    <w:p>
      <w:pPr>
        <w:pStyle w:val="Normal"/>
        <w:spacing w:lineRule="exact" w:line="360"/>
        <w:ind w:firstLine="482" w:end="0"/>
        <w:rPr>
          <w:sz w:val="21"/>
          <w:szCs w:val="21"/>
        </w:rPr>
      </w:pPr>
      <w:r>
        <w:rPr>
          <w:sz w:val="21"/>
          <w:szCs w:val="21"/>
        </w:rPr>
        <w:t xml:space="preserve">（1）机组大型化。单机容量是降低海上风电度电成本的核心手段：风轮扫风面积与叶轮直径的平方成正比，单机容量越大，同等装机所需的机位、基础、海缆和吊装次数越少，运维工作量也相应减少。我国海上风电机组单机容量由2010年东海大桥项目的3 MW提升至2020年前后的6～8 MW，目前新建项目普遍采用12～18 MW机组，叶轮直径普遍超过250 m；20 MW级机组已在实际海况下完成吊装，全球首台16 MW漂浮式海上风电机组也已完成一体化组装</w:t>
      </w:r>
      <w:r>
        <w:rPr>
          <w:vertAlign w:val="superscript"/>
          <w:sz w:val="21"/>
          <w:szCs w:val="21"/>
        </w:rPr>
        <w:t xml:space="preserve">[4]</w:t>
      </w:r>
      <w:r>
        <w:rPr>
          <w:sz w:val="21"/>
          <w:szCs w:val="21"/>
        </w:rPr>
        <w:t xml:space="preserve">。</w:t>
      </w:r>
    </w:p>
    <w:p>
      <w:pPr>
        <w:pStyle w:val="Normal"/>
        <w:spacing w:lineRule="exact" w:line="360"/>
        <w:ind w:firstLine="482" w:end="0"/>
        <w:rPr>
          <w:sz w:val="21"/>
          <w:szCs w:val="21"/>
        </w:rPr>
      </w:pPr>
      <w:r>
        <w:rPr>
          <w:sz w:val="21"/>
          <w:szCs w:val="21"/>
        </w:rPr>
        <w:t xml:space="preserve">（2）基础形式多样化。基础结构造价通常占海上风电工程投资的20%以上，其选型主要取决于水深、海床地质和环境荷载，各类基础形式的适用范围如图2(a)所示。水深40 m以内海域以单桩基础为主，单桩直径已超过10 m，施工工艺成熟、经济性好；40～60 m水深多采用导管架、吸力筒等基础，结构刚度大但用钢量和施工工序较多；水深超过60 m后固定式基础用钢量和造价迅速上升，需要采用半潜式、单柱式、张力腿式等漂浮式基础。</w:t>
      </w:r>
    </w:p>
    <w:p>
      <w:pPr>
        <w:pStyle w:val="Normal"/>
        <w:spacing w:lineRule="exact" w:line="360"/>
        <w:ind w:firstLine="482" w:end="0"/>
        <w:rPr>
          <w:sz w:val="21"/>
          <w:szCs w:val="21"/>
        </w:rPr>
      </w:pPr>
      <w:r>
        <w:rPr>
          <w:sz w:val="21"/>
          <w:szCs w:val="21"/>
        </w:rPr>
        <w:t xml:space="preserve">（3）送出技术向柔性直流发展。近海风电场普遍采用35/66 kV集电、海上升压站升压至220 kV后以高压交流海缆送出。海缆对地电容大，交流送出时充电电流随海缆长度增加而增大，挤占海缆载流能力；当离岸距离超过约70 km时，需要装设大容量无功补偿，柔性直流输电(VSC-HVDC)在经济性和技术性上逐步占优</w:t>
      </w:r>
      <w:r>
        <w:rPr>
          <w:vertAlign w:val="superscript"/>
          <w:sz w:val="21"/>
          <w:szCs w:val="21"/>
        </w:rPr>
        <w:t xml:space="preserve">[6,7]</w:t>
      </w:r>
      <w:r>
        <w:rPr>
          <w:sz w:val="21"/>
          <w:szCs w:val="21"/>
        </w:rPr>
        <w:t xml:space="preserve">。柔性直流不存在充电电流问题，可独立控制有功和无功功率，并具备向无源网络供电的能力，适合风电这类弱电源送出。各送出方式的适用范围如图2(b)所示。三峡如东±400 kV柔直工程投运后，柔性直流已成为深远海大规模送出的主要技术路线，柔性低频交流输电也已在浙江开展工程示范。</w:t>
      </w:r>
    </w:p>
    <w:p>
      <w:pPr>
        <w:pStyle w:val="Normal"/>
        <w:keepNext w:val="true"/>
        <w:spacing w:before="120"/>
        <w:jc w:val="center"/>
      </w:pPr>
      <w:r>
        <w:drawing>
          <wp:inline distT="0" distB="0" distL="0" distR="0">
            <wp:extent cx="5580000" cy="1981139"/>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pic:cNvPicPr>
                  </pic:nvPicPr>
                  <pic:blipFill>
                    <a:blip r:embed="rIdFig2"/>
                    <a:stretch>
                      <a:fillRect/>
                    </a:stretch>
                  </pic:blipFill>
                  <pic:spPr>
                    <a:xfrm>
                      <a:off x="0" y="0"/>
                      <a:ext cx="5580000" cy="1981139"/>
                    </a:xfrm>
                    <a:prstGeom prst="rect">
                      <a:avLst/>
                    </a:prstGeom>
                  </pic:spPr>
                </pic:pic>
              </a:graphicData>
            </a:graphic>
          </wp:inline>
        </w:drawing>
      </w:r>
    </w:p>
    <w:p>
      <w:pPr>
        <w:pStyle w:val="Normal"/>
        <w:snapToGrid w:val="false"/>
        <w:spacing w:before="60" w:after="120"/>
        <w:jc w:val="center"/>
        <w:rPr>
          <w:sz w:val="18"/>
        </w:rPr>
      </w:pPr>
      <w:r>
        <w:rPr>
          <w:sz w:val="18"/>
          <w:szCs w:val="18"/>
        </w:rPr>
        <w:t xml:space="preserve">图2 海上风电基础形式与送出方式的适用范围（示意）</w:t>
      </w:r>
    </w:p>
    <w:p>
      <w:pPr>
        <w:pStyle w:val="Normal"/>
        <w:spacing w:lineRule="exact" w:line="360"/>
        <w:ind w:firstLine="482" w:end="0"/>
        <w:rPr>
          <w:sz w:val="21"/>
          <w:szCs w:val="21"/>
        </w:rPr>
      </w:pPr>
      <w:r>
        <w:rPr>
          <w:sz w:val="21"/>
          <w:szCs w:val="21"/>
        </w:rPr>
        <w:t xml:space="preserve">（4）施工与运维技术。施工方面，我国已掌握大直径单桩液压打桩与稳桩、导管架水下调平灌浆、风机分体吊装和整体吊装等成套工艺，自升式风电安装船的起重能力和作业水深不断提高。运维方面，海上风电受海况制约明显，运维窗口期有限，常规交通运维船一般只能在有效波高约1.5 m以下的海况作业，配备运动补偿栈桥的运维母船(SOV)可将作业海况适度放宽；无人机巡检、在线状态监测和数字孪生等技术正在推广应用</w:t>
      </w:r>
      <w:r>
        <w:rPr>
          <w:vertAlign w:val="superscript"/>
          <w:sz w:val="21"/>
          <w:szCs w:val="21"/>
        </w:rPr>
        <w:t xml:space="preserve">[8]</w:t>
      </w:r>
      <w:r>
        <w:rPr>
          <w:sz w:val="21"/>
          <w:szCs w:val="21"/>
        </w:rPr>
        <w:t xml:space="preserve">。</w:t>
      </w:r>
    </w:p>
    <w:p>
      <w:pPr>
        <w:pStyle w:val="Normal"/>
        <w:spacing w:lineRule="exact" w:line="360"/>
        <w:ind w:firstLine="482" w:end="0"/>
        <w:rPr>
          <w:sz w:val="21"/>
          <w:szCs w:val="21"/>
        </w:rPr>
      </w:pPr>
      <w:r>
        <w:rPr>
          <w:sz w:val="21"/>
          <w:szCs w:val="21"/>
        </w:rPr>
        <w:t xml:space="preserve">我国海上风电代表性技术示范见表1。可以看出，近年我国海上风电技术示范呈现“由近及远、由固定到漂浮、由交流到直流、由跟跑到领跑”的演进路径。</w:t>
      </w:r>
    </w:p>
    <w:p>
      <w:pPr>
        <w:pStyle w:val="Normal"/>
        <w:keepNext w:val="true"/>
        <w:snapToGrid w:val="false"/>
        <w:spacing w:before="60" w:after="120"/>
        <w:jc w:val="center"/>
        <w:rPr>
          <w:sz w:val="18"/>
        </w:rPr>
      </w:pPr>
      <w:r>
        <w:rPr>
          <w:sz w:val="18"/>
          <w:szCs w:val="18"/>
        </w:rPr>
        <w:t xml:space="preserve">表1 我国海上风电代表性技术示范（据公开报道整理）</w:t>
      </w:r>
    </w:p>
    <w:tbl>
      <w:tblPr>
        <w:tblW w:w="7937" w:type="dxa"/>
        <w:jc w:val="center"/>
        <w:tblBorders>
          <w:top w:val="nil"/>
          <w:left w:val="nil"/>
          <w:bottom w:val="nil"/>
          <w:right w:val="nil"/>
          <w:insideH w:val="nil"/>
          <w:insideV w:val="nil"/>
        </w:tblBorders>
        <w:tblLayout w:type="fixed"/>
        <w:tblCellMar>
          <w:left w:w="80" w:type="dxa"/>
          <w:right w:w="80" w:type="dxa"/>
        </w:tblCellMar>
        <w:tblLook w:val="0000"/>
      </w:tblPr>
      <w:tblGrid>
        <w:gridCol w:w="907"/>
        <w:gridCol w:w="2721"/>
        <w:gridCol w:w="4309"/>
      </w:tblGrid>
      <w:tr>
        <w:trPr>
          <w:tblHeader/>
          <w:cantSplit/>
        </w:trPr>
        <w:tc>
          <w:tcPr>
            <w:tcW w:w="907" w:type="dxa"/>
            <w:tcBorders>
              <w:top w:val="single" w:sz="12" w:space="0" w:color="000000"/>
              <w:bottom w:val="single" w:sz="6" w:space="0" w:color="000000"/>
            </w:tcBorders>
            <w:vAlign w:val="center"/>
          </w:tcPr>
          <w:p>
            <w:pPr>
              <w:pStyle w:val="Normal"/>
              <w:keepNext w:val="true"/>
              <w:snapToGrid w:val="false"/>
              <w:spacing w:before="20" w:after="20" w:line="260" w:lineRule="exact"/>
              <w:jc w:val="center"/>
              <w:rPr>
                <w:sz w:val="18"/>
              </w:rPr>
            </w:pPr>
            <w:r>
              <w:rPr>
                <w:b/>
                <w:bCs/>
                <w:sz w:val="18"/>
                <w:szCs w:val="18"/>
              </w:rPr>
              <w:t xml:space="preserve">年份</w:t>
            </w:r>
          </w:p>
        </w:tc>
        <w:tc>
          <w:tcPr>
            <w:tcW w:w="2721" w:type="dxa"/>
            <w:tcBorders>
              <w:top w:val="single" w:sz="12" w:space="0" w:color="000000"/>
              <w:bottom w:val="single" w:sz="6" w:space="0" w:color="000000"/>
            </w:tcBorders>
            <w:vAlign w:val="center"/>
          </w:tcPr>
          <w:p>
            <w:pPr>
              <w:pStyle w:val="Normal"/>
              <w:keepNext w:val="true"/>
              <w:snapToGrid w:val="false"/>
              <w:spacing w:before="20" w:after="20" w:line="260" w:lineRule="exact"/>
              <w:jc w:val="center"/>
              <w:rPr>
                <w:sz w:val="18"/>
              </w:rPr>
            </w:pPr>
            <w:r>
              <w:rPr>
                <w:b/>
                <w:bCs/>
                <w:sz w:val="18"/>
                <w:szCs w:val="18"/>
              </w:rPr>
              <w:t xml:space="preserve">项目/机组</w:t>
            </w:r>
          </w:p>
        </w:tc>
        <w:tc>
          <w:tcPr>
            <w:tcW w:w="4309" w:type="dxa"/>
            <w:tcBorders>
              <w:top w:val="single" w:sz="12" w:space="0" w:color="000000"/>
              <w:bottom w:val="single" w:sz="6" w:space="0" w:color="000000"/>
            </w:tcBorders>
            <w:vAlign w:val="center"/>
          </w:tcPr>
          <w:p>
            <w:pPr>
              <w:pStyle w:val="Normal"/>
              <w:keepNext w:val="true"/>
              <w:snapToGrid w:val="false"/>
              <w:spacing w:before="20" w:after="20" w:line="260" w:lineRule="exact"/>
              <w:jc w:val="center"/>
              <w:rPr>
                <w:sz w:val="18"/>
              </w:rPr>
            </w:pPr>
            <w:r>
              <w:rPr>
                <w:b/>
                <w:bCs/>
                <w:sz w:val="18"/>
                <w:szCs w:val="18"/>
              </w:rPr>
              <w:t xml:space="preserve">技术意义</w:t>
            </w:r>
          </w:p>
        </w:tc>
      </w:tr>
      <w:tr>
        <w:trPr>
          <w:cantSplit/>
        </w:trPr>
        <w:tc>
          <w:tcPr>
            <w:tcW w:w="907" w:type="dxa"/>
            <w:tcBorders/>
            <w:vAlign w:val="center"/>
          </w:tcPr>
          <w:p>
            <w:pPr>
              <w:pStyle w:val="Normal"/>
              <w:keepNext w:val="true"/>
              <w:snapToGrid w:val="false"/>
              <w:spacing w:before="20" w:after="20" w:line="260" w:lineRule="exact"/>
              <w:jc w:val="center"/>
              <w:rPr>
                <w:sz w:val="18"/>
              </w:rPr>
            </w:pPr>
            <w:r>
              <w:rPr>
                <w:sz w:val="18"/>
                <w:szCs w:val="18"/>
              </w:rPr>
              <w:t xml:space="preserve">2007</w:t>
            </w:r>
          </w:p>
        </w:tc>
        <w:tc>
          <w:tcPr>
            <w:tcW w:w="2721" w:type="dxa"/>
            <w:tcBorders/>
            <w:vAlign w:val="center"/>
          </w:tcPr>
          <w:p>
            <w:pPr>
              <w:pStyle w:val="Normal"/>
              <w:keepNext w:val="true"/>
              <w:snapToGrid w:val="false"/>
              <w:spacing w:before="20" w:after="20" w:line="260" w:lineRule="exact"/>
              <w:jc w:val="start"/>
              <w:rPr>
                <w:sz w:val="18"/>
              </w:rPr>
            </w:pPr>
            <w:r>
              <w:rPr>
                <w:sz w:val="18"/>
                <w:szCs w:val="18"/>
              </w:rPr>
              <w:t xml:space="preserve">渤海1.5 MW试验机组</w:t>
            </w:r>
          </w:p>
        </w:tc>
        <w:tc>
          <w:tcPr>
            <w:tcW w:w="4309" w:type="dxa"/>
            <w:tcBorders/>
            <w:vAlign w:val="center"/>
          </w:tcPr>
          <w:p>
            <w:pPr>
              <w:pStyle w:val="Normal"/>
              <w:keepNext w:val="true"/>
              <w:snapToGrid w:val="false"/>
              <w:spacing w:before="20" w:after="20" w:line="260" w:lineRule="exact"/>
              <w:jc w:val="start"/>
              <w:rPr>
                <w:sz w:val="18"/>
              </w:rPr>
            </w:pPr>
            <w:r>
              <w:rPr>
                <w:sz w:val="18"/>
                <w:szCs w:val="18"/>
              </w:rPr>
              <w:t xml:space="preserve">我国第一台海上风电机组，验证海上运行可行性</w:t>
            </w:r>
          </w:p>
        </w:tc>
      </w:tr>
      <w:tr>
        <w:trPr>
          <w:cantSplit/>
        </w:trPr>
        <w:tc>
          <w:tcPr>
            <w:tcW w:w="907" w:type="dxa"/>
            <w:tcBorders/>
            <w:vAlign w:val="center"/>
          </w:tcPr>
          <w:p>
            <w:pPr>
              <w:pStyle w:val="Normal"/>
              <w:keepNext w:val="true"/>
              <w:snapToGrid w:val="false"/>
              <w:spacing w:before="20" w:after="20" w:line="260" w:lineRule="exact"/>
              <w:jc w:val="center"/>
              <w:rPr>
                <w:sz w:val="18"/>
              </w:rPr>
            </w:pPr>
            <w:r>
              <w:rPr>
                <w:sz w:val="18"/>
                <w:szCs w:val="18"/>
              </w:rPr>
              <w:t xml:space="preserve">2010</w:t>
            </w:r>
          </w:p>
        </w:tc>
        <w:tc>
          <w:tcPr>
            <w:tcW w:w="2721" w:type="dxa"/>
            <w:tcBorders/>
            <w:vAlign w:val="center"/>
          </w:tcPr>
          <w:p>
            <w:pPr>
              <w:pStyle w:val="Normal"/>
              <w:keepNext w:val="true"/>
              <w:snapToGrid w:val="false"/>
              <w:spacing w:before="20" w:after="20" w:line="260" w:lineRule="exact"/>
              <w:jc w:val="start"/>
              <w:rPr>
                <w:sz w:val="18"/>
              </w:rPr>
            </w:pPr>
            <w:r>
              <w:rPr>
                <w:sz w:val="18"/>
                <w:szCs w:val="18"/>
              </w:rPr>
              <w:t xml:space="preserve">上海东海大桥海上风电场</w:t>
            </w:r>
          </w:p>
        </w:tc>
        <w:tc>
          <w:tcPr>
            <w:tcW w:w="4309" w:type="dxa"/>
            <w:tcBorders/>
            <w:vAlign w:val="center"/>
          </w:tcPr>
          <w:p>
            <w:pPr>
              <w:pStyle w:val="Normal"/>
              <w:keepNext w:val="true"/>
              <w:snapToGrid w:val="false"/>
              <w:spacing w:before="20" w:after="20" w:line="260" w:lineRule="exact"/>
              <w:jc w:val="start"/>
              <w:rPr>
                <w:sz w:val="18"/>
              </w:rPr>
            </w:pPr>
            <w:r>
              <w:rPr>
                <w:sz w:val="18"/>
                <w:szCs w:val="18"/>
              </w:rPr>
              <w:t xml:space="preserve">国内首个大型海上风电场，单机3 MW，总容量10.2万千瓦</w:t>
            </w:r>
          </w:p>
        </w:tc>
      </w:tr>
      <w:tr>
        <w:trPr>
          <w:cantSplit/>
        </w:trPr>
        <w:tc>
          <w:tcPr>
            <w:tcW w:w="907" w:type="dxa"/>
            <w:tcBorders/>
            <w:vAlign w:val="center"/>
          </w:tcPr>
          <w:p>
            <w:pPr>
              <w:pStyle w:val="Normal"/>
              <w:keepNext w:val="true"/>
              <w:snapToGrid w:val="false"/>
              <w:spacing w:before="20" w:after="20" w:line="260" w:lineRule="exact"/>
              <w:jc w:val="center"/>
              <w:rPr>
                <w:sz w:val="18"/>
              </w:rPr>
            </w:pPr>
            <w:r>
              <w:rPr>
                <w:sz w:val="18"/>
                <w:szCs w:val="18"/>
              </w:rPr>
              <w:t xml:space="preserve">2021</w:t>
            </w:r>
          </w:p>
        </w:tc>
        <w:tc>
          <w:tcPr>
            <w:tcW w:w="2721" w:type="dxa"/>
            <w:tcBorders/>
            <w:vAlign w:val="center"/>
          </w:tcPr>
          <w:p>
            <w:pPr>
              <w:pStyle w:val="Normal"/>
              <w:keepNext w:val="true"/>
              <w:snapToGrid w:val="false"/>
              <w:spacing w:before="20" w:after="20" w:line="260" w:lineRule="exact"/>
              <w:jc w:val="start"/>
              <w:rPr>
                <w:sz w:val="18"/>
              </w:rPr>
            </w:pPr>
            <w:r>
              <w:rPr>
                <w:sz w:val="18"/>
                <w:szCs w:val="18"/>
              </w:rPr>
              <w:t xml:space="preserve">三峡如东海上风电柔直工程</w:t>
            </w:r>
          </w:p>
        </w:tc>
        <w:tc>
          <w:tcPr>
            <w:tcW w:w="4309" w:type="dxa"/>
            <w:tcBorders/>
            <w:vAlign w:val="center"/>
          </w:tcPr>
          <w:p>
            <w:pPr>
              <w:pStyle w:val="Normal"/>
              <w:keepNext w:val="true"/>
              <w:snapToGrid w:val="false"/>
              <w:spacing w:before="20" w:after="20" w:line="260" w:lineRule="exact"/>
              <w:jc w:val="start"/>
              <w:rPr>
                <w:sz w:val="18"/>
              </w:rPr>
            </w:pPr>
            <w:r>
              <w:rPr>
                <w:sz w:val="18"/>
                <w:szCs w:val="18"/>
              </w:rPr>
              <w:t xml:space="preserve">±400 kV柔性直流送出，亚洲首个海上风电柔直输电工程</w:t>
            </w:r>
          </w:p>
        </w:tc>
      </w:tr>
      <w:tr>
        <w:trPr>
          <w:cantSplit/>
        </w:trPr>
        <w:tc>
          <w:tcPr>
            <w:tcW w:w="907" w:type="dxa"/>
            <w:tcBorders/>
            <w:vAlign w:val="center"/>
          </w:tcPr>
          <w:p>
            <w:pPr>
              <w:pStyle w:val="Normal"/>
              <w:keepNext w:val="true"/>
              <w:snapToGrid w:val="false"/>
              <w:spacing w:before="20" w:after="20" w:line="260" w:lineRule="exact"/>
              <w:jc w:val="center"/>
              <w:rPr>
                <w:sz w:val="18"/>
              </w:rPr>
            </w:pPr>
            <w:r>
              <w:rPr>
                <w:sz w:val="18"/>
                <w:szCs w:val="18"/>
              </w:rPr>
              <w:t xml:space="preserve">2021</w:t>
            </w:r>
          </w:p>
        </w:tc>
        <w:tc>
          <w:tcPr>
            <w:tcW w:w="2721" w:type="dxa"/>
            <w:tcBorders/>
            <w:vAlign w:val="center"/>
          </w:tcPr>
          <w:p>
            <w:pPr>
              <w:pStyle w:val="Normal"/>
              <w:keepNext w:val="true"/>
              <w:snapToGrid w:val="false"/>
              <w:spacing w:before="20" w:after="20" w:line="260" w:lineRule="exact"/>
              <w:jc w:val="start"/>
              <w:rPr>
                <w:sz w:val="18"/>
              </w:rPr>
            </w:pPr>
            <w:r>
              <w:rPr>
                <w:sz w:val="18"/>
                <w:szCs w:val="18"/>
              </w:rPr>
              <w:t xml:space="preserve">三峡“引领号”(5.5 MW)</w:t>
            </w:r>
          </w:p>
        </w:tc>
        <w:tc>
          <w:tcPr>
            <w:tcW w:w="4309" w:type="dxa"/>
            <w:tcBorders/>
            <w:vAlign w:val="center"/>
          </w:tcPr>
          <w:p>
            <w:pPr>
              <w:pStyle w:val="Normal"/>
              <w:keepNext w:val="true"/>
              <w:snapToGrid w:val="false"/>
              <w:spacing w:before="20" w:after="20" w:line="260" w:lineRule="exact"/>
              <w:jc w:val="start"/>
              <w:rPr>
                <w:sz w:val="18"/>
              </w:rPr>
            </w:pPr>
            <w:r>
              <w:rPr>
                <w:sz w:val="18"/>
                <w:szCs w:val="18"/>
              </w:rPr>
              <w:t xml:space="preserve">国内首台抗台风型漂浮式海上风电机组（广东阳江）</w:t>
            </w:r>
          </w:p>
        </w:tc>
      </w:tr>
      <w:tr>
        <w:trPr>
          <w:cantSplit/>
        </w:trPr>
        <w:tc>
          <w:tcPr>
            <w:tcW w:w="907" w:type="dxa"/>
            <w:tcBorders/>
            <w:vAlign w:val="center"/>
          </w:tcPr>
          <w:p>
            <w:pPr>
              <w:pStyle w:val="Normal"/>
              <w:keepNext w:val="true"/>
              <w:snapToGrid w:val="false"/>
              <w:spacing w:before="20" w:after="20" w:line="260" w:lineRule="exact"/>
              <w:jc w:val="center"/>
              <w:rPr>
                <w:sz w:val="18"/>
              </w:rPr>
            </w:pPr>
            <w:r>
              <w:rPr>
                <w:sz w:val="18"/>
                <w:szCs w:val="18"/>
              </w:rPr>
              <w:t xml:space="preserve">2022</w:t>
            </w:r>
          </w:p>
        </w:tc>
        <w:tc>
          <w:tcPr>
            <w:tcW w:w="2721" w:type="dxa"/>
            <w:tcBorders/>
            <w:vAlign w:val="center"/>
          </w:tcPr>
          <w:p>
            <w:pPr>
              <w:pStyle w:val="Normal"/>
              <w:keepNext w:val="true"/>
              <w:snapToGrid w:val="false"/>
              <w:spacing w:before="20" w:after="20" w:line="260" w:lineRule="exact"/>
              <w:jc w:val="start"/>
              <w:rPr>
                <w:sz w:val="18"/>
              </w:rPr>
            </w:pPr>
            <w:r>
              <w:rPr>
                <w:sz w:val="18"/>
                <w:szCs w:val="18"/>
              </w:rPr>
              <w:t xml:space="preserve">中国海装“扶摇号”(6.2 MW)</w:t>
            </w:r>
          </w:p>
        </w:tc>
        <w:tc>
          <w:tcPr>
            <w:tcW w:w="4309" w:type="dxa"/>
            <w:tcBorders/>
            <w:vAlign w:val="center"/>
          </w:tcPr>
          <w:p>
            <w:pPr>
              <w:pStyle w:val="Normal"/>
              <w:keepNext w:val="true"/>
              <w:snapToGrid w:val="false"/>
              <w:spacing w:before="20" w:after="20" w:line="260" w:lineRule="exact"/>
              <w:jc w:val="start"/>
              <w:rPr>
                <w:sz w:val="18"/>
              </w:rPr>
            </w:pPr>
            <w:r>
              <w:rPr>
                <w:sz w:val="18"/>
                <w:szCs w:val="18"/>
              </w:rPr>
              <w:t xml:space="preserve">国产化漂浮式海上风电样机（广东湛江）</w:t>
            </w:r>
          </w:p>
        </w:tc>
      </w:tr>
      <w:tr>
        <w:trPr>
          <w:cantSplit/>
        </w:trPr>
        <w:tc>
          <w:tcPr>
            <w:tcW w:w="907" w:type="dxa"/>
            <w:tcBorders/>
            <w:vAlign w:val="center"/>
          </w:tcPr>
          <w:p>
            <w:pPr>
              <w:pStyle w:val="Normal"/>
              <w:keepNext w:val="true"/>
              <w:snapToGrid w:val="false"/>
              <w:spacing w:before="20" w:after="20" w:line="260" w:lineRule="exact"/>
              <w:jc w:val="center"/>
              <w:rPr>
                <w:sz w:val="18"/>
              </w:rPr>
            </w:pPr>
            <w:r>
              <w:rPr>
                <w:sz w:val="18"/>
                <w:szCs w:val="18"/>
              </w:rPr>
              <w:t xml:space="preserve">2023</w:t>
            </w:r>
          </w:p>
        </w:tc>
        <w:tc>
          <w:tcPr>
            <w:tcW w:w="2721" w:type="dxa"/>
            <w:tcBorders/>
            <w:vAlign w:val="center"/>
          </w:tcPr>
          <w:p>
            <w:pPr>
              <w:pStyle w:val="Normal"/>
              <w:keepNext w:val="true"/>
              <w:snapToGrid w:val="false"/>
              <w:spacing w:before="20" w:after="20" w:line="260" w:lineRule="exact"/>
              <w:jc w:val="start"/>
              <w:rPr>
                <w:sz w:val="18"/>
              </w:rPr>
            </w:pPr>
            <w:r>
              <w:rPr>
                <w:sz w:val="18"/>
                <w:szCs w:val="18"/>
              </w:rPr>
              <w:t xml:space="preserve">中国海油“观澜号”(7.25 MW)</w:t>
            </w:r>
          </w:p>
        </w:tc>
        <w:tc>
          <w:tcPr>
            <w:tcW w:w="4309" w:type="dxa"/>
            <w:tcBorders/>
            <w:vAlign w:val="center"/>
          </w:tcPr>
          <w:p>
            <w:pPr>
              <w:pStyle w:val="Normal"/>
              <w:keepNext w:val="true"/>
              <w:snapToGrid w:val="false"/>
              <w:spacing w:before="20" w:after="20" w:line="260" w:lineRule="exact"/>
              <w:jc w:val="start"/>
              <w:rPr>
                <w:sz w:val="18"/>
              </w:rPr>
            </w:pPr>
            <w:r>
              <w:rPr>
                <w:sz w:val="18"/>
                <w:szCs w:val="18"/>
              </w:rPr>
              <w:t xml:space="preserve">国内首个深远海漂浮式风电项目，离岸逾100 km、水深逾100 m</w:t>
            </w:r>
          </w:p>
        </w:tc>
      </w:tr>
      <w:tr>
        <w:trPr>
          <w:cantSplit/>
        </w:trPr>
        <w:tc>
          <w:tcPr>
            <w:tcW w:w="907" w:type="dxa"/>
            <w:tcBorders/>
            <w:vAlign w:val="center"/>
          </w:tcPr>
          <w:p>
            <w:pPr>
              <w:pStyle w:val="Normal"/>
              <w:keepNext w:val="true"/>
              <w:snapToGrid w:val="false"/>
              <w:spacing w:before="20" w:after="20" w:line="260" w:lineRule="exact"/>
              <w:jc w:val="center"/>
              <w:rPr>
                <w:sz w:val="18"/>
              </w:rPr>
            </w:pPr>
            <w:r>
              <w:rPr>
                <w:sz w:val="18"/>
                <w:szCs w:val="18"/>
              </w:rPr>
              <w:t xml:space="preserve">2024</w:t>
            </w:r>
          </w:p>
        </w:tc>
        <w:tc>
          <w:tcPr>
            <w:tcW w:w="2721" w:type="dxa"/>
            <w:tcBorders/>
            <w:vAlign w:val="center"/>
          </w:tcPr>
          <w:p>
            <w:pPr>
              <w:pStyle w:val="Normal"/>
              <w:keepNext w:val="true"/>
              <w:snapToGrid w:val="false"/>
              <w:spacing w:before="20" w:after="20" w:line="260" w:lineRule="exact"/>
              <w:jc w:val="start"/>
              <w:rPr>
                <w:sz w:val="18"/>
              </w:rPr>
            </w:pPr>
            <w:r>
              <w:rPr>
                <w:sz w:val="18"/>
                <w:szCs w:val="18"/>
              </w:rPr>
              <w:t xml:space="preserve">明阳“OceanX”双转子(16.6 MW)</w:t>
            </w:r>
          </w:p>
        </w:tc>
        <w:tc>
          <w:tcPr>
            <w:tcW w:w="4309" w:type="dxa"/>
            <w:tcBorders/>
            <w:vAlign w:val="center"/>
          </w:tcPr>
          <w:p>
            <w:pPr>
              <w:pStyle w:val="Normal"/>
              <w:keepNext w:val="true"/>
              <w:snapToGrid w:val="false"/>
              <w:spacing w:before="20" w:after="20" w:line="260" w:lineRule="exact"/>
              <w:jc w:val="start"/>
              <w:rPr>
                <w:sz w:val="18"/>
              </w:rPr>
            </w:pPr>
            <w:r>
              <w:rPr>
                <w:sz w:val="18"/>
                <w:szCs w:val="18"/>
              </w:rPr>
              <w:t xml:space="preserve">双转子漂浮式平台，探索漂浮式大容量化路线</w:t>
            </w:r>
          </w:p>
        </w:tc>
      </w:tr>
      <w:tr>
        <w:trPr>
          <w:cantSplit/>
        </w:trPr>
        <w:tc>
          <w:tcPr>
            <w:tcW w:w="907" w:type="dxa"/>
            <w:tcBorders/>
            <w:vAlign w:val="center"/>
          </w:tcPr>
          <w:p>
            <w:pPr>
              <w:pStyle w:val="Normal"/>
              <w:keepNext w:val="true"/>
              <w:snapToGrid w:val="false"/>
              <w:spacing w:before="20" w:after="20" w:line="260" w:lineRule="exact"/>
              <w:jc w:val="center"/>
              <w:rPr>
                <w:sz w:val="18"/>
              </w:rPr>
            </w:pPr>
            <w:r>
              <w:rPr>
                <w:sz w:val="18"/>
                <w:szCs w:val="18"/>
              </w:rPr>
              <w:t xml:space="preserve">2025</w:t>
            </w:r>
          </w:p>
        </w:tc>
        <w:tc>
          <w:tcPr>
            <w:tcW w:w="2721" w:type="dxa"/>
            <w:tcBorders/>
            <w:vAlign w:val="center"/>
          </w:tcPr>
          <w:p>
            <w:pPr>
              <w:pStyle w:val="Normal"/>
              <w:keepNext w:val="true"/>
              <w:snapToGrid w:val="false"/>
              <w:spacing w:before="20" w:after="20" w:line="260" w:lineRule="exact"/>
              <w:jc w:val="start"/>
              <w:rPr>
                <w:sz w:val="18"/>
              </w:rPr>
            </w:pPr>
            <w:r>
              <w:rPr>
                <w:sz w:val="18"/>
                <w:szCs w:val="18"/>
              </w:rPr>
              <w:t xml:space="preserve">20 MW级固定式机组</w:t>
            </w:r>
          </w:p>
        </w:tc>
        <w:tc>
          <w:tcPr>
            <w:tcW w:w="4309" w:type="dxa"/>
            <w:tcBorders/>
            <w:vAlign w:val="center"/>
          </w:tcPr>
          <w:p>
            <w:pPr>
              <w:pStyle w:val="Normal"/>
              <w:keepNext w:val="true"/>
              <w:snapToGrid w:val="false"/>
              <w:spacing w:before="20" w:after="20" w:line="260" w:lineRule="exact"/>
              <w:jc w:val="start"/>
              <w:rPr>
                <w:sz w:val="18"/>
              </w:rPr>
            </w:pPr>
            <w:r>
              <w:rPr>
                <w:sz w:val="18"/>
                <w:szCs w:val="18"/>
              </w:rPr>
              <w:t xml:space="preserve">刷新实际海洋环境中单机容量纪录</w:t>
            </w:r>
          </w:p>
        </w:tc>
      </w:tr>
      <w:tr>
        <w:trPr>
          <w:cantSplit/>
        </w:trPr>
        <w:tc>
          <w:tcPr>
            <w:tcW w:w="907" w:type="dxa"/>
            <w:tcBorders>
              <w:bottom w:val="single" w:sz="12" w:space="0" w:color="000000"/>
            </w:tcBorders>
            <w:vAlign w:val="center"/>
          </w:tcPr>
          <w:p>
            <w:pPr>
              <w:pStyle w:val="Normal"/>
              <w:snapToGrid w:val="false"/>
              <w:spacing w:before="20" w:after="20" w:line="260" w:lineRule="exact"/>
              <w:jc w:val="center"/>
              <w:rPr>
                <w:sz w:val="18"/>
              </w:rPr>
            </w:pPr>
            <w:r>
              <w:rPr>
                <w:sz w:val="18"/>
                <w:szCs w:val="18"/>
              </w:rPr>
              <w:t xml:space="preserve">2026</w:t>
            </w:r>
          </w:p>
        </w:tc>
        <w:tc>
          <w:tcPr>
            <w:tcW w:w="2721" w:type="dxa"/>
            <w:tcBorders>
              <w:bottom w:val="single" w:sz="12" w:space="0" w:color="000000"/>
            </w:tcBorders>
            <w:vAlign w:val="center"/>
          </w:tcPr>
          <w:p>
            <w:pPr>
              <w:pStyle w:val="Normal"/>
              <w:snapToGrid w:val="false"/>
              <w:spacing w:before="20" w:after="20" w:line="260" w:lineRule="exact"/>
              <w:jc w:val="start"/>
              <w:rPr>
                <w:sz w:val="18"/>
              </w:rPr>
            </w:pPr>
            <w:r>
              <w:rPr>
                <w:sz w:val="18"/>
                <w:szCs w:val="18"/>
              </w:rPr>
              <w:t xml:space="preserve">三峡“领航号”(16 MW)</w:t>
            </w:r>
          </w:p>
        </w:tc>
        <w:tc>
          <w:tcPr>
            <w:tcW w:w="4309" w:type="dxa"/>
            <w:tcBorders>
              <w:bottom w:val="single" w:sz="12" w:space="0" w:color="000000"/>
            </w:tcBorders>
            <w:vAlign w:val="center"/>
          </w:tcPr>
          <w:p>
            <w:pPr>
              <w:pStyle w:val="Normal"/>
              <w:snapToGrid w:val="false"/>
              <w:spacing w:before="20" w:after="20" w:line="260" w:lineRule="exact"/>
              <w:jc w:val="start"/>
              <w:rPr>
                <w:sz w:val="18"/>
              </w:rPr>
            </w:pPr>
            <w:r>
              <w:rPr>
                <w:sz w:val="18"/>
                <w:szCs w:val="18"/>
              </w:rPr>
              <w:t xml:space="preserve">单机容量最大的漂浮式海上风电平台（广东阳江）</w:t>
            </w:r>
          </w:p>
        </w:tc>
      </w:tr>
    </w:tbl>
    <w:p>
      <w:pPr>
        <w:pStyle w:val="Normal"/>
        <w:spacing w:lineRule="exact" w:line="240"/>
        <w:rPr>
          <w:sz w:val="12"/>
        </w:rPr>
      </w:pPr>
    </w:p>
    <w:p>
      <w:pPr>
        <w:pStyle w:val="Heading1"/>
        <w:keepNext w:val="true"/>
        <w:numPr>
          <w:ilvl w:val="0"/>
          <w:numId w:val="0"/>
        </w:numPr>
        <w:snapToGrid w:val="false"/>
        <w:spacing w:before="240" w:after="120"/>
        <w:ind w:start="0" w:hanging="0"/>
        <w:jc w:val="start"/>
        <w:rPr>
          <w:rFonts w:eastAsia="黑体"/>
          <w:b w:val="false"/>
          <w:sz w:val="28"/>
        </w:rPr>
      </w:pPr>
      <w:r>
        <w:rPr>
          <w:b w:val="false"/>
          <w:rFonts w:ascii="Times New Roman" w:hAnsi="Times New Roman" w:eastAsia="黑体"/>
          <w:sz w:val="28"/>
          <w:szCs w:val="28"/>
        </w:rPr>
        <w:t xml:space="preserve">3 产业链结构与关键技术分析</w:t>
      </w:r>
    </w:p>
    <w:p>
      <w:pPr>
        <w:pStyle w:val="Normal"/>
        <w:keepNext w:val="true"/>
        <w:snapToGrid w:val="false"/>
        <w:spacing w:before="120" w:after="60"/>
        <w:ind w:firstLine="0"/>
        <w:rPr>
          <w:b/>
          <w:sz w:val="24"/>
        </w:rPr>
      </w:pPr>
      <w:r>
        <w:rPr>
          <w:rFonts w:ascii="Times New Roman" w:hAnsi="Times New Roman" w:eastAsia="黑体"/>
          <w:b/>
          <w:bCs/>
          <w:sz w:val="24"/>
          <w:szCs w:val="24"/>
        </w:rPr>
        <w:t xml:space="preserve">3.1 产业链总体构成</w:t>
      </w:r>
    </w:p>
    <w:p>
      <w:pPr>
        <w:pStyle w:val="Normal"/>
        <w:spacing w:lineRule="exact" w:line="360"/>
        <w:ind w:firstLine="482" w:end="0"/>
        <w:rPr>
          <w:sz w:val="21"/>
          <w:szCs w:val="21"/>
        </w:rPr>
      </w:pPr>
      <w:r>
        <w:rPr>
          <w:sz w:val="21"/>
          <w:szCs w:val="21"/>
        </w:rPr>
        <w:t xml:space="preserve">海上风电产业链可分为上游原材料与关键零部件、中游整机制造与海工装备、下游开发运营与服务三大环节，并由检测认证、试验平台、港口码头、金融保险、标准规范等构成支撑体系，如图3所示。从初始投资构成看，一般而言风电机组（含塔筒）约占40%，基础制造与施工安装约占30%，海缆与送出工程约占10%～15%；在全生命周期内，运维成本在度电成本中的比重也明显高于陆上风电</w:t>
      </w:r>
      <w:r>
        <w:rPr>
          <w:vertAlign w:val="superscript"/>
          <w:sz w:val="21"/>
          <w:szCs w:val="21"/>
        </w:rPr>
        <w:t xml:space="preserve">[8]</w:t>
      </w:r>
      <w:r>
        <w:rPr>
          <w:sz w:val="21"/>
          <w:szCs w:val="21"/>
        </w:rPr>
        <w:t xml:space="preserve">。与陆上风电相比，海上风电中游的基础、海缆、升压站和施工安装等“海工”环节投资占比明显更高，这也是海上风电产业链对港口和海工装备依赖更强的原因。</w:t>
      </w:r>
    </w:p>
    <w:p>
      <w:pPr>
        <w:pStyle w:val="Normal"/>
        <w:keepNext w:val="true"/>
        <w:spacing w:before="120"/>
        <w:jc w:val="center"/>
      </w:pPr>
      <w:r>
        <w:drawing>
          <wp:inline distT="0" distB="0" distL="0" distR="0">
            <wp:extent cx="5580000" cy="3356551"/>
            <wp:effectExtent l="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pic:cNvPicPr>
                  </pic:nvPicPr>
                  <pic:blipFill>
                    <a:blip r:embed="rIdFig3"/>
                    <a:stretch>
                      <a:fillRect/>
                    </a:stretch>
                  </pic:blipFill>
                  <pic:spPr>
                    <a:xfrm>
                      <a:off x="0" y="0"/>
                      <a:ext cx="5580000" cy="3356551"/>
                    </a:xfrm>
                    <a:prstGeom prst="rect">
                      <a:avLst/>
                    </a:prstGeom>
                  </pic:spPr>
                </pic:pic>
              </a:graphicData>
            </a:graphic>
          </wp:inline>
        </w:drawing>
      </w:r>
    </w:p>
    <w:p>
      <w:pPr>
        <w:pStyle w:val="Normal"/>
        <w:snapToGrid w:val="false"/>
        <w:spacing w:before="60" w:after="120"/>
        <w:jc w:val="center"/>
        <w:rPr>
          <w:sz w:val="18"/>
        </w:rPr>
      </w:pPr>
      <w:r>
        <w:rPr>
          <w:sz w:val="18"/>
          <w:szCs w:val="18"/>
        </w:rPr>
        <w:t xml:space="preserve">图3 海上风电产业链结构示意图</w:t>
      </w:r>
    </w:p>
    <w:p>
      <w:pPr>
        <w:pStyle w:val="Normal"/>
        <w:keepNext w:val="true"/>
        <w:snapToGrid w:val="false"/>
        <w:spacing w:before="120" w:after="60"/>
        <w:ind w:firstLine="0"/>
        <w:rPr>
          <w:b/>
          <w:sz w:val="24"/>
        </w:rPr>
      </w:pPr>
      <w:r>
        <w:rPr>
          <w:rFonts w:ascii="Times New Roman" w:hAnsi="Times New Roman" w:eastAsia="黑体"/>
          <w:b/>
          <w:bCs/>
          <w:sz w:val="24"/>
          <w:szCs w:val="24"/>
        </w:rPr>
        <w:t xml:space="preserve">3.2 上游：原材料与关键零部件</w:t>
      </w:r>
    </w:p>
    <w:p>
      <w:pPr>
        <w:pStyle w:val="Normal"/>
        <w:keepNext w:val="true"/>
        <w:snapToGrid w:val="false"/>
        <w:spacing w:before="80" w:after="40"/>
        <w:ind w:firstLine="0"/>
        <w:rPr>
          <w:b/>
          <w:sz w:val="21"/>
        </w:rPr>
      </w:pPr>
      <w:r>
        <w:rPr>
          <w:rFonts w:ascii="Times New Roman" w:hAnsi="Times New Roman" w:eastAsia="黑体"/>
          <w:b/>
          <w:bCs/>
          <w:sz w:val="21"/>
          <w:szCs w:val="21"/>
        </w:rPr>
        <w:t xml:space="preserve">3.2.1 叶片</w:t>
      </w:r>
    </w:p>
    <w:p>
      <w:pPr>
        <w:pStyle w:val="Normal"/>
        <w:spacing w:lineRule="exact" w:line="360"/>
        <w:ind w:firstLine="482" w:end="0"/>
        <w:rPr>
          <w:sz w:val="21"/>
          <w:szCs w:val="21"/>
        </w:rPr>
      </w:pPr>
      <w:r>
        <w:rPr>
          <w:sz w:val="21"/>
          <w:szCs w:val="21"/>
        </w:rPr>
        <w:t xml:space="preserve">叶片是决定机组捕风能力的核心部件。机组大型化使叶片长度由60 m级增至120～150 m级，叶片重量和根部挥舞弯矩随长度近似呈3次方关系增长，若沿用全玻璃纤维结构，重量和挠度将难以控制，因此主梁材料正由玻璃纤维向碳纤维拉挤板转变。此外，海上叶片还需解决三方面问题：一是前缘在高速雨滴和盐雾冲蚀下的腐蚀磨损，需要采用前缘保护膜或涂层；二是雷击概率随高度增加，需要完善防雷系统；三是超长叶片的制造模具、厂内转运和出运都要求厂区紧邻码头。国内中材科技、时代新材等叶片企业产能规模居世界前列，但高性能碳纤维、巴沙木芯材和部分高性能树脂仍有一定程度依赖进口。</w:t>
      </w:r>
    </w:p>
    <w:p>
      <w:pPr>
        <w:pStyle w:val="Normal"/>
        <w:keepNext w:val="true"/>
        <w:snapToGrid w:val="false"/>
        <w:spacing w:before="80" w:after="40"/>
        <w:ind w:firstLine="0"/>
        <w:rPr>
          <w:b/>
          <w:sz w:val="21"/>
        </w:rPr>
      </w:pPr>
      <w:r>
        <w:rPr>
          <w:rFonts w:ascii="Times New Roman" w:hAnsi="Times New Roman" w:eastAsia="黑体"/>
          <w:b/>
          <w:bCs/>
          <w:sz w:val="21"/>
          <w:szCs w:val="21"/>
        </w:rPr>
        <w:t xml:space="preserve">3.2.2 轴承与传动链</w:t>
      </w:r>
    </w:p>
    <w:p>
      <w:pPr>
        <w:pStyle w:val="Normal"/>
        <w:spacing w:lineRule="exact" w:line="360"/>
        <w:ind w:firstLine="482" w:end="0"/>
        <w:rPr>
          <w:sz w:val="21"/>
          <w:szCs w:val="21"/>
        </w:rPr>
      </w:pPr>
      <w:r>
        <w:rPr>
          <w:sz w:val="21"/>
          <w:szCs w:val="21"/>
        </w:rPr>
        <w:t xml:space="preserve">主轴承是大兆瓦机组国产化难度最大的环节之一。主轴承需在低速重载、交变载荷和高盐雾环境下运行25年以上，直径可达3 m以上，对钢材纯净度、大尺寸套圈热处理均匀性和滚道加工精度要求极高，且需要长时间的台架试验和现场运行数据来验证寿命。该领域长期由SKF、舍弗勒等国外企业主导；洛阳LYC、瓦轴、新强联等国内企业已陆续推出10 MW级以上主轴承并实现装机应用，但在超大尺寸产品的寿命验证和批量一致性方面仍有差距。齿轮箱方面，半直驱机组采用的中速齿轮箱要求更高的扭矩密度，南高齿、重庆齿轮箱等企业具备较强配套能力；永磁同步发电机依托我国稀土资源优势，国产化水平较高，但海上发电机还需解决密封、散热和防腐问题。</w:t>
      </w:r>
    </w:p>
    <w:p>
      <w:pPr>
        <w:pStyle w:val="Normal"/>
        <w:keepNext w:val="true"/>
        <w:snapToGrid w:val="false"/>
        <w:spacing w:before="80" w:after="40"/>
        <w:ind w:firstLine="0"/>
        <w:rPr>
          <w:b/>
          <w:sz w:val="21"/>
        </w:rPr>
      </w:pPr>
      <w:r>
        <w:rPr>
          <w:rFonts w:ascii="Times New Roman" w:hAnsi="Times New Roman" w:eastAsia="黑体"/>
          <w:b/>
          <w:bCs/>
          <w:sz w:val="21"/>
          <w:szCs w:val="21"/>
        </w:rPr>
        <w:t xml:space="preserve">3.2.3 电气与控制系统</w:t>
      </w:r>
    </w:p>
    <w:p>
      <w:pPr>
        <w:pStyle w:val="Normal"/>
        <w:spacing w:lineRule="exact" w:line="360"/>
        <w:ind w:firstLine="482" w:end="0"/>
        <w:rPr>
          <w:sz w:val="21"/>
          <w:szCs w:val="21"/>
        </w:rPr>
      </w:pPr>
      <w:r>
        <w:rPr>
          <w:sz w:val="21"/>
          <w:szCs w:val="21"/>
        </w:rPr>
        <w:t xml:space="preserve">变流器是机组与电网之间的“接口”，海上机组普遍采用全功率变流器，需满足低电压穿越、高电压穿越和电网适应性等并网要求，近年来具备主动支撑电网能力的构网型控制技术也开始应用。变流器整机已基本实现国产化，但高压大功率IGBT模块等核心功率器件仍较多依赖英飞凌等国外厂商，中车时代电气、斯达半导等企业正在加快替代。主控系统方面，独立变桨、载荷控制、尾流控制等算法已基本由整机企业自主开发，但载荷仿真与整机设计软件仍以国外商业软件为主。大型球墨铸铁件、主轴锻件和塔筒钢结构等配套环节产能充足，是我国产业链的传统优势环节。</w:t>
      </w:r>
    </w:p>
    <w:p>
      <w:pPr>
        <w:pStyle w:val="Normal"/>
        <w:keepNext w:val="true"/>
        <w:snapToGrid w:val="false"/>
        <w:spacing w:before="120" w:after="60"/>
        <w:ind w:firstLine="0"/>
        <w:rPr>
          <w:b/>
          <w:sz w:val="24"/>
        </w:rPr>
      </w:pPr>
      <w:r>
        <w:rPr>
          <w:rFonts w:ascii="Times New Roman" w:hAnsi="Times New Roman" w:eastAsia="黑体"/>
          <w:b/>
          <w:bCs/>
          <w:sz w:val="24"/>
          <w:szCs w:val="24"/>
        </w:rPr>
        <w:t xml:space="preserve">3.3 中游：整机制造与海工装备</w:t>
      </w:r>
    </w:p>
    <w:p>
      <w:pPr>
        <w:pStyle w:val="Normal"/>
        <w:keepNext w:val="true"/>
        <w:snapToGrid w:val="false"/>
        <w:spacing w:before="80" w:after="40"/>
        <w:ind w:firstLine="0"/>
        <w:rPr>
          <w:b/>
          <w:sz w:val="21"/>
        </w:rPr>
      </w:pPr>
      <w:r>
        <w:rPr>
          <w:rFonts w:ascii="Times New Roman" w:hAnsi="Times New Roman" w:eastAsia="黑体"/>
          <w:b/>
          <w:bCs/>
          <w:sz w:val="21"/>
          <w:szCs w:val="21"/>
        </w:rPr>
        <w:t xml:space="preserve">3.3.1 整机制造</w:t>
      </w:r>
    </w:p>
    <w:p>
      <w:pPr>
        <w:pStyle w:val="Normal"/>
        <w:spacing w:lineRule="exact" w:line="360"/>
        <w:ind w:firstLine="482" w:end="0"/>
        <w:rPr>
          <w:sz w:val="21"/>
          <w:szCs w:val="21"/>
        </w:rPr>
      </w:pPr>
      <w:r>
        <w:rPr>
          <w:sz w:val="21"/>
          <w:szCs w:val="21"/>
        </w:rPr>
        <w:t xml:space="preserve">整机制造是产业链的核心与“链主”，整机企业负责总体设计、系统集成和载荷计算，并决定上游零部件的选型。国内整机企业形成了直驱永磁（如金风科技）、半直驱中速永磁（如明阳智能）等技术路线：直驱机组取消齿轮箱，可靠性好，但低速发电机直径和重量大；半直驱采用1～2级中速齿轮箱，兼顾了传动链重量、体积与可靠性，在大兆瓦机组中应用比例不断提高。针对东南沿海台风，国内企业还发展了抗台风型机组，通过强化结构设计、台风期偏航对风和备用电源保障等措施提高极端风况下的生存能力。</w:t>
      </w:r>
    </w:p>
    <w:p>
      <w:pPr>
        <w:pStyle w:val="Normal"/>
        <w:spacing w:lineRule="exact" w:line="360"/>
        <w:ind w:firstLine="482" w:end="0"/>
        <w:rPr>
          <w:sz w:val="21"/>
          <w:szCs w:val="21"/>
        </w:rPr>
      </w:pPr>
      <w:r>
        <w:rPr>
          <w:sz w:val="21"/>
          <w:szCs w:val="21"/>
        </w:rPr>
        <w:t xml:space="preserve">据中国可再生能源学会风能专业委员会(CWEA)吊装口径统计，2025年海上风电新增吊装容量中金风科技占37.6%、明阳智能占24.6%，电气风电、远景能源、东方电气、三一重能、运达股份、中船海装等合计占37.8%</w:t>
      </w:r>
      <w:r>
        <w:rPr>
          <w:vertAlign w:val="superscript"/>
          <w:sz w:val="21"/>
          <w:szCs w:val="21"/>
        </w:rPr>
        <w:t xml:space="preserve">[9]</w:t>
      </w:r>
      <w:r>
        <w:rPr>
          <w:sz w:val="21"/>
          <w:szCs w:val="21"/>
        </w:rPr>
        <w:t xml:space="preserve">，前两家合计超过60%，市场集中度较高。在全球市场上，2025年全球按新增装机排名前五的整机供应商均来自中国，国内整机企业已具备参与国际竞争的能力。</w:t>
      </w:r>
    </w:p>
    <w:p>
      <w:pPr>
        <w:pStyle w:val="Normal"/>
        <w:keepNext w:val="true"/>
        <w:snapToGrid w:val="false"/>
        <w:spacing w:before="80" w:after="40"/>
        <w:ind w:firstLine="0"/>
        <w:rPr>
          <w:b/>
          <w:sz w:val="21"/>
        </w:rPr>
      </w:pPr>
      <w:r>
        <w:rPr>
          <w:rFonts w:ascii="Times New Roman" w:hAnsi="Times New Roman" w:eastAsia="黑体"/>
          <w:b/>
          <w:bCs/>
          <w:sz w:val="21"/>
          <w:szCs w:val="21"/>
        </w:rPr>
        <w:t xml:space="preserve">3.3.2 海底电缆</w:t>
      </w:r>
    </w:p>
    <w:p>
      <w:pPr>
        <w:pStyle w:val="Normal"/>
        <w:spacing w:lineRule="exact" w:line="360"/>
        <w:ind w:firstLine="482" w:end="0"/>
        <w:rPr>
          <w:sz w:val="21"/>
          <w:szCs w:val="21"/>
        </w:rPr>
      </w:pPr>
      <w:r>
        <w:rPr>
          <w:sz w:val="21"/>
          <w:szCs w:val="21"/>
        </w:rPr>
        <w:t xml:space="preserve">海底电缆是技术和资金门槛最高的中游环节之一，涉及超净交联聚乙烯绝缘、立塔式交联生产线、长距离无接头制造、软接头和海上敷设等关键技术，产品还需具备纵向阻水、抗拉和防腐蚀能力。国内已形成东方电缆、中天科技、亨通光电三强格局，产品覆盖66 kV集电海缆、220～500 kV交流海缆、±400～±500 kV直流海缆及漂浮式动态海缆。由于长距离海缆须在码头直接装船，三家企业的生产基地均布局在宁波、南通、盐城、汕尾、阳江等港口城市。海缆运行中还面临冲刷裸露、船舶抛锚和渔业拖网损伤等风险，需要通过埋深设计、路由监测和在线故障定位加以防范。</w:t>
      </w:r>
    </w:p>
    <w:p>
      <w:pPr>
        <w:pStyle w:val="Normal"/>
        <w:keepNext w:val="true"/>
        <w:snapToGrid w:val="false"/>
        <w:spacing w:before="80" w:after="40"/>
        <w:ind w:firstLine="0"/>
        <w:rPr>
          <w:b/>
          <w:sz w:val="21"/>
        </w:rPr>
      </w:pPr>
      <w:r>
        <w:rPr>
          <w:rFonts w:ascii="Times New Roman" w:hAnsi="Times New Roman" w:eastAsia="黑体"/>
          <w:b/>
          <w:bCs/>
          <w:sz w:val="21"/>
          <w:szCs w:val="21"/>
        </w:rPr>
        <w:t xml:space="preserve">3.3.3 基础、升压站与施工安装</w:t>
      </w:r>
    </w:p>
    <w:p>
      <w:pPr>
        <w:pStyle w:val="Normal"/>
        <w:spacing w:lineRule="exact" w:line="360"/>
        <w:ind w:firstLine="482" w:end="0"/>
        <w:rPr>
          <w:sz w:val="21"/>
          <w:szCs w:val="21"/>
        </w:rPr>
      </w:pPr>
      <w:r>
        <w:rPr>
          <w:sz w:val="21"/>
          <w:szCs w:val="21"/>
        </w:rPr>
        <w:t xml:space="preserve">基础制造方面，大金重工、海力风电、天顺风能等企业具备大直径单桩、导管架批量制造能力，部分产品出口欧洲。海上钢结构处于大气区、浪溅区、全浸区和海泥区等不同腐蚀环境，其中浪溅区腐蚀最为严重，一般采用重防腐涂层、阴极保护和预留腐蚀余量相结合的防护措施。海上升压站和柔直换流站由上部组块和导管架组成，上部组块需在码头整体建造后由大型起重船吊装，是重型海工装备能力的集中体现。施工安装方面，龙源振华、中交三航局等企业拥有起重能力2000 t以上的自升式风电安装船，安装船数量居世界前列，但其供需与年度装机规模高度相关，呈现明显的周期性波动。</w:t>
      </w:r>
    </w:p>
    <w:p>
      <w:pPr>
        <w:pStyle w:val="Normal"/>
        <w:keepNext w:val="true"/>
        <w:snapToGrid w:val="false"/>
        <w:spacing w:before="120" w:after="60"/>
        <w:ind w:firstLine="0"/>
        <w:rPr>
          <w:b/>
          <w:sz w:val="24"/>
        </w:rPr>
      </w:pPr>
      <w:r>
        <w:rPr>
          <w:rFonts w:ascii="Times New Roman" w:hAnsi="Times New Roman" w:eastAsia="黑体"/>
          <w:b/>
          <w:bCs/>
          <w:sz w:val="24"/>
          <w:szCs w:val="24"/>
        </w:rPr>
        <w:t xml:space="preserve">3.4 下游：开发运营与运维服务</w:t>
      </w:r>
    </w:p>
    <w:p>
      <w:pPr>
        <w:pStyle w:val="Normal"/>
        <w:spacing w:lineRule="exact" w:line="360"/>
        <w:ind w:firstLine="482" w:end="0"/>
        <w:rPr>
          <w:sz w:val="21"/>
          <w:szCs w:val="21"/>
        </w:rPr>
      </w:pPr>
      <w:r>
        <w:rPr>
          <w:sz w:val="21"/>
          <w:szCs w:val="21"/>
        </w:rPr>
        <w:t xml:space="preserve">开发环节以三峡集团、国家能源集团、国家电投、华能、中广核、华电、大唐等中央企业为主，广东能源、浙能等地方能源集团为辅。开发商处于产业链需求端，其招标规则（如是否要求本地化配套、是否以度电成本为评价标准）直接影响上游的技术路线和空间布局。</w:t>
      </w:r>
    </w:p>
    <w:p>
      <w:pPr>
        <w:pStyle w:val="Normal"/>
        <w:spacing w:lineRule="exact" w:line="360"/>
        <w:ind w:firstLine="482" w:end="0"/>
        <w:rPr>
          <w:sz w:val="21"/>
          <w:szCs w:val="21"/>
        </w:rPr>
      </w:pPr>
      <w:r>
        <w:rPr>
          <w:sz w:val="21"/>
          <w:szCs w:val="21"/>
        </w:rPr>
        <w:t xml:space="preserve">海上风电运维受海况影响大、可达性差，大部件更换依赖安装船，运维成本可达陆上风电的2倍以上</w:t>
      </w:r>
      <w:r>
        <w:rPr>
          <w:vertAlign w:val="superscript"/>
          <w:sz w:val="21"/>
          <w:szCs w:val="21"/>
        </w:rPr>
        <w:t xml:space="preserve">[8]</w:t>
      </w:r>
      <w:r>
        <w:rPr>
          <w:sz w:val="21"/>
          <w:szCs w:val="21"/>
        </w:rPr>
        <w:t xml:space="preserve">。运维技术正从“定期检修、故障后维修”向“状态检修、预测性维护”转变：通过振动监测、油液分析和SCADA数据挖掘提前识别齿轮箱、轴承和发电机故障，利用无人机、水下机器人开展叶片和基础检测，借助运维母船和区域运维基地提高出海效率。退役方面，我国早期海上风电机组将在2030年前后陆续进入退役期，叶片等复合材料的回收利用将成为产业链新的组成部分。</w:t>
      </w:r>
    </w:p>
    <w:p>
      <w:pPr>
        <w:pStyle w:val="Normal"/>
        <w:spacing w:lineRule="exact" w:line="360"/>
        <w:ind w:firstLine="482" w:end="0"/>
        <w:rPr>
          <w:sz w:val="21"/>
          <w:szCs w:val="21"/>
        </w:rPr>
      </w:pPr>
      <w:r>
        <w:rPr>
          <w:sz w:val="21"/>
          <w:szCs w:val="21"/>
        </w:rPr>
        <w:t xml:space="preserve">2025年起，新能源上网电量全面进入电力市场，新增项目通过市场化方式形成机制电价</w:t>
      </w:r>
      <w:r>
        <w:rPr>
          <w:vertAlign w:val="superscript"/>
          <w:sz w:val="21"/>
          <w:szCs w:val="21"/>
        </w:rPr>
        <w:t xml:space="preserve">[10]</w:t>
      </w:r>
      <w:r>
        <w:rPr>
          <w:sz w:val="21"/>
          <w:szCs w:val="21"/>
        </w:rPr>
        <w:t xml:space="preserve">，开发商收益不确定性上升，更加关注全生命周期度电成本，成本压力沿产业链向上游传导，这将加速机组大型化和施工运维技术降本。</w:t>
      </w:r>
    </w:p>
    <w:p>
      <w:pPr>
        <w:pStyle w:val="Normal"/>
        <w:keepNext w:val="true"/>
        <w:snapToGrid w:val="false"/>
        <w:spacing w:before="120" w:after="60"/>
        <w:ind w:firstLine="0"/>
        <w:rPr>
          <w:b/>
          <w:sz w:val="24"/>
        </w:rPr>
      </w:pPr>
      <w:r>
        <w:rPr>
          <w:rFonts w:ascii="Times New Roman" w:hAnsi="Times New Roman" w:eastAsia="黑体"/>
          <w:b/>
          <w:bCs/>
          <w:sz w:val="24"/>
          <w:szCs w:val="24"/>
        </w:rPr>
        <w:t xml:space="preserve">3.5 产业链国产化水平评估</w:t>
      </w:r>
    </w:p>
    <w:p>
      <w:pPr>
        <w:pStyle w:val="Normal"/>
        <w:spacing w:lineRule="exact" w:line="360"/>
        <w:ind w:firstLine="482" w:end="0"/>
        <w:rPr>
          <w:sz w:val="21"/>
          <w:szCs w:val="21"/>
        </w:rPr>
      </w:pPr>
      <w:r>
        <w:rPr>
          <w:sz w:val="21"/>
          <w:szCs w:val="21"/>
        </w:rPr>
        <w:t xml:space="preserve">综合上述分析，海上风电产业链各关键环节的技术要点与国产化水平如表2所示。总体上，整机、叶片、海缆、塔筒与基础等环节已达到国际先进水平并具备出口能力，短板集中在主轴承、大功率IGBT、高性能复合材料、直流海缆绝缘料和设计仿真软件等“深层次”环节。这些短板环节有一个共同特征：技术积累周期长、验证成本高、市场规模相对较小，单靠市场机制难以在短期内突破，需要产业政策和“链主”企业协同推动。</w:t>
      </w:r>
    </w:p>
    <w:p>
      <w:pPr>
        <w:pStyle w:val="Normal"/>
        <w:keepNext w:val="true"/>
        <w:snapToGrid w:val="false"/>
        <w:spacing w:before="60" w:after="120"/>
        <w:jc w:val="center"/>
        <w:rPr>
          <w:sz w:val="18"/>
        </w:rPr>
      </w:pPr>
      <w:r>
        <w:rPr>
          <w:sz w:val="18"/>
          <w:szCs w:val="18"/>
        </w:rPr>
        <w:t xml:space="preserve">表2 海上风电产业链关键环节技术要点与国产化水平</w:t>
      </w:r>
    </w:p>
    <w:tbl>
      <w:tblPr>
        <w:tblW w:w="7936" w:type="dxa"/>
        <w:jc w:val="center"/>
        <w:tblBorders>
          <w:top w:val="nil"/>
          <w:left w:val="nil"/>
          <w:bottom w:val="nil"/>
          <w:right w:val="nil"/>
          <w:insideH w:val="nil"/>
          <w:insideV w:val="nil"/>
        </w:tblBorders>
        <w:tblLayout w:type="fixed"/>
        <w:tblCellMar>
          <w:left w:w="80" w:type="dxa"/>
          <w:right w:w="80" w:type="dxa"/>
        </w:tblCellMar>
        <w:tblLook w:val="0000"/>
      </w:tblPr>
      <w:tblGrid>
        <w:gridCol w:w="1134"/>
        <w:gridCol w:w="2494"/>
        <w:gridCol w:w="2154"/>
        <w:gridCol w:w="2154"/>
      </w:tblGrid>
      <w:tr>
        <w:trPr>
          <w:tblHeader/>
          <w:cantSplit/>
        </w:trPr>
        <w:tc>
          <w:tcPr>
            <w:tcW w:w="1134" w:type="dxa"/>
            <w:tcBorders>
              <w:top w:val="single" w:sz="12" w:space="0" w:color="000000"/>
              <w:bottom w:val="single" w:sz="6" w:space="0" w:color="000000"/>
            </w:tcBorders>
            <w:vAlign w:val="center"/>
          </w:tcPr>
          <w:p>
            <w:pPr>
              <w:pStyle w:val="Normal"/>
              <w:keepNext w:val="true"/>
              <w:snapToGrid w:val="false"/>
              <w:spacing w:before="20" w:after="20" w:line="260" w:lineRule="exact"/>
              <w:jc w:val="center"/>
              <w:rPr>
                <w:sz w:val="18"/>
              </w:rPr>
            </w:pPr>
            <w:r>
              <w:rPr>
                <w:b/>
                <w:bCs/>
                <w:sz w:val="18"/>
                <w:szCs w:val="18"/>
              </w:rPr>
              <w:t xml:space="preserve">环节</w:t>
            </w:r>
          </w:p>
        </w:tc>
        <w:tc>
          <w:tcPr>
            <w:tcW w:w="2494" w:type="dxa"/>
            <w:tcBorders>
              <w:top w:val="single" w:sz="12" w:space="0" w:color="000000"/>
              <w:bottom w:val="single" w:sz="6" w:space="0" w:color="000000"/>
            </w:tcBorders>
            <w:vAlign w:val="center"/>
          </w:tcPr>
          <w:p>
            <w:pPr>
              <w:pStyle w:val="Normal"/>
              <w:keepNext w:val="true"/>
              <w:snapToGrid w:val="false"/>
              <w:spacing w:before="20" w:after="20" w:line="260" w:lineRule="exact"/>
              <w:jc w:val="center"/>
              <w:rPr>
                <w:sz w:val="18"/>
              </w:rPr>
            </w:pPr>
            <w:r>
              <w:rPr>
                <w:b/>
                <w:bCs/>
                <w:sz w:val="18"/>
                <w:szCs w:val="18"/>
              </w:rPr>
              <w:t xml:space="preserve">关键技术</w:t>
            </w:r>
          </w:p>
        </w:tc>
        <w:tc>
          <w:tcPr>
            <w:tcW w:w="2154" w:type="dxa"/>
            <w:tcBorders>
              <w:top w:val="single" w:sz="12" w:space="0" w:color="000000"/>
              <w:bottom w:val="single" w:sz="6" w:space="0" w:color="000000"/>
            </w:tcBorders>
            <w:vAlign w:val="center"/>
          </w:tcPr>
          <w:p>
            <w:pPr>
              <w:pStyle w:val="Normal"/>
              <w:keepNext w:val="true"/>
              <w:snapToGrid w:val="false"/>
              <w:spacing w:before="20" w:after="20" w:line="260" w:lineRule="exact"/>
              <w:jc w:val="center"/>
              <w:rPr>
                <w:sz w:val="18"/>
              </w:rPr>
            </w:pPr>
            <w:r>
              <w:rPr>
                <w:b/>
                <w:bCs/>
                <w:sz w:val="18"/>
                <w:szCs w:val="18"/>
              </w:rPr>
              <w:t xml:space="preserve">国内代表企业</w:t>
            </w:r>
          </w:p>
        </w:tc>
        <w:tc>
          <w:tcPr>
            <w:tcW w:w="2154" w:type="dxa"/>
            <w:tcBorders>
              <w:top w:val="single" w:sz="12" w:space="0" w:color="000000"/>
              <w:bottom w:val="single" w:sz="6" w:space="0" w:color="000000"/>
            </w:tcBorders>
            <w:vAlign w:val="center"/>
          </w:tcPr>
          <w:p>
            <w:pPr>
              <w:pStyle w:val="Normal"/>
              <w:keepNext w:val="true"/>
              <w:snapToGrid w:val="false"/>
              <w:spacing w:before="20" w:after="20" w:line="260" w:lineRule="exact"/>
              <w:jc w:val="center"/>
              <w:rPr>
                <w:sz w:val="18"/>
              </w:rPr>
            </w:pPr>
            <w:r>
              <w:rPr>
                <w:b/>
                <w:bCs/>
                <w:sz w:val="18"/>
                <w:szCs w:val="18"/>
              </w:rPr>
              <w:t xml:space="preserve">国产化水平与短板</w:t>
            </w:r>
          </w:p>
        </w:tc>
      </w:tr>
      <w:tr>
        <w:trPr>
          <w:cantSplit/>
        </w:trPr>
        <w:tc>
          <w:tcPr>
            <w:tcW w:w="1134" w:type="dxa"/>
            <w:tcBorders/>
            <w:vAlign w:val="center"/>
          </w:tcPr>
          <w:p>
            <w:pPr>
              <w:pStyle w:val="Normal"/>
              <w:keepNext w:val="true"/>
              <w:snapToGrid w:val="false"/>
              <w:spacing w:before="20" w:after="20" w:line="260" w:lineRule="exact"/>
              <w:jc w:val="center"/>
              <w:rPr>
                <w:sz w:val="18"/>
              </w:rPr>
            </w:pPr>
            <w:r>
              <w:rPr>
                <w:sz w:val="18"/>
                <w:szCs w:val="18"/>
              </w:rPr>
              <w:t xml:space="preserve">整机</w:t>
            </w:r>
          </w:p>
        </w:tc>
        <w:tc>
          <w:tcPr>
            <w:tcW w:w="2494" w:type="dxa"/>
            <w:tcBorders/>
            <w:vAlign w:val="center"/>
          </w:tcPr>
          <w:p>
            <w:pPr>
              <w:pStyle w:val="Normal"/>
              <w:keepNext w:val="true"/>
              <w:snapToGrid w:val="false"/>
              <w:spacing w:before="20" w:after="20" w:line="260" w:lineRule="exact"/>
              <w:jc w:val="start"/>
              <w:rPr>
                <w:sz w:val="18"/>
              </w:rPr>
            </w:pPr>
            <w:r>
              <w:rPr>
                <w:sz w:val="18"/>
                <w:szCs w:val="18"/>
              </w:rPr>
              <w:t xml:space="preserve">大型化平台设计、抗台风控制</w:t>
            </w:r>
          </w:p>
        </w:tc>
        <w:tc>
          <w:tcPr>
            <w:tcW w:w="2154" w:type="dxa"/>
            <w:tcBorders/>
            <w:vAlign w:val="center"/>
          </w:tcPr>
          <w:p>
            <w:pPr>
              <w:pStyle w:val="Normal"/>
              <w:keepNext w:val="true"/>
              <w:snapToGrid w:val="false"/>
              <w:spacing w:before="20" w:after="20" w:line="260" w:lineRule="exact"/>
              <w:jc w:val="start"/>
              <w:rPr>
                <w:sz w:val="18"/>
              </w:rPr>
            </w:pPr>
            <w:r>
              <w:rPr>
                <w:sz w:val="18"/>
                <w:szCs w:val="18"/>
              </w:rPr>
              <w:t xml:space="preserve">金风科技、明阳智能、电气风电、东方电气等</w:t>
            </w:r>
          </w:p>
        </w:tc>
        <w:tc>
          <w:tcPr>
            <w:tcW w:w="2154" w:type="dxa"/>
            <w:tcBorders/>
            <w:vAlign w:val="center"/>
          </w:tcPr>
          <w:p>
            <w:pPr>
              <w:pStyle w:val="Normal"/>
              <w:keepNext w:val="true"/>
              <w:snapToGrid w:val="false"/>
              <w:spacing w:before="20" w:after="20" w:line="260" w:lineRule="exact"/>
              <w:jc w:val="start"/>
              <w:rPr>
                <w:sz w:val="18"/>
              </w:rPr>
            </w:pPr>
            <w:r>
              <w:rPr>
                <w:sz w:val="18"/>
                <w:szCs w:val="18"/>
              </w:rPr>
              <w:t xml:space="preserve">高；20 MW级机组居世界前列</w:t>
            </w:r>
          </w:p>
        </w:tc>
      </w:tr>
      <w:tr>
        <w:trPr>
          <w:cantSplit/>
        </w:trPr>
        <w:tc>
          <w:tcPr>
            <w:tcW w:w="1134" w:type="dxa"/>
            <w:tcBorders/>
            <w:vAlign w:val="center"/>
          </w:tcPr>
          <w:p>
            <w:pPr>
              <w:pStyle w:val="Normal"/>
              <w:keepNext w:val="true"/>
              <w:snapToGrid w:val="false"/>
              <w:spacing w:before="20" w:after="20" w:line="260" w:lineRule="exact"/>
              <w:jc w:val="center"/>
              <w:rPr>
                <w:sz w:val="18"/>
              </w:rPr>
            </w:pPr>
            <w:r>
              <w:rPr>
                <w:sz w:val="18"/>
                <w:szCs w:val="18"/>
              </w:rPr>
              <w:t xml:space="preserve">叶片</w:t>
            </w:r>
          </w:p>
        </w:tc>
        <w:tc>
          <w:tcPr>
            <w:tcW w:w="2494" w:type="dxa"/>
            <w:tcBorders/>
            <w:vAlign w:val="center"/>
          </w:tcPr>
          <w:p>
            <w:pPr>
              <w:pStyle w:val="Normal"/>
              <w:keepNext w:val="true"/>
              <w:snapToGrid w:val="false"/>
              <w:spacing w:before="20" w:after="20" w:line="260" w:lineRule="exact"/>
              <w:jc w:val="start"/>
              <w:rPr>
                <w:sz w:val="18"/>
              </w:rPr>
            </w:pPr>
            <w:r>
              <w:rPr>
                <w:sz w:val="18"/>
                <w:szCs w:val="18"/>
              </w:rPr>
              <w:t xml:space="preserve">超长柔性叶片、碳纤维主梁</w:t>
            </w:r>
          </w:p>
        </w:tc>
        <w:tc>
          <w:tcPr>
            <w:tcW w:w="2154" w:type="dxa"/>
            <w:tcBorders/>
            <w:vAlign w:val="center"/>
          </w:tcPr>
          <w:p>
            <w:pPr>
              <w:pStyle w:val="Normal"/>
              <w:keepNext w:val="true"/>
              <w:snapToGrid w:val="false"/>
              <w:spacing w:before="20" w:after="20" w:line="260" w:lineRule="exact"/>
              <w:jc w:val="start"/>
              <w:rPr>
                <w:sz w:val="18"/>
              </w:rPr>
            </w:pPr>
            <w:r>
              <w:rPr>
                <w:sz w:val="18"/>
                <w:szCs w:val="18"/>
              </w:rPr>
              <w:t xml:space="preserve">中材科技、时代新材等</w:t>
            </w:r>
          </w:p>
        </w:tc>
        <w:tc>
          <w:tcPr>
            <w:tcW w:w="2154" w:type="dxa"/>
            <w:tcBorders/>
            <w:vAlign w:val="center"/>
          </w:tcPr>
          <w:p>
            <w:pPr>
              <w:pStyle w:val="Normal"/>
              <w:keepNext w:val="true"/>
              <w:snapToGrid w:val="false"/>
              <w:spacing w:before="20" w:after="20" w:line="260" w:lineRule="exact"/>
              <w:jc w:val="start"/>
              <w:rPr>
                <w:sz w:val="18"/>
              </w:rPr>
            </w:pPr>
            <w:r>
              <w:rPr>
                <w:sz w:val="18"/>
                <w:szCs w:val="18"/>
              </w:rPr>
              <w:t xml:space="preserve">较高；碳纤维、芯材部分进口</w:t>
            </w:r>
          </w:p>
        </w:tc>
      </w:tr>
      <w:tr>
        <w:trPr>
          <w:cantSplit/>
        </w:trPr>
        <w:tc>
          <w:tcPr>
            <w:tcW w:w="1134" w:type="dxa"/>
            <w:tcBorders/>
            <w:vAlign w:val="center"/>
          </w:tcPr>
          <w:p>
            <w:pPr>
              <w:pStyle w:val="Normal"/>
              <w:keepNext w:val="true"/>
              <w:snapToGrid w:val="false"/>
              <w:spacing w:before="20" w:after="20" w:line="260" w:lineRule="exact"/>
              <w:jc w:val="center"/>
              <w:rPr>
                <w:sz w:val="18"/>
              </w:rPr>
            </w:pPr>
            <w:r>
              <w:rPr>
                <w:sz w:val="18"/>
                <w:szCs w:val="18"/>
              </w:rPr>
              <w:t xml:space="preserve">主轴承</w:t>
            </w:r>
          </w:p>
        </w:tc>
        <w:tc>
          <w:tcPr>
            <w:tcW w:w="2494" w:type="dxa"/>
            <w:tcBorders/>
            <w:vAlign w:val="center"/>
          </w:tcPr>
          <w:p>
            <w:pPr>
              <w:pStyle w:val="Normal"/>
              <w:keepNext w:val="true"/>
              <w:snapToGrid w:val="false"/>
              <w:spacing w:before="20" w:after="20" w:line="260" w:lineRule="exact"/>
              <w:jc w:val="start"/>
              <w:rPr>
                <w:sz w:val="18"/>
              </w:rPr>
            </w:pPr>
            <w:r>
              <w:rPr>
                <w:sz w:val="18"/>
                <w:szCs w:val="18"/>
              </w:rPr>
              <w:t xml:space="preserve">低速重载大尺寸轴承设计与热处理</w:t>
            </w:r>
          </w:p>
        </w:tc>
        <w:tc>
          <w:tcPr>
            <w:tcW w:w="2154" w:type="dxa"/>
            <w:tcBorders/>
            <w:vAlign w:val="center"/>
          </w:tcPr>
          <w:p>
            <w:pPr>
              <w:pStyle w:val="Normal"/>
              <w:keepNext w:val="true"/>
              <w:snapToGrid w:val="false"/>
              <w:spacing w:before="20" w:after="20" w:line="260" w:lineRule="exact"/>
              <w:jc w:val="start"/>
              <w:rPr>
                <w:sz w:val="18"/>
              </w:rPr>
            </w:pPr>
            <w:r>
              <w:rPr>
                <w:sz w:val="18"/>
                <w:szCs w:val="18"/>
              </w:rPr>
              <w:t xml:space="preserve">洛阳LYC、瓦轴、新强联等</w:t>
            </w:r>
          </w:p>
        </w:tc>
        <w:tc>
          <w:tcPr>
            <w:tcW w:w="2154" w:type="dxa"/>
            <w:tcBorders/>
            <w:vAlign w:val="center"/>
          </w:tcPr>
          <w:p>
            <w:pPr>
              <w:pStyle w:val="Normal"/>
              <w:keepNext w:val="true"/>
              <w:snapToGrid w:val="false"/>
              <w:spacing w:before="20" w:after="20" w:line="260" w:lineRule="exact"/>
              <w:jc w:val="start"/>
              <w:rPr>
                <w:sz w:val="18"/>
              </w:rPr>
            </w:pPr>
            <w:r>
              <w:rPr>
                <w:sz w:val="18"/>
                <w:szCs w:val="18"/>
              </w:rPr>
              <w:t xml:space="preserve">中等；超大兆瓦主轴承验证不足</w:t>
            </w:r>
          </w:p>
        </w:tc>
      </w:tr>
      <w:tr>
        <w:trPr>
          <w:cantSplit/>
        </w:trPr>
        <w:tc>
          <w:tcPr>
            <w:tcW w:w="1134" w:type="dxa"/>
            <w:tcBorders/>
            <w:vAlign w:val="center"/>
          </w:tcPr>
          <w:p>
            <w:pPr>
              <w:pStyle w:val="Normal"/>
              <w:keepNext w:val="true"/>
              <w:snapToGrid w:val="false"/>
              <w:spacing w:before="20" w:after="20" w:line="260" w:lineRule="exact"/>
              <w:jc w:val="center"/>
              <w:rPr>
                <w:sz w:val="18"/>
              </w:rPr>
            </w:pPr>
            <w:r>
              <w:rPr>
                <w:sz w:val="18"/>
                <w:szCs w:val="18"/>
              </w:rPr>
              <w:t xml:space="preserve">齿轮箱/发电机</w:t>
            </w:r>
          </w:p>
        </w:tc>
        <w:tc>
          <w:tcPr>
            <w:tcW w:w="2494" w:type="dxa"/>
            <w:tcBorders/>
            <w:vAlign w:val="center"/>
          </w:tcPr>
          <w:p>
            <w:pPr>
              <w:pStyle w:val="Normal"/>
              <w:keepNext w:val="true"/>
              <w:snapToGrid w:val="false"/>
              <w:spacing w:before="20" w:after="20" w:line="260" w:lineRule="exact"/>
              <w:jc w:val="start"/>
              <w:rPr>
                <w:sz w:val="18"/>
              </w:rPr>
            </w:pPr>
            <w:r>
              <w:rPr>
                <w:sz w:val="18"/>
                <w:szCs w:val="18"/>
              </w:rPr>
              <w:t xml:space="preserve">中速高扭矩密度齿轮箱、永磁发电机</w:t>
            </w:r>
          </w:p>
        </w:tc>
        <w:tc>
          <w:tcPr>
            <w:tcW w:w="2154" w:type="dxa"/>
            <w:tcBorders/>
            <w:vAlign w:val="center"/>
          </w:tcPr>
          <w:p>
            <w:pPr>
              <w:pStyle w:val="Normal"/>
              <w:keepNext w:val="true"/>
              <w:snapToGrid w:val="false"/>
              <w:spacing w:before="20" w:after="20" w:line="260" w:lineRule="exact"/>
              <w:jc w:val="start"/>
              <w:rPr>
                <w:sz w:val="18"/>
              </w:rPr>
            </w:pPr>
            <w:r>
              <w:rPr>
                <w:sz w:val="18"/>
                <w:szCs w:val="18"/>
              </w:rPr>
              <w:t xml:space="preserve">南高齿、重庆齿轮箱等</w:t>
            </w:r>
          </w:p>
        </w:tc>
        <w:tc>
          <w:tcPr>
            <w:tcW w:w="2154" w:type="dxa"/>
            <w:tcBorders/>
            <w:vAlign w:val="center"/>
          </w:tcPr>
          <w:p>
            <w:pPr>
              <w:pStyle w:val="Normal"/>
              <w:keepNext w:val="true"/>
              <w:snapToGrid w:val="false"/>
              <w:spacing w:before="20" w:after="20" w:line="260" w:lineRule="exact"/>
              <w:jc w:val="center"/>
              <w:rPr>
                <w:sz w:val="18"/>
              </w:rPr>
            </w:pPr>
            <w:r>
              <w:rPr>
                <w:sz w:val="18"/>
                <w:szCs w:val="18"/>
              </w:rPr>
              <w:t xml:space="preserve">较高</w:t>
            </w:r>
          </w:p>
        </w:tc>
      </w:tr>
      <w:tr>
        <w:trPr>
          <w:cantSplit/>
        </w:trPr>
        <w:tc>
          <w:tcPr>
            <w:tcW w:w="1134" w:type="dxa"/>
            <w:tcBorders/>
            <w:vAlign w:val="center"/>
          </w:tcPr>
          <w:p>
            <w:pPr>
              <w:pStyle w:val="Normal"/>
              <w:keepNext w:val="true"/>
              <w:snapToGrid w:val="false"/>
              <w:spacing w:before="20" w:after="20" w:line="260" w:lineRule="exact"/>
              <w:jc w:val="center"/>
              <w:rPr>
                <w:sz w:val="18"/>
              </w:rPr>
            </w:pPr>
            <w:r>
              <w:rPr>
                <w:sz w:val="18"/>
                <w:szCs w:val="18"/>
              </w:rPr>
              <w:t xml:space="preserve">变流器/IGBT</w:t>
            </w:r>
          </w:p>
        </w:tc>
        <w:tc>
          <w:tcPr>
            <w:tcW w:w="2494" w:type="dxa"/>
            <w:tcBorders/>
            <w:vAlign w:val="center"/>
          </w:tcPr>
          <w:p>
            <w:pPr>
              <w:pStyle w:val="Normal"/>
              <w:keepNext w:val="true"/>
              <w:snapToGrid w:val="false"/>
              <w:spacing w:before="20" w:after="20" w:line="260" w:lineRule="exact"/>
              <w:jc w:val="start"/>
              <w:rPr>
                <w:sz w:val="18"/>
              </w:rPr>
            </w:pPr>
            <w:r>
              <w:rPr>
                <w:sz w:val="18"/>
                <w:szCs w:val="18"/>
              </w:rPr>
              <w:t xml:space="preserve">中压大功率变流、功率器件</w:t>
            </w:r>
          </w:p>
        </w:tc>
        <w:tc>
          <w:tcPr>
            <w:tcW w:w="2154" w:type="dxa"/>
            <w:tcBorders/>
            <w:vAlign w:val="center"/>
          </w:tcPr>
          <w:p>
            <w:pPr>
              <w:pStyle w:val="Normal"/>
              <w:keepNext w:val="true"/>
              <w:snapToGrid w:val="false"/>
              <w:spacing w:before="20" w:after="20" w:line="260" w:lineRule="exact"/>
              <w:jc w:val="start"/>
              <w:rPr>
                <w:sz w:val="18"/>
              </w:rPr>
            </w:pPr>
            <w:r>
              <w:rPr>
                <w:sz w:val="18"/>
                <w:szCs w:val="18"/>
              </w:rPr>
              <w:t xml:space="preserve">中车时代电气、斯达半导等</w:t>
            </w:r>
          </w:p>
        </w:tc>
        <w:tc>
          <w:tcPr>
            <w:tcW w:w="2154" w:type="dxa"/>
            <w:tcBorders/>
            <w:vAlign w:val="center"/>
          </w:tcPr>
          <w:p>
            <w:pPr>
              <w:pStyle w:val="Normal"/>
              <w:keepNext w:val="true"/>
              <w:snapToGrid w:val="false"/>
              <w:spacing w:before="20" w:after="20" w:line="260" w:lineRule="exact"/>
              <w:jc w:val="start"/>
              <w:rPr>
                <w:sz w:val="18"/>
              </w:rPr>
            </w:pPr>
            <w:r>
              <w:rPr>
                <w:sz w:val="18"/>
                <w:szCs w:val="18"/>
              </w:rPr>
              <w:t xml:space="preserve">变流器高；高压IGBT依赖进口</w:t>
            </w:r>
          </w:p>
        </w:tc>
      </w:tr>
      <w:tr>
        <w:trPr>
          <w:cantSplit/>
        </w:trPr>
        <w:tc>
          <w:tcPr>
            <w:tcW w:w="1134" w:type="dxa"/>
            <w:tcBorders/>
            <w:vAlign w:val="center"/>
          </w:tcPr>
          <w:p>
            <w:pPr>
              <w:pStyle w:val="Normal"/>
              <w:keepNext w:val="true"/>
              <w:snapToGrid w:val="false"/>
              <w:spacing w:before="20" w:after="20" w:line="260" w:lineRule="exact"/>
              <w:jc w:val="center"/>
              <w:rPr>
                <w:sz w:val="18"/>
              </w:rPr>
            </w:pPr>
            <w:r>
              <w:rPr>
                <w:sz w:val="18"/>
                <w:szCs w:val="18"/>
              </w:rPr>
              <w:t xml:space="preserve">海缆</w:t>
            </w:r>
          </w:p>
        </w:tc>
        <w:tc>
          <w:tcPr>
            <w:tcW w:w="2494" w:type="dxa"/>
            <w:tcBorders/>
            <w:vAlign w:val="center"/>
          </w:tcPr>
          <w:p>
            <w:pPr>
              <w:pStyle w:val="Normal"/>
              <w:keepNext w:val="true"/>
              <w:snapToGrid w:val="false"/>
              <w:spacing w:before="20" w:after="20" w:line="260" w:lineRule="exact"/>
              <w:jc w:val="start"/>
              <w:rPr>
                <w:sz w:val="18"/>
              </w:rPr>
            </w:pPr>
            <w:r>
              <w:rPr>
                <w:sz w:val="18"/>
                <w:szCs w:val="18"/>
              </w:rPr>
              <w:t xml:space="preserve">超高压交/直流绝缘、动态缆</w:t>
            </w:r>
          </w:p>
        </w:tc>
        <w:tc>
          <w:tcPr>
            <w:tcW w:w="2154" w:type="dxa"/>
            <w:tcBorders/>
            <w:vAlign w:val="center"/>
          </w:tcPr>
          <w:p>
            <w:pPr>
              <w:pStyle w:val="Normal"/>
              <w:keepNext w:val="true"/>
              <w:snapToGrid w:val="false"/>
              <w:spacing w:before="20" w:after="20" w:line="260" w:lineRule="exact"/>
              <w:jc w:val="start"/>
              <w:rPr>
                <w:sz w:val="18"/>
              </w:rPr>
            </w:pPr>
            <w:r>
              <w:rPr>
                <w:sz w:val="18"/>
                <w:szCs w:val="18"/>
              </w:rPr>
              <w:t xml:space="preserve">东方电缆、中天科技、亨通光电</w:t>
            </w:r>
          </w:p>
        </w:tc>
        <w:tc>
          <w:tcPr>
            <w:tcW w:w="2154" w:type="dxa"/>
            <w:tcBorders/>
            <w:vAlign w:val="center"/>
          </w:tcPr>
          <w:p>
            <w:pPr>
              <w:pStyle w:val="Normal"/>
              <w:keepNext w:val="true"/>
              <w:snapToGrid w:val="false"/>
              <w:spacing w:before="20" w:after="20" w:line="260" w:lineRule="exact"/>
              <w:jc w:val="start"/>
              <w:rPr>
                <w:sz w:val="18"/>
              </w:rPr>
            </w:pPr>
            <w:r>
              <w:rPr>
                <w:sz w:val="18"/>
                <w:szCs w:val="18"/>
              </w:rPr>
              <w:t xml:space="preserve">高；直流绝缘料部分进口</w:t>
            </w:r>
          </w:p>
        </w:tc>
      </w:tr>
      <w:tr>
        <w:trPr>
          <w:cantSplit/>
        </w:trPr>
        <w:tc>
          <w:tcPr>
            <w:tcW w:w="1134" w:type="dxa"/>
            <w:tcBorders/>
            <w:vAlign w:val="center"/>
          </w:tcPr>
          <w:p>
            <w:pPr>
              <w:pStyle w:val="Normal"/>
              <w:keepNext w:val="true"/>
              <w:snapToGrid w:val="false"/>
              <w:spacing w:before="20" w:after="20" w:line="260" w:lineRule="exact"/>
              <w:jc w:val="center"/>
              <w:rPr>
                <w:sz w:val="18"/>
              </w:rPr>
            </w:pPr>
            <w:r>
              <w:rPr>
                <w:sz w:val="18"/>
                <w:szCs w:val="18"/>
              </w:rPr>
              <w:t xml:space="preserve">基础/施工</w:t>
            </w:r>
          </w:p>
        </w:tc>
        <w:tc>
          <w:tcPr>
            <w:tcW w:w="2494" w:type="dxa"/>
            <w:tcBorders/>
            <w:vAlign w:val="center"/>
          </w:tcPr>
          <w:p>
            <w:pPr>
              <w:pStyle w:val="Normal"/>
              <w:keepNext w:val="true"/>
              <w:snapToGrid w:val="false"/>
              <w:spacing w:before="20" w:after="20" w:line="260" w:lineRule="exact"/>
              <w:jc w:val="start"/>
              <w:rPr>
                <w:sz w:val="18"/>
              </w:rPr>
            </w:pPr>
            <w:r>
              <w:rPr>
                <w:sz w:val="18"/>
                <w:szCs w:val="18"/>
              </w:rPr>
              <w:t xml:space="preserve">大直径单桩、导管架、漂浮式平台</w:t>
            </w:r>
          </w:p>
        </w:tc>
        <w:tc>
          <w:tcPr>
            <w:tcW w:w="2154" w:type="dxa"/>
            <w:tcBorders/>
            <w:vAlign w:val="center"/>
          </w:tcPr>
          <w:p>
            <w:pPr>
              <w:pStyle w:val="Normal"/>
              <w:keepNext w:val="true"/>
              <w:snapToGrid w:val="false"/>
              <w:spacing w:before="20" w:after="20" w:line="260" w:lineRule="exact"/>
              <w:jc w:val="start"/>
              <w:rPr>
                <w:sz w:val="18"/>
              </w:rPr>
            </w:pPr>
            <w:r>
              <w:rPr>
                <w:sz w:val="18"/>
                <w:szCs w:val="18"/>
              </w:rPr>
              <w:t xml:space="preserve">大金重工、海力风电、龙源振华等</w:t>
            </w:r>
          </w:p>
        </w:tc>
        <w:tc>
          <w:tcPr>
            <w:tcW w:w="2154" w:type="dxa"/>
            <w:tcBorders/>
            <w:vAlign w:val="center"/>
          </w:tcPr>
          <w:p>
            <w:pPr>
              <w:pStyle w:val="Normal"/>
              <w:keepNext w:val="true"/>
              <w:snapToGrid w:val="false"/>
              <w:spacing w:before="20" w:after="20" w:line="260" w:lineRule="exact"/>
              <w:jc w:val="start"/>
              <w:rPr>
                <w:sz w:val="18"/>
              </w:rPr>
            </w:pPr>
            <w:r>
              <w:rPr>
                <w:sz w:val="18"/>
                <w:szCs w:val="18"/>
              </w:rPr>
              <w:t xml:space="preserve">高；漂浮式系泊工程经验不足</w:t>
            </w:r>
          </w:p>
        </w:tc>
      </w:tr>
      <w:tr>
        <w:trPr>
          <w:cantSplit/>
        </w:trPr>
        <w:tc>
          <w:tcPr>
            <w:tcW w:w="1134" w:type="dxa"/>
            <w:tcBorders>
              <w:bottom w:val="single" w:sz="12" w:space="0" w:color="000000"/>
            </w:tcBorders>
            <w:vAlign w:val="center"/>
          </w:tcPr>
          <w:p>
            <w:pPr>
              <w:pStyle w:val="Normal"/>
              <w:snapToGrid w:val="false"/>
              <w:spacing w:before="20" w:after="20" w:line="260" w:lineRule="exact"/>
              <w:jc w:val="center"/>
              <w:rPr>
                <w:sz w:val="18"/>
              </w:rPr>
            </w:pPr>
            <w:r>
              <w:rPr>
                <w:sz w:val="18"/>
                <w:szCs w:val="18"/>
              </w:rPr>
              <w:t xml:space="preserve">设计软件</w:t>
            </w:r>
          </w:p>
        </w:tc>
        <w:tc>
          <w:tcPr>
            <w:tcW w:w="2494" w:type="dxa"/>
            <w:tcBorders>
              <w:bottom w:val="single" w:sz="12" w:space="0" w:color="000000"/>
            </w:tcBorders>
            <w:vAlign w:val="center"/>
          </w:tcPr>
          <w:p>
            <w:pPr>
              <w:pStyle w:val="Normal"/>
              <w:snapToGrid w:val="false"/>
              <w:spacing w:before="20" w:after="20" w:line="260" w:lineRule="exact"/>
              <w:jc w:val="start"/>
              <w:rPr>
                <w:sz w:val="18"/>
              </w:rPr>
            </w:pPr>
            <w:r>
              <w:rPr>
                <w:sz w:val="18"/>
                <w:szCs w:val="18"/>
              </w:rPr>
              <w:t xml:space="preserve">载荷仿真、一体化耦合计算</w:t>
            </w:r>
          </w:p>
        </w:tc>
        <w:tc>
          <w:tcPr>
            <w:tcW w:w="2154" w:type="dxa"/>
            <w:tcBorders>
              <w:bottom w:val="single" w:sz="12" w:space="0" w:color="000000"/>
            </w:tcBorders>
            <w:vAlign w:val="center"/>
          </w:tcPr>
          <w:p>
            <w:pPr>
              <w:pStyle w:val="Normal"/>
              <w:snapToGrid w:val="false"/>
              <w:spacing w:before="20" w:after="20" w:line="260" w:lineRule="exact"/>
              <w:jc w:val="start"/>
              <w:rPr>
                <w:sz w:val="18"/>
              </w:rPr>
            </w:pPr>
            <w:r>
              <w:rPr>
                <w:sz w:val="18"/>
                <w:szCs w:val="18"/>
              </w:rPr>
              <w:t xml:space="preserve">整机企业与科研院所自研</w:t>
            </w:r>
          </w:p>
        </w:tc>
        <w:tc>
          <w:tcPr>
            <w:tcW w:w="2154" w:type="dxa"/>
            <w:tcBorders>
              <w:bottom w:val="single" w:sz="12" w:space="0" w:color="000000"/>
            </w:tcBorders>
            <w:vAlign w:val="center"/>
          </w:tcPr>
          <w:p>
            <w:pPr>
              <w:pStyle w:val="Normal"/>
              <w:snapToGrid w:val="false"/>
              <w:spacing w:before="20" w:after="20" w:line="260" w:lineRule="exact"/>
              <w:jc w:val="start"/>
              <w:rPr>
                <w:sz w:val="18"/>
              </w:rPr>
            </w:pPr>
            <w:r>
              <w:rPr>
                <w:sz w:val="18"/>
                <w:szCs w:val="18"/>
              </w:rPr>
              <w:t xml:space="preserve">低；以国外商业软件为主</w:t>
            </w:r>
          </w:p>
        </w:tc>
      </w:tr>
    </w:tbl>
    <w:p>
      <w:pPr>
        <w:pStyle w:val="Normal"/>
        <w:spacing w:lineRule="exact" w:line="240"/>
        <w:rPr>
          <w:sz w:val="12"/>
        </w:rPr>
      </w:pPr>
    </w:p>
    <w:p>
      <w:pPr>
        <w:pStyle w:val="Heading1"/>
        <w:keepNext w:val="true"/>
        <w:numPr>
          <w:ilvl w:val="0"/>
          <w:numId w:val="0"/>
        </w:numPr>
        <w:snapToGrid w:val="false"/>
        <w:spacing w:before="240" w:after="120"/>
        <w:ind w:start="0" w:hanging="0"/>
        <w:jc w:val="start"/>
        <w:rPr>
          <w:rFonts w:eastAsia="黑体"/>
          <w:b w:val="false"/>
          <w:sz w:val="28"/>
        </w:rPr>
      </w:pPr>
      <w:r>
        <w:rPr>
          <w:b w:val="false"/>
          <w:rFonts w:ascii="Times New Roman" w:hAnsi="Times New Roman" w:eastAsia="黑体"/>
          <w:sz w:val="28"/>
          <w:szCs w:val="28"/>
        </w:rPr>
        <w:t xml:space="preserve">4 产业集群空间布局分析</w:t>
      </w:r>
    </w:p>
    <w:p>
      <w:pPr>
        <w:pStyle w:val="Normal"/>
        <w:keepNext w:val="true"/>
        <w:snapToGrid w:val="false"/>
        <w:spacing w:before="120" w:after="60"/>
        <w:ind w:firstLine="0"/>
        <w:rPr>
          <w:b/>
          <w:sz w:val="24"/>
        </w:rPr>
      </w:pPr>
      <w:r>
        <w:rPr>
          <w:rFonts w:ascii="Times New Roman" w:hAnsi="Times New Roman" w:eastAsia="黑体"/>
          <w:b/>
          <w:bCs/>
          <w:sz w:val="24"/>
          <w:szCs w:val="24"/>
        </w:rPr>
        <w:t xml:space="preserve">4.1 布局总体格局</w:t>
      </w:r>
    </w:p>
    <w:p>
      <w:pPr>
        <w:pStyle w:val="Normal"/>
        <w:spacing w:lineRule="exact" w:line="360"/>
        <w:ind w:firstLine="482" w:end="0"/>
        <w:rPr>
          <w:sz w:val="21"/>
          <w:szCs w:val="21"/>
        </w:rPr>
      </w:pPr>
      <w:r>
        <w:rPr>
          <w:sz w:val="21"/>
          <w:szCs w:val="21"/>
        </w:rPr>
        <w:t xml:space="preserve">《“十四五”可再生能源发展规划》提出重点建设山东半岛、长三角、闽南、粤东和北部湾五大海上风电基地集群</w:t>
      </w:r>
      <w:r>
        <w:rPr>
          <w:vertAlign w:val="superscript"/>
          <w:sz w:val="21"/>
          <w:szCs w:val="21"/>
        </w:rPr>
        <w:t xml:space="preserve">[11]</w:t>
      </w:r>
      <w:r>
        <w:rPr>
          <w:sz w:val="21"/>
          <w:szCs w:val="21"/>
        </w:rPr>
        <w:t xml:space="preserve">；“十五五”期间，国家进一步部署在渤海、黄海、东海、南海建设海上风电基地，规范有序推进深远海风电开发</w:t>
      </w:r>
      <w:r>
        <w:rPr>
          <w:vertAlign w:val="superscript"/>
          <w:sz w:val="21"/>
          <w:szCs w:val="21"/>
        </w:rPr>
        <w:t xml:space="preserve">[12]</w:t>
      </w:r>
      <w:r>
        <w:rPr>
          <w:sz w:val="21"/>
          <w:szCs w:val="21"/>
        </w:rPr>
        <w:t xml:space="preserve">。在基地规划引导下，我国海上风电产业集群形成了如图4所示的沿海带状分布格局。</w:t>
      </w:r>
    </w:p>
    <w:p>
      <w:pPr>
        <w:pStyle w:val="Normal"/>
        <w:keepNext w:val="true"/>
        <w:spacing w:before="120"/>
        <w:jc w:val="center"/>
      </w:pPr>
      <w:r>
        <w:drawing>
          <wp:inline distT="0" distB="0" distL="0" distR="0">
            <wp:extent cx="5400000" cy="3494117"/>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Fig4"/>
                    <a:stretch>
                      <a:fillRect/>
                    </a:stretch>
                  </pic:blipFill>
                  <pic:spPr>
                    <a:xfrm>
                      <a:off x="0" y="0"/>
                      <a:ext cx="5400000" cy="3494117"/>
                    </a:xfrm>
                    <a:prstGeom prst="rect">
                      <a:avLst/>
                    </a:prstGeom>
                  </pic:spPr>
                </pic:pic>
              </a:graphicData>
            </a:graphic>
          </wp:inline>
        </w:drawing>
      </w:r>
    </w:p>
    <w:p>
      <w:pPr>
        <w:pStyle w:val="Normal"/>
        <w:snapToGrid w:val="false"/>
        <w:spacing w:before="60" w:after="120"/>
        <w:jc w:val="center"/>
        <w:rPr>
          <w:sz w:val="18"/>
        </w:rPr>
      </w:pPr>
      <w:r>
        <w:rPr>
          <w:sz w:val="18"/>
          <w:szCs w:val="18"/>
        </w:rPr>
        <w:t xml:space="preserve">图4 中国海上风电主要产业集群空间分布示意图（自北向南排列，非地图）</w:t>
      </w:r>
    </w:p>
    <w:p>
      <w:pPr>
        <w:pStyle w:val="Normal"/>
        <w:spacing w:lineRule="exact" w:line="360"/>
        <w:ind w:firstLine="482" w:end="0"/>
        <w:rPr>
          <w:sz w:val="21"/>
          <w:szCs w:val="21"/>
        </w:rPr>
      </w:pPr>
      <w:r>
        <w:rPr>
          <w:sz w:val="21"/>
          <w:szCs w:val="21"/>
        </w:rPr>
        <w:t xml:space="preserve">总体来看，集群布局主要具有三方面特征：一是沿海岸线带状分布、依托港口布局，几乎所有大部件制造基地都位于具备重件码头的港口城市；二是“随项目走”，集群规模与所在海域风电场的开发规模高度相关，江苏、广东两大开发省份同时也是两大制造集群所在地；三是多中心、分层级，江苏盐城、广东阳江已形成整机、叶片、塔筒、海缆、施工、运维一体化的全产业链核心集群，其余城市则以特定环节为主形成专业化节点，而主轴承、齿轮箱、IGBT等体积较小、价值较高的核心部件仍可布局在洛阳、瓦房店、南京、株洲等内陆传统装备制造基地。</w:t>
      </w:r>
    </w:p>
    <w:p>
      <w:pPr>
        <w:pStyle w:val="Normal"/>
        <w:keepNext w:val="true"/>
        <w:snapToGrid w:val="false"/>
        <w:spacing w:before="120" w:after="60"/>
        <w:ind w:firstLine="0"/>
        <w:rPr>
          <w:b/>
          <w:sz w:val="24"/>
        </w:rPr>
      </w:pPr>
      <w:r>
        <w:rPr>
          <w:rFonts w:ascii="Times New Roman" w:hAnsi="Times New Roman" w:eastAsia="黑体"/>
          <w:b/>
          <w:bCs/>
          <w:sz w:val="24"/>
          <w:szCs w:val="24"/>
        </w:rPr>
        <w:t xml:space="preserve">4.2 主要产业集群比较</w:t>
      </w:r>
    </w:p>
    <w:p>
      <w:pPr>
        <w:pStyle w:val="Normal"/>
        <w:spacing w:lineRule="exact" w:line="360"/>
        <w:ind w:firstLine="482" w:end="0"/>
        <w:rPr>
          <w:sz w:val="21"/>
          <w:szCs w:val="21"/>
        </w:rPr>
      </w:pPr>
      <w:r>
        <w:rPr>
          <w:sz w:val="21"/>
          <w:szCs w:val="21"/>
        </w:rPr>
        <w:t xml:space="preserve">各主要产业集群的依托海域、主要特征和代表性企业或项目如表3所示。</w:t>
      </w:r>
    </w:p>
    <w:p>
      <w:pPr>
        <w:pStyle w:val="Normal"/>
        <w:keepNext w:val="true"/>
        <w:snapToGrid w:val="false"/>
        <w:spacing w:before="60" w:after="120"/>
        <w:jc w:val="center"/>
        <w:rPr>
          <w:sz w:val="18"/>
        </w:rPr>
      </w:pPr>
      <w:r>
        <w:rPr>
          <w:sz w:val="18"/>
          <w:szCs w:val="18"/>
        </w:rPr>
        <w:t xml:space="preserve">表3 我国主要海上风电产业集群概况</w:t>
      </w:r>
    </w:p>
    <w:tbl>
      <w:tblPr>
        <w:tblW w:w="7937" w:type="dxa"/>
        <w:jc w:val="center"/>
        <w:tblBorders>
          <w:top w:val="nil"/>
          <w:left w:val="nil"/>
          <w:bottom w:val="nil"/>
          <w:right w:val="nil"/>
          <w:insideH w:val="nil"/>
          <w:insideV w:val="nil"/>
        </w:tblBorders>
        <w:tblLayout w:type="fixed"/>
        <w:tblCellMar>
          <w:left w:w="80" w:type="dxa"/>
          <w:right w:w="80" w:type="dxa"/>
        </w:tblCellMar>
        <w:tblLook w:val="0000"/>
      </w:tblPr>
      <w:tblGrid>
        <w:gridCol w:w="1474"/>
        <w:gridCol w:w="1474"/>
        <w:gridCol w:w="2608"/>
        <w:gridCol w:w="2381"/>
      </w:tblGrid>
      <w:tr>
        <w:trPr>
          <w:tblHeader/>
          <w:cantSplit/>
        </w:trPr>
        <w:tc>
          <w:tcPr>
            <w:tcW w:w="1474" w:type="dxa"/>
            <w:tcBorders>
              <w:top w:val="single" w:sz="12" w:space="0" w:color="000000"/>
              <w:bottom w:val="single" w:sz="6" w:space="0" w:color="000000"/>
            </w:tcBorders>
            <w:vAlign w:val="center"/>
          </w:tcPr>
          <w:p>
            <w:pPr>
              <w:pStyle w:val="Normal"/>
              <w:keepNext w:val="true"/>
              <w:snapToGrid w:val="false"/>
              <w:spacing w:before="20" w:after="20" w:line="260" w:lineRule="exact"/>
              <w:jc w:val="center"/>
              <w:rPr>
                <w:sz w:val="18"/>
              </w:rPr>
            </w:pPr>
            <w:r>
              <w:rPr>
                <w:b/>
                <w:bCs/>
                <w:sz w:val="18"/>
                <w:szCs w:val="18"/>
              </w:rPr>
              <w:t xml:space="preserve">产业集群</w:t>
            </w:r>
          </w:p>
        </w:tc>
        <w:tc>
          <w:tcPr>
            <w:tcW w:w="1474" w:type="dxa"/>
            <w:tcBorders>
              <w:top w:val="single" w:sz="12" w:space="0" w:color="000000"/>
              <w:bottom w:val="single" w:sz="6" w:space="0" w:color="000000"/>
            </w:tcBorders>
            <w:vAlign w:val="center"/>
          </w:tcPr>
          <w:p>
            <w:pPr>
              <w:pStyle w:val="Normal"/>
              <w:keepNext w:val="true"/>
              <w:snapToGrid w:val="false"/>
              <w:spacing w:before="20" w:after="20" w:line="260" w:lineRule="exact"/>
              <w:jc w:val="center"/>
              <w:rPr>
                <w:sz w:val="18"/>
              </w:rPr>
            </w:pPr>
            <w:r>
              <w:rPr>
                <w:b/>
                <w:bCs/>
                <w:sz w:val="18"/>
                <w:szCs w:val="18"/>
              </w:rPr>
              <w:t xml:space="preserve">依托海域/基地</w:t>
            </w:r>
          </w:p>
        </w:tc>
        <w:tc>
          <w:tcPr>
            <w:tcW w:w="2608" w:type="dxa"/>
            <w:tcBorders>
              <w:top w:val="single" w:sz="12" w:space="0" w:color="000000"/>
              <w:bottom w:val="single" w:sz="6" w:space="0" w:color="000000"/>
            </w:tcBorders>
            <w:vAlign w:val="center"/>
          </w:tcPr>
          <w:p>
            <w:pPr>
              <w:pStyle w:val="Normal"/>
              <w:keepNext w:val="true"/>
              <w:snapToGrid w:val="false"/>
              <w:spacing w:before="20" w:after="20" w:line="260" w:lineRule="exact"/>
              <w:jc w:val="center"/>
              <w:rPr>
                <w:sz w:val="18"/>
              </w:rPr>
            </w:pPr>
            <w:r>
              <w:rPr>
                <w:b/>
                <w:bCs/>
                <w:sz w:val="18"/>
                <w:szCs w:val="18"/>
              </w:rPr>
              <w:t xml:space="preserve">主要特征</w:t>
            </w:r>
          </w:p>
        </w:tc>
        <w:tc>
          <w:tcPr>
            <w:tcW w:w="2381" w:type="dxa"/>
            <w:tcBorders>
              <w:top w:val="single" w:sz="12" w:space="0" w:color="000000"/>
              <w:bottom w:val="single" w:sz="6" w:space="0" w:color="000000"/>
            </w:tcBorders>
            <w:vAlign w:val="center"/>
          </w:tcPr>
          <w:p>
            <w:pPr>
              <w:pStyle w:val="Normal"/>
              <w:keepNext w:val="true"/>
              <w:snapToGrid w:val="false"/>
              <w:spacing w:before="20" w:after="20" w:line="260" w:lineRule="exact"/>
              <w:jc w:val="center"/>
              <w:rPr>
                <w:sz w:val="18"/>
              </w:rPr>
            </w:pPr>
            <w:r>
              <w:rPr>
                <w:b/>
                <w:bCs/>
                <w:sz w:val="18"/>
                <w:szCs w:val="18"/>
              </w:rPr>
              <w:t xml:space="preserve">代表性企业或项目</w:t>
            </w:r>
          </w:p>
        </w:tc>
      </w:tr>
      <w:tr>
        <w:trPr>
          <w:cantSplit/>
        </w:trPr>
        <w:tc>
          <w:tcPr>
            <w:tcW w:w="1474" w:type="dxa"/>
            <w:tcBorders/>
            <w:vAlign w:val="center"/>
          </w:tcPr>
          <w:p>
            <w:pPr>
              <w:pStyle w:val="Normal"/>
              <w:keepNext w:val="true"/>
              <w:snapToGrid w:val="false"/>
              <w:spacing w:before="20" w:after="20" w:line="260" w:lineRule="exact"/>
              <w:jc w:val="center"/>
              <w:rPr>
                <w:sz w:val="18"/>
              </w:rPr>
            </w:pPr>
            <w:r>
              <w:rPr>
                <w:sz w:val="18"/>
                <w:szCs w:val="18"/>
              </w:rPr>
              <w:t xml:space="preserve">江苏盐城—南通</w:t>
            </w:r>
          </w:p>
        </w:tc>
        <w:tc>
          <w:tcPr>
            <w:tcW w:w="1474" w:type="dxa"/>
            <w:tcBorders/>
            <w:vAlign w:val="center"/>
          </w:tcPr>
          <w:p>
            <w:pPr>
              <w:pStyle w:val="Normal"/>
              <w:keepNext w:val="true"/>
              <w:snapToGrid w:val="false"/>
              <w:spacing w:before="20" w:after="20" w:line="260" w:lineRule="exact"/>
              <w:jc w:val="center"/>
              <w:rPr>
                <w:sz w:val="18"/>
              </w:rPr>
            </w:pPr>
            <w:r>
              <w:rPr>
                <w:sz w:val="18"/>
                <w:szCs w:val="18"/>
              </w:rPr>
              <w:t xml:space="preserve">黄海；长三角基地</w:t>
            </w:r>
          </w:p>
        </w:tc>
        <w:tc>
          <w:tcPr>
            <w:tcW w:w="2608" w:type="dxa"/>
            <w:tcBorders/>
            <w:vAlign w:val="center"/>
          </w:tcPr>
          <w:p>
            <w:pPr>
              <w:pStyle w:val="Normal"/>
              <w:keepNext w:val="true"/>
              <w:snapToGrid w:val="false"/>
              <w:spacing w:before="20" w:after="20" w:line="260" w:lineRule="exact"/>
              <w:jc w:val="start"/>
              <w:rPr>
                <w:sz w:val="18"/>
              </w:rPr>
            </w:pPr>
            <w:r>
              <w:rPr>
                <w:sz w:val="18"/>
                <w:szCs w:val="18"/>
              </w:rPr>
              <w:t xml:space="preserve">开发最早、规模最大，整机产能约占全国40%、叶片约占20%</w:t>
            </w:r>
          </w:p>
        </w:tc>
        <w:tc>
          <w:tcPr>
            <w:tcW w:w="2381" w:type="dxa"/>
            <w:tcBorders/>
            <w:vAlign w:val="center"/>
          </w:tcPr>
          <w:p>
            <w:pPr>
              <w:pStyle w:val="Normal"/>
              <w:keepNext w:val="true"/>
              <w:snapToGrid w:val="false"/>
              <w:spacing w:before="20" w:after="20" w:line="260" w:lineRule="exact"/>
              <w:jc w:val="start"/>
              <w:rPr>
                <w:sz w:val="18"/>
              </w:rPr>
            </w:pPr>
            <w:r>
              <w:rPr>
                <w:sz w:val="18"/>
                <w:szCs w:val="18"/>
              </w:rPr>
              <w:t xml:space="preserve">金风科技、远景能源、中天科技、亨通光电；如东柔直工程</w:t>
            </w:r>
          </w:p>
        </w:tc>
      </w:tr>
      <w:tr>
        <w:trPr>
          <w:cantSplit/>
        </w:trPr>
        <w:tc>
          <w:tcPr>
            <w:tcW w:w="1474" w:type="dxa"/>
            <w:tcBorders/>
            <w:vAlign w:val="center"/>
          </w:tcPr>
          <w:p>
            <w:pPr>
              <w:pStyle w:val="Normal"/>
              <w:keepNext w:val="true"/>
              <w:snapToGrid w:val="false"/>
              <w:spacing w:before="20" w:after="20" w:line="260" w:lineRule="exact"/>
              <w:jc w:val="center"/>
              <w:rPr>
                <w:sz w:val="18"/>
              </w:rPr>
            </w:pPr>
            <w:r>
              <w:rPr>
                <w:sz w:val="18"/>
                <w:szCs w:val="18"/>
              </w:rPr>
              <w:t xml:space="preserve">上海—浙江</w:t>
            </w:r>
          </w:p>
        </w:tc>
        <w:tc>
          <w:tcPr>
            <w:tcW w:w="1474" w:type="dxa"/>
            <w:tcBorders/>
            <w:vAlign w:val="center"/>
          </w:tcPr>
          <w:p>
            <w:pPr>
              <w:pStyle w:val="Normal"/>
              <w:keepNext w:val="true"/>
              <w:snapToGrid w:val="false"/>
              <w:spacing w:before="20" w:after="20" w:line="260" w:lineRule="exact"/>
              <w:jc w:val="center"/>
              <w:rPr>
                <w:sz w:val="18"/>
              </w:rPr>
            </w:pPr>
            <w:r>
              <w:rPr>
                <w:sz w:val="18"/>
                <w:szCs w:val="18"/>
              </w:rPr>
              <w:t xml:space="preserve">东海；长三角基地</w:t>
            </w:r>
          </w:p>
        </w:tc>
        <w:tc>
          <w:tcPr>
            <w:tcW w:w="2608" w:type="dxa"/>
            <w:tcBorders/>
            <w:vAlign w:val="center"/>
          </w:tcPr>
          <w:p>
            <w:pPr>
              <w:pStyle w:val="Normal"/>
              <w:keepNext w:val="true"/>
              <w:snapToGrid w:val="false"/>
              <w:spacing w:before="20" w:after="20" w:line="260" w:lineRule="exact"/>
              <w:jc w:val="start"/>
              <w:rPr>
                <w:sz w:val="18"/>
              </w:rPr>
            </w:pPr>
            <w:r>
              <w:rPr>
                <w:sz w:val="18"/>
                <w:szCs w:val="18"/>
              </w:rPr>
              <w:t xml:space="preserve">研发设计与总部经济，海缆与输电技术示范</w:t>
            </w:r>
          </w:p>
        </w:tc>
        <w:tc>
          <w:tcPr>
            <w:tcW w:w="2381" w:type="dxa"/>
            <w:tcBorders/>
            <w:vAlign w:val="center"/>
          </w:tcPr>
          <w:p>
            <w:pPr>
              <w:pStyle w:val="Normal"/>
              <w:keepNext w:val="true"/>
              <w:snapToGrid w:val="false"/>
              <w:spacing w:before="20" w:after="20" w:line="260" w:lineRule="exact"/>
              <w:jc w:val="start"/>
              <w:rPr>
                <w:sz w:val="18"/>
              </w:rPr>
            </w:pPr>
            <w:r>
              <w:rPr>
                <w:sz w:val="18"/>
                <w:szCs w:val="18"/>
              </w:rPr>
              <w:t xml:space="preserve">电气风电、东方电缆、运达股份；舟山、台州输电示范</w:t>
            </w:r>
          </w:p>
        </w:tc>
      </w:tr>
      <w:tr>
        <w:trPr>
          <w:cantSplit/>
        </w:trPr>
        <w:tc>
          <w:tcPr>
            <w:tcW w:w="1474" w:type="dxa"/>
            <w:tcBorders/>
            <w:vAlign w:val="center"/>
          </w:tcPr>
          <w:p>
            <w:pPr>
              <w:pStyle w:val="Normal"/>
              <w:keepNext w:val="true"/>
              <w:snapToGrid w:val="false"/>
              <w:spacing w:before="20" w:after="20" w:line="260" w:lineRule="exact"/>
              <w:jc w:val="center"/>
              <w:rPr>
                <w:sz w:val="18"/>
              </w:rPr>
            </w:pPr>
            <w:r>
              <w:rPr>
                <w:sz w:val="18"/>
                <w:szCs w:val="18"/>
              </w:rPr>
              <w:t xml:space="preserve">福建福清—漳州</w:t>
            </w:r>
          </w:p>
        </w:tc>
        <w:tc>
          <w:tcPr>
            <w:tcW w:w="1474" w:type="dxa"/>
            <w:tcBorders/>
            <w:vAlign w:val="center"/>
          </w:tcPr>
          <w:p>
            <w:pPr>
              <w:pStyle w:val="Normal"/>
              <w:keepNext w:val="true"/>
              <w:snapToGrid w:val="false"/>
              <w:spacing w:before="20" w:after="20" w:line="260" w:lineRule="exact"/>
              <w:jc w:val="center"/>
              <w:rPr>
                <w:sz w:val="18"/>
              </w:rPr>
            </w:pPr>
            <w:r>
              <w:rPr>
                <w:sz w:val="18"/>
                <w:szCs w:val="18"/>
              </w:rPr>
              <w:t xml:space="preserve">东海；闽南基地</w:t>
            </w:r>
          </w:p>
        </w:tc>
        <w:tc>
          <w:tcPr>
            <w:tcW w:w="2608" w:type="dxa"/>
            <w:tcBorders/>
            <w:vAlign w:val="center"/>
          </w:tcPr>
          <w:p>
            <w:pPr>
              <w:pStyle w:val="Normal"/>
              <w:keepNext w:val="true"/>
              <w:snapToGrid w:val="false"/>
              <w:spacing w:before="20" w:after="20" w:line="260" w:lineRule="exact"/>
              <w:jc w:val="start"/>
              <w:rPr>
                <w:sz w:val="18"/>
              </w:rPr>
            </w:pPr>
            <w:r>
              <w:rPr>
                <w:sz w:val="18"/>
                <w:szCs w:val="18"/>
              </w:rPr>
              <w:t xml:space="preserve">台湾海峡风资源优，大容量机组制造与示范</w:t>
            </w:r>
          </w:p>
        </w:tc>
        <w:tc>
          <w:tcPr>
            <w:tcW w:w="2381" w:type="dxa"/>
            <w:tcBorders/>
            <w:vAlign w:val="center"/>
          </w:tcPr>
          <w:p>
            <w:pPr>
              <w:pStyle w:val="Normal"/>
              <w:keepNext w:val="true"/>
              <w:snapToGrid w:val="false"/>
              <w:spacing w:before="20" w:after="20" w:line="260" w:lineRule="exact"/>
              <w:jc w:val="start"/>
              <w:rPr>
                <w:sz w:val="18"/>
              </w:rPr>
            </w:pPr>
            <w:r>
              <w:rPr>
                <w:sz w:val="18"/>
                <w:szCs w:val="18"/>
              </w:rPr>
              <w:t xml:space="preserve">福建三峡海上风电国际产业园（金风科技、东方电气等）</w:t>
            </w:r>
          </w:p>
        </w:tc>
      </w:tr>
      <w:tr>
        <w:trPr>
          <w:cantSplit/>
        </w:trPr>
        <w:tc>
          <w:tcPr>
            <w:tcW w:w="1474" w:type="dxa"/>
            <w:tcBorders/>
            <w:vAlign w:val="center"/>
          </w:tcPr>
          <w:p>
            <w:pPr>
              <w:pStyle w:val="Normal"/>
              <w:keepNext w:val="true"/>
              <w:snapToGrid w:val="false"/>
              <w:spacing w:before="20" w:after="20" w:line="260" w:lineRule="exact"/>
              <w:jc w:val="center"/>
              <w:rPr>
                <w:sz w:val="18"/>
              </w:rPr>
            </w:pPr>
            <w:r>
              <w:rPr>
                <w:sz w:val="18"/>
                <w:szCs w:val="18"/>
              </w:rPr>
              <w:t xml:space="preserve">广东阳江—粤东</w:t>
            </w:r>
          </w:p>
        </w:tc>
        <w:tc>
          <w:tcPr>
            <w:tcW w:w="1474" w:type="dxa"/>
            <w:tcBorders/>
            <w:vAlign w:val="center"/>
          </w:tcPr>
          <w:p>
            <w:pPr>
              <w:pStyle w:val="Normal"/>
              <w:keepNext w:val="true"/>
              <w:snapToGrid w:val="false"/>
              <w:spacing w:before="20" w:after="20" w:line="260" w:lineRule="exact"/>
              <w:jc w:val="start"/>
              <w:rPr>
                <w:sz w:val="18"/>
              </w:rPr>
            </w:pPr>
            <w:r>
              <w:rPr>
                <w:sz w:val="18"/>
                <w:szCs w:val="18"/>
              </w:rPr>
              <w:t xml:space="preserve">南海；粤东基地及粤西</w:t>
            </w:r>
          </w:p>
        </w:tc>
        <w:tc>
          <w:tcPr>
            <w:tcW w:w="2608" w:type="dxa"/>
            <w:tcBorders/>
            <w:vAlign w:val="center"/>
          </w:tcPr>
          <w:p>
            <w:pPr>
              <w:pStyle w:val="Normal"/>
              <w:keepNext w:val="true"/>
              <w:snapToGrid w:val="false"/>
              <w:spacing w:before="20" w:after="20" w:line="260" w:lineRule="exact"/>
              <w:jc w:val="start"/>
              <w:rPr>
                <w:sz w:val="18"/>
              </w:rPr>
            </w:pPr>
            <w:r>
              <w:rPr>
                <w:sz w:val="18"/>
                <w:szCs w:val="18"/>
              </w:rPr>
              <w:t xml:space="preserve">全产业链集聚，抗台风与漂浮式技术示范</w:t>
            </w:r>
          </w:p>
        </w:tc>
        <w:tc>
          <w:tcPr>
            <w:tcW w:w="2381" w:type="dxa"/>
            <w:tcBorders/>
            <w:vAlign w:val="center"/>
          </w:tcPr>
          <w:p>
            <w:pPr>
              <w:pStyle w:val="Normal"/>
              <w:keepNext w:val="true"/>
              <w:snapToGrid w:val="false"/>
              <w:spacing w:before="20" w:after="20" w:line="260" w:lineRule="exact"/>
              <w:jc w:val="start"/>
              <w:rPr>
                <w:sz w:val="18"/>
              </w:rPr>
            </w:pPr>
            <w:r>
              <w:rPr>
                <w:sz w:val="18"/>
                <w:szCs w:val="18"/>
              </w:rPr>
              <w:t xml:space="preserve">明阳智能、金风科技、东方电缆、中天科技；引领号、领航号</w:t>
            </w:r>
          </w:p>
        </w:tc>
      </w:tr>
      <w:tr>
        <w:trPr>
          <w:cantSplit/>
        </w:trPr>
        <w:tc>
          <w:tcPr>
            <w:tcW w:w="1474" w:type="dxa"/>
            <w:tcBorders/>
            <w:vAlign w:val="center"/>
          </w:tcPr>
          <w:p>
            <w:pPr>
              <w:pStyle w:val="Normal"/>
              <w:keepNext w:val="true"/>
              <w:snapToGrid w:val="false"/>
              <w:spacing w:before="20" w:after="20" w:line="260" w:lineRule="exact"/>
              <w:jc w:val="start"/>
              <w:rPr>
                <w:sz w:val="18"/>
              </w:rPr>
            </w:pPr>
            <w:r>
              <w:rPr>
                <w:sz w:val="18"/>
                <w:szCs w:val="18"/>
              </w:rPr>
              <w:t xml:space="preserve">山东烟台—东营—威海</w:t>
            </w:r>
          </w:p>
        </w:tc>
        <w:tc>
          <w:tcPr>
            <w:tcW w:w="1474" w:type="dxa"/>
            <w:tcBorders/>
            <w:vAlign w:val="center"/>
          </w:tcPr>
          <w:p>
            <w:pPr>
              <w:pStyle w:val="Normal"/>
              <w:keepNext w:val="true"/>
              <w:snapToGrid w:val="false"/>
              <w:spacing w:before="20" w:after="20" w:line="260" w:lineRule="exact"/>
              <w:jc w:val="start"/>
              <w:rPr>
                <w:sz w:val="18"/>
              </w:rPr>
            </w:pPr>
            <w:r>
              <w:rPr>
                <w:sz w:val="18"/>
                <w:szCs w:val="18"/>
              </w:rPr>
              <w:t xml:space="preserve">黄渤海；山东半岛基地</w:t>
            </w:r>
          </w:p>
        </w:tc>
        <w:tc>
          <w:tcPr>
            <w:tcW w:w="2608" w:type="dxa"/>
            <w:tcBorders/>
            <w:vAlign w:val="center"/>
          </w:tcPr>
          <w:p>
            <w:pPr>
              <w:pStyle w:val="Normal"/>
              <w:keepNext w:val="true"/>
              <w:snapToGrid w:val="false"/>
              <w:spacing w:before="20" w:after="20" w:line="260" w:lineRule="exact"/>
              <w:jc w:val="start"/>
              <w:rPr>
                <w:sz w:val="18"/>
              </w:rPr>
            </w:pPr>
            <w:r>
              <w:rPr>
                <w:sz w:val="18"/>
                <w:szCs w:val="18"/>
              </w:rPr>
              <w:t xml:space="preserve">海工装备与重型钢结构优势，“海上风电+”融合</w:t>
            </w:r>
          </w:p>
        </w:tc>
        <w:tc>
          <w:tcPr>
            <w:tcW w:w="2381" w:type="dxa"/>
            <w:tcBorders/>
            <w:vAlign w:val="center"/>
          </w:tcPr>
          <w:p>
            <w:pPr>
              <w:pStyle w:val="Normal"/>
              <w:keepNext w:val="true"/>
              <w:snapToGrid w:val="false"/>
              <w:spacing w:before="20" w:after="20" w:line="260" w:lineRule="exact"/>
              <w:jc w:val="start"/>
              <w:rPr>
                <w:sz w:val="18"/>
              </w:rPr>
            </w:pPr>
            <w:r>
              <w:rPr>
                <w:sz w:val="18"/>
                <w:szCs w:val="18"/>
              </w:rPr>
              <w:t xml:space="preserve">大金重工、中集来福士等</w:t>
            </w:r>
          </w:p>
        </w:tc>
      </w:tr>
      <w:tr>
        <w:trPr>
          <w:cantSplit/>
        </w:trPr>
        <w:tc>
          <w:tcPr>
            <w:tcW w:w="1474" w:type="dxa"/>
            <w:tcBorders>
              <w:bottom w:val="single" w:sz="12" w:space="0" w:color="000000"/>
            </w:tcBorders>
            <w:vAlign w:val="center"/>
          </w:tcPr>
          <w:p>
            <w:pPr>
              <w:pStyle w:val="Normal"/>
              <w:snapToGrid w:val="false"/>
              <w:spacing w:before="20" w:after="20" w:line="260" w:lineRule="exact"/>
              <w:jc w:val="center"/>
              <w:rPr>
                <w:sz w:val="18"/>
              </w:rPr>
            </w:pPr>
            <w:r>
              <w:rPr>
                <w:sz w:val="18"/>
                <w:szCs w:val="18"/>
              </w:rPr>
              <w:t xml:space="preserve">广西—海南</w:t>
            </w:r>
          </w:p>
        </w:tc>
        <w:tc>
          <w:tcPr>
            <w:tcW w:w="1474" w:type="dxa"/>
            <w:tcBorders>
              <w:bottom w:val="single" w:sz="12" w:space="0" w:color="000000"/>
            </w:tcBorders>
            <w:vAlign w:val="center"/>
          </w:tcPr>
          <w:p>
            <w:pPr>
              <w:pStyle w:val="Normal"/>
              <w:snapToGrid w:val="false"/>
              <w:spacing w:before="20" w:after="20" w:line="260" w:lineRule="exact"/>
              <w:jc w:val="center"/>
              <w:rPr>
                <w:sz w:val="18"/>
              </w:rPr>
            </w:pPr>
            <w:r>
              <w:rPr>
                <w:sz w:val="18"/>
                <w:szCs w:val="18"/>
              </w:rPr>
              <w:t xml:space="preserve">南海；北部湾基地</w:t>
            </w:r>
          </w:p>
        </w:tc>
        <w:tc>
          <w:tcPr>
            <w:tcW w:w="2608" w:type="dxa"/>
            <w:tcBorders>
              <w:bottom w:val="single" w:sz="12" w:space="0" w:color="000000"/>
            </w:tcBorders>
            <w:vAlign w:val="center"/>
          </w:tcPr>
          <w:p>
            <w:pPr>
              <w:pStyle w:val="Normal"/>
              <w:snapToGrid w:val="false"/>
              <w:spacing w:before="20" w:after="20" w:line="260" w:lineRule="exact"/>
              <w:jc w:val="start"/>
              <w:rPr>
                <w:sz w:val="18"/>
              </w:rPr>
            </w:pPr>
            <w:r>
              <w:rPr>
                <w:sz w:val="18"/>
                <w:szCs w:val="18"/>
              </w:rPr>
              <w:t xml:space="preserve">起步较晚，深远海示范，面向东盟市场</w:t>
            </w:r>
          </w:p>
        </w:tc>
        <w:tc>
          <w:tcPr>
            <w:tcW w:w="2381" w:type="dxa"/>
            <w:tcBorders>
              <w:bottom w:val="single" w:sz="12" w:space="0" w:color="000000"/>
            </w:tcBorders>
            <w:vAlign w:val="center"/>
          </w:tcPr>
          <w:p>
            <w:pPr>
              <w:pStyle w:val="Normal"/>
              <w:snapToGrid w:val="false"/>
              <w:spacing w:before="20" w:after="20" w:line="260" w:lineRule="exact"/>
              <w:jc w:val="start"/>
              <w:rPr>
                <w:sz w:val="18"/>
              </w:rPr>
            </w:pPr>
            <w:r>
              <w:rPr>
                <w:sz w:val="18"/>
                <w:szCs w:val="18"/>
              </w:rPr>
              <w:t xml:space="preserve">观澜号（海南文昌）等</w:t>
            </w:r>
          </w:p>
        </w:tc>
      </w:tr>
    </w:tbl>
    <w:p>
      <w:pPr>
        <w:pStyle w:val="Normal"/>
        <w:spacing w:lineRule="exact" w:line="240"/>
        <w:rPr>
          <w:sz w:val="12"/>
        </w:rPr>
      </w:pPr>
    </w:p>
    <w:p>
      <w:pPr>
        <w:pStyle w:val="Normal"/>
        <w:keepNext w:val="true"/>
        <w:snapToGrid w:val="false"/>
        <w:spacing w:before="80" w:after="40"/>
        <w:ind w:firstLine="0"/>
        <w:rPr>
          <w:b/>
          <w:sz w:val="21"/>
        </w:rPr>
      </w:pPr>
      <w:r>
        <w:rPr>
          <w:rFonts w:ascii="Times New Roman" w:hAnsi="Times New Roman" w:eastAsia="黑体"/>
          <w:b/>
          <w:bCs/>
          <w:sz w:val="21"/>
          <w:szCs w:val="21"/>
        </w:rPr>
        <w:t xml:space="preserve">4.2.1 江苏盐城—南通集群</w:t>
      </w:r>
    </w:p>
    <w:p>
      <w:pPr>
        <w:pStyle w:val="Normal"/>
        <w:spacing w:lineRule="exact" w:line="360"/>
        <w:ind w:firstLine="482" w:end="0"/>
        <w:rPr>
          <w:sz w:val="21"/>
          <w:szCs w:val="21"/>
        </w:rPr>
      </w:pPr>
      <w:r>
        <w:rPr>
          <w:sz w:val="21"/>
          <w:szCs w:val="21"/>
        </w:rPr>
        <w:t xml:space="preserve">江苏是我国海上风电的发源地和规模最大的省份。盐城集聚了整机、叶片、塔筒、海缆等全链条企业，海上风电整机产能约占全国40%，叶片产能约占全国20%</w:t>
      </w:r>
      <w:r>
        <w:rPr>
          <w:vertAlign w:val="superscript"/>
          <w:sz w:val="21"/>
          <w:szCs w:val="21"/>
        </w:rPr>
        <w:t xml:space="preserve">[4]</w:t>
      </w:r>
      <w:r>
        <w:rPr>
          <w:sz w:val="21"/>
          <w:szCs w:val="21"/>
        </w:rPr>
        <w:t xml:space="preserve">，射阳港、大丰港等港区建设了专用风电装备码头；南通如东则以海上风电场开发、海工装备制造和柔直送出工程见长，南通沿江一带聚集了较多海工船舶和钢结构企业。该集群的技术特色是潮间带与近海浅水施工技术成熟、大直径单桩施工经验丰富、柔性直流送出经验领先。随着江苏近海资源开发趋于饱和，该集群正面临由近海向深远海、由“制造规模”向“技术输出与运维服务”转型的问题。</w:t>
      </w:r>
    </w:p>
    <w:p>
      <w:pPr>
        <w:pStyle w:val="Normal"/>
        <w:keepNext w:val="true"/>
        <w:snapToGrid w:val="false"/>
        <w:spacing w:before="80" w:after="40"/>
        <w:ind w:firstLine="0"/>
        <w:rPr>
          <w:b/>
          <w:sz w:val="21"/>
        </w:rPr>
      </w:pPr>
      <w:r>
        <w:rPr>
          <w:rFonts w:ascii="Times New Roman" w:hAnsi="Times New Roman" w:eastAsia="黑体"/>
          <w:b/>
          <w:bCs/>
          <w:sz w:val="21"/>
          <w:szCs w:val="21"/>
        </w:rPr>
        <w:t xml:space="preserve">4.2.2 广东阳江—粤东集群</w:t>
      </w:r>
    </w:p>
    <w:p>
      <w:pPr>
        <w:pStyle w:val="Normal"/>
        <w:spacing w:lineRule="exact" w:line="360"/>
        <w:ind w:firstLine="482" w:end="0"/>
        <w:rPr>
          <w:sz w:val="21"/>
          <w:szCs w:val="21"/>
        </w:rPr>
      </w:pPr>
      <w:r>
        <w:rPr>
          <w:sz w:val="21"/>
          <w:szCs w:val="21"/>
        </w:rPr>
        <w:t xml:space="preserve">阳江自2017年核准首个海上风电项目起步，用约9年时间成为全国海上风电并网规模第一的地级市；明阳智能、金风科技、东方电缆等40余个核心项目落地，总投资超过400亿元，2025年海上风电装备制造产业链企业产值超过187亿元、同比增长约59%</w:t>
      </w:r>
      <w:r>
        <w:rPr>
          <w:vertAlign w:val="superscript"/>
          <w:sz w:val="21"/>
          <w:szCs w:val="21"/>
        </w:rPr>
        <w:t xml:space="preserve">[5]</w:t>
      </w:r>
      <w:r>
        <w:rPr>
          <w:sz w:val="21"/>
          <w:szCs w:val="21"/>
        </w:rPr>
        <w:t xml:space="preserve">。阳江的发展路径是“以资源开发带动装备制造、以装备制造支撑资源开发”，在较短时间内形成了整机、叶片、海缆、基础和施工运维一体化的产业链。粤东方面，汕头以整机、叶片、齿轮箱和检测认证为特色，汕尾布局海缆和整机基地。由于南海台风频发、海域水深大，该集群形成了抗台风机组与漂浮式技术的鲜明特色，三峡“引领号”“领航号”等漂浮式示范项目均布局在阳江海域。</w:t>
      </w:r>
    </w:p>
    <w:p>
      <w:pPr>
        <w:pStyle w:val="Normal"/>
        <w:keepNext w:val="true"/>
        <w:snapToGrid w:val="false"/>
        <w:spacing w:before="80" w:after="40"/>
        <w:ind w:firstLine="0"/>
        <w:rPr>
          <w:b/>
          <w:sz w:val="21"/>
        </w:rPr>
      </w:pPr>
      <w:r>
        <w:rPr>
          <w:rFonts w:ascii="Times New Roman" w:hAnsi="Times New Roman" w:eastAsia="黑体"/>
          <w:b/>
          <w:bCs/>
          <w:sz w:val="21"/>
          <w:szCs w:val="21"/>
        </w:rPr>
        <w:t xml:space="preserve">4.2.3 福建福清—漳州集群</w:t>
      </w:r>
    </w:p>
    <w:p>
      <w:pPr>
        <w:pStyle w:val="Normal"/>
        <w:spacing w:lineRule="exact" w:line="360"/>
        <w:ind w:firstLine="482" w:end="0"/>
        <w:rPr>
          <w:sz w:val="21"/>
          <w:szCs w:val="21"/>
        </w:rPr>
      </w:pPr>
      <w:r>
        <w:rPr>
          <w:sz w:val="21"/>
          <w:szCs w:val="21"/>
        </w:rPr>
        <w:t xml:space="preserve">台湾海峡“狭管效应”显著，风资源条件居全国前列，适合大容量机组。福清江阴港的福建三峡海上风电国际产业园集聚了整机、发电机、叶片等制造企业，16 MW级机组较早在福建海域投运，大容量机组的研制与示范是该集群的突出特色。但福建海床基岩埋深浅，单桩难以直接沉入，需采用嵌岩桩、植入式单桩或导管架基础，施工难度和成本较高；同时海峡海域风浪大、施工窗口期短，对施工装备和组织管理提出了更高要求，这是该集群面临的主要技术问题。</w:t>
      </w:r>
    </w:p>
    <w:p>
      <w:pPr>
        <w:pStyle w:val="Normal"/>
        <w:keepNext w:val="true"/>
        <w:snapToGrid w:val="false"/>
        <w:spacing w:before="80" w:after="40"/>
        <w:ind w:firstLine="0"/>
        <w:rPr>
          <w:b/>
          <w:sz w:val="21"/>
        </w:rPr>
      </w:pPr>
      <w:r>
        <w:rPr>
          <w:rFonts w:ascii="Times New Roman" w:hAnsi="Times New Roman" w:eastAsia="黑体"/>
          <w:b/>
          <w:bCs/>
          <w:sz w:val="21"/>
          <w:szCs w:val="21"/>
        </w:rPr>
        <w:t xml:space="preserve">4.2.4 山东半岛集群</w:t>
      </w:r>
    </w:p>
    <w:p>
      <w:pPr>
        <w:pStyle w:val="Normal"/>
        <w:spacing w:lineRule="exact" w:line="360"/>
        <w:ind w:firstLine="482" w:end="0"/>
        <w:rPr>
          <w:sz w:val="21"/>
          <w:szCs w:val="21"/>
        </w:rPr>
      </w:pPr>
      <w:r>
        <w:rPr>
          <w:sz w:val="21"/>
          <w:szCs w:val="21"/>
        </w:rPr>
        <w:t xml:space="preserve">山东海上风电规模化开发起步于“十四五”时期，烟台蓬莱、东营、威海等港口集聚了塔筒、单桩、导管架和海工平台制造企业，部分单桩产品出口欧洲，形成了“海工装备+重型钢结构”的特色。渤海海域存在海冰、航道和军事用海等约束，基础需采用抗冰锥等设计应对冰荷载，可开发海域相对有限。山东是海洋渔业大省，近年来积极探索海上风电与海洋牧场融合发展，利用风机基础的“人工鱼礁”效应实现“水上发电、水下养鱼”，为集约用海提供了新模式。</w:t>
      </w:r>
    </w:p>
    <w:p>
      <w:pPr>
        <w:pStyle w:val="Normal"/>
        <w:keepNext w:val="true"/>
        <w:snapToGrid w:val="false"/>
        <w:spacing w:before="80" w:after="40"/>
        <w:ind w:firstLine="0"/>
        <w:rPr>
          <w:b/>
          <w:sz w:val="21"/>
        </w:rPr>
      </w:pPr>
      <w:r>
        <w:rPr>
          <w:rFonts w:ascii="Times New Roman" w:hAnsi="Times New Roman" w:eastAsia="黑体"/>
          <w:b/>
          <w:bCs/>
          <w:sz w:val="21"/>
          <w:szCs w:val="21"/>
        </w:rPr>
        <w:t xml:space="preserve">4.2.5 上海—浙江集群与北部湾集群</w:t>
      </w:r>
    </w:p>
    <w:p>
      <w:pPr>
        <w:pStyle w:val="Normal"/>
        <w:spacing w:lineRule="exact" w:line="360"/>
        <w:ind w:firstLine="482" w:end="0"/>
        <w:rPr>
          <w:sz w:val="21"/>
          <w:szCs w:val="21"/>
        </w:rPr>
      </w:pPr>
      <w:r>
        <w:rPr>
          <w:sz w:val="21"/>
          <w:szCs w:val="21"/>
        </w:rPr>
        <w:t xml:space="preserve">上海临港、浙江宁波和舟山以研发设计、整机总部、海缆制造和输电技术示范见长，舟山多端柔直、台州柔性低频交流等输电工程在此开展，是长三角集群中技术含量最高的“研发—输电”板块。北部湾及海南集群起步较晚，但毗邻南海深远海资源，并面向东盟市场，“观澜号”等深远海漂浮式项目使其在深远海技术示范方面具有后发优势；海南洋浦等港口还具备面向东南亚出口装备的区位条件。</w:t>
      </w:r>
    </w:p>
    <w:p>
      <w:pPr>
        <w:pStyle w:val="Normal"/>
        <w:keepNext w:val="true"/>
        <w:snapToGrid w:val="false"/>
        <w:spacing w:before="120" w:after="60"/>
        <w:ind w:firstLine="0"/>
        <w:rPr>
          <w:b/>
          <w:sz w:val="24"/>
        </w:rPr>
      </w:pPr>
      <w:r>
        <w:rPr>
          <w:rFonts w:ascii="Times New Roman" w:hAnsi="Times New Roman" w:eastAsia="黑体"/>
          <w:b/>
          <w:bCs/>
          <w:sz w:val="24"/>
          <w:szCs w:val="24"/>
        </w:rPr>
        <w:t xml:space="preserve">4.3 集群发展水平比较</w:t>
      </w:r>
    </w:p>
    <w:p>
      <w:pPr>
        <w:pStyle w:val="Normal"/>
        <w:spacing w:lineRule="exact" w:line="360"/>
        <w:ind w:firstLine="482" w:end="0"/>
        <w:rPr>
          <w:sz w:val="21"/>
          <w:szCs w:val="21"/>
        </w:rPr>
      </w:pPr>
      <w:r>
        <w:rPr>
          <w:sz w:val="21"/>
          <w:szCs w:val="21"/>
        </w:rPr>
        <w:t xml:space="preserve">为进一步比较各集群的发展水平，报告从产业链完整度、技术创新能力、港口与岸线条件、资源开发潜力和市场辐射能力五个维度，依据公开资料对主要集群进行定性评价，结果如表4所示。</w:t>
      </w:r>
    </w:p>
    <w:p>
      <w:pPr>
        <w:pStyle w:val="Normal"/>
        <w:keepNext w:val="true"/>
        <w:snapToGrid w:val="false"/>
        <w:spacing w:before="60" w:after="120"/>
        <w:jc w:val="center"/>
        <w:rPr>
          <w:sz w:val="18"/>
        </w:rPr>
      </w:pPr>
      <w:r>
        <w:rPr>
          <w:sz w:val="18"/>
          <w:szCs w:val="18"/>
        </w:rPr>
        <w:t xml:space="preserve">表4 主要海上风电产业集群发展水平定性评价</w:t>
      </w:r>
    </w:p>
    <w:tbl>
      <w:tblPr>
        <w:tblW w:w="7936" w:type="dxa"/>
        <w:jc w:val="center"/>
        <w:tblBorders>
          <w:top w:val="nil"/>
          <w:left w:val="nil"/>
          <w:bottom w:val="nil"/>
          <w:right w:val="nil"/>
          <w:insideH w:val="nil"/>
          <w:insideV w:val="nil"/>
        </w:tblBorders>
        <w:tblLayout w:type="fixed"/>
        <w:tblCellMar>
          <w:left w:w="80" w:type="dxa"/>
          <w:right w:w="80" w:type="dxa"/>
        </w:tblCellMar>
        <w:tblLook w:val="0000"/>
      </w:tblPr>
      <w:tblGrid>
        <w:gridCol w:w="1701"/>
        <w:gridCol w:w="1247"/>
        <w:gridCol w:w="1247"/>
        <w:gridCol w:w="1247"/>
        <w:gridCol w:w="1247"/>
        <w:gridCol w:w="1247"/>
      </w:tblGrid>
      <w:tr>
        <w:trPr>
          <w:tblHeader/>
          <w:cantSplit/>
        </w:trPr>
        <w:tc>
          <w:tcPr>
            <w:tcW w:w="1701" w:type="dxa"/>
            <w:tcBorders>
              <w:top w:val="single" w:sz="12" w:space="0" w:color="000000"/>
              <w:bottom w:val="single" w:sz="6" w:space="0" w:color="000000"/>
            </w:tcBorders>
            <w:vAlign w:val="center"/>
          </w:tcPr>
          <w:p>
            <w:pPr>
              <w:pStyle w:val="Normal"/>
              <w:keepNext w:val="true"/>
              <w:snapToGrid w:val="false"/>
              <w:spacing w:before="20" w:after="20" w:line="260" w:lineRule="exact"/>
              <w:jc w:val="center"/>
              <w:rPr>
                <w:sz w:val="18"/>
              </w:rPr>
            </w:pPr>
            <w:r>
              <w:rPr>
                <w:b/>
                <w:bCs/>
                <w:sz w:val="18"/>
                <w:szCs w:val="18"/>
              </w:rPr>
              <w:t xml:space="preserve">产业集群</w:t>
            </w:r>
          </w:p>
        </w:tc>
        <w:tc>
          <w:tcPr>
            <w:tcW w:w="1247" w:type="dxa"/>
            <w:tcBorders>
              <w:top w:val="single" w:sz="12" w:space="0" w:color="000000"/>
              <w:bottom w:val="single" w:sz="6" w:space="0" w:color="000000"/>
            </w:tcBorders>
            <w:vAlign w:val="center"/>
          </w:tcPr>
          <w:p>
            <w:pPr>
              <w:pStyle w:val="Normal"/>
              <w:keepNext w:val="true"/>
              <w:snapToGrid w:val="false"/>
              <w:spacing w:before="20" w:after="20" w:line="260" w:lineRule="exact"/>
              <w:jc w:val="center"/>
              <w:rPr>
                <w:sz w:val="18"/>
              </w:rPr>
            </w:pPr>
            <w:r>
              <w:rPr>
                <w:b/>
                <w:bCs/>
                <w:sz w:val="18"/>
                <w:szCs w:val="18"/>
              </w:rPr>
              <w:t xml:space="preserve">产业链完整度</w:t>
            </w:r>
          </w:p>
        </w:tc>
        <w:tc>
          <w:tcPr>
            <w:tcW w:w="1247" w:type="dxa"/>
            <w:tcBorders>
              <w:top w:val="single" w:sz="12" w:space="0" w:color="000000"/>
              <w:bottom w:val="single" w:sz="6" w:space="0" w:color="000000"/>
            </w:tcBorders>
            <w:vAlign w:val="center"/>
          </w:tcPr>
          <w:p>
            <w:pPr>
              <w:pStyle w:val="Normal"/>
              <w:keepNext w:val="true"/>
              <w:snapToGrid w:val="false"/>
              <w:spacing w:before="20" w:after="20" w:line="260" w:lineRule="exact"/>
              <w:jc w:val="center"/>
              <w:rPr>
                <w:sz w:val="18"/>
              </w:rPr>
            </w:pPr>
            <w:r>
              <w:rPr>
                <w:b/>
                <w:bCs/>
                <w:sz w:val="18"/>
                <w:szCs w:val="18"/>
              </w:rPr>
              <w:t xml:space="preserve">技术创新能力</w:t>
            </w:r>
          </w:p>
        </w:tc>
        <w:tc>
          <w:tcPr>
            <w:tcW w:w="1247" w:type="dxa"/>
            <w:tcBorders>
              <w:top w:val="single" w:sz="12" w:space="0" w:color="000000"/>
              <w:bottom w:val="single" w:sz="6" w:space="0" w:color="000000"/>
            </w:tcBorders>
            <w:vAlign w:val="center"/>
          </w:tcPr>
          <w:p>
            <w:pPr>
              <w:pStyle w:val="Normal"/>
              <w:keepNext w:val="true"/>
              <w:snapToGrid w:val="false"/>
              <w:spacing w:before="20" w:after="20" w:line="260" w:lineRule="exact"/>
              <w:jc w:val="center"/>
              <w:rPr>
                <w:sz w:val="18"/>
              </w:rPr>
            </w:pPr>
            <w:r>
              <w:rPr>
                <w:b/>
                <w:bCs/>
                <w:sz w:val="18"/>
                <w:szCs w:val="18"/>
              </w:rPr>
              <w:t xml:space="preserve">港口岸线条件</w:t>
            </w:r>
          </w:p>
        </w:tc>
        <w:tc>
          <w:tcPr>
            <w:tcW w:w="1247" w:type="dxa"/>
            <w:tcBorders>
              <w:top w:val="single" w:sz="12" w:space="0" w:color="000000"/>
              <w:bottom w:val="single" w:sz="6" w:space="0" w:color="000000"/>
            </w:tcBorders>
            <w:vAlign w:val="center"/>
          </w:tcPr>
          <w:p>
            <w:pPr>
              <w:pStyle w:val="Normal"/>
              <w:keepNext w:val="true"/>
              <w:snapToGrid w:val="false"/>
              <w:spacing w:before="20" w:after="20" w:line="260" w:lineRule="exact"/>
              <w:jc w:val="center"/>
              <w:rPr>
                <w:sz w:val="18"/>
              </w:rPr>
            </w:pPr>
            <w:r>
              <w:rPr>
                <w:b/>
                <w:bCs/>
                <w:sz w:val="18"/>
                <w:szCs w:val="18"/>
              </w:rPr>
              <w:t xml:space="preserve">资源开发潜力</w:t>
            </w:r>
          </w:p>
        </w:tc>
        <w:tc>
          <w:tcPr>
            <w:tcW w:w="1247" w:type="dxa"/>
            <w:tcBorders>
              <w:top w:val="single" w:sz="12" w:space="0" w:color="000000"/>
              <w:bottom w:val="single" w:sz="6" w:space="0" w:color="000000"/>
            </w:tcBorders>
            <w:vAlign w:val="center"/>
          </w:tcPr>
          <w:p>
            <w:pPr>
              <w:pStyle w:val="Normal"/>
              <w:keepNext w:val="true"/>
              <w:snapToGrid w:val="false"/>
              <w:spacing w:before="20" w:after="20" w:line="260" w:lineRule="exact"/>
              <w:jc w:val="center"/>
              <w:rPr>
                <w:sz w:val="18"/>
              </w:rPr>
            </w:pPr>
            <w:r>
              <w:rPr>
                <w:b/>
                <w:bCs/>
                <w:sz w:val="18"/>
                <w:szCs w:val="18"/>
              </w:rPr>
              <w:t xml:space="preserve">市场辐射能力</w:t>
            </w:r>
          </w:p>
        </w:tc>
      </w:tr>
      <w:tr>
        <w:trPr>
          <w:cantSplit/>
        </w:trPr>
        <w:tc>
          <w:tcPr>
            <w:tcW w:w="1701" w:type="dxa"/>
            <w:tcBorders/>
            <w:vAlign w:val="center"/>
          </w:tcPr>
          <w:p>
            <w:pPr>
              <w:pStyle w:val="Normal"/>
              <w:keepNext w:val="true"/>
              <w:snapToGrid w:val="false"/>
              <w:spacing w:before="20" w:after="20" w:line="260" w:lineRule="exact"/>
              <w:jc w:val="center"/>
              <w:rPr>
                <w:sz w:val="18"/>
              </w:rPr>
            </w:pPr>
            <w:r>
              <w:rPr>
                <w:sz w:val="18"/>
                <w:szCs w:val="18"/>
              </w:rPr>
              <w:t xml:space="preserve">江苏盐城—南通</w:t>
            </w:r>
          </w:p>
        </w:tc>
        <w:tc>
          <w:tcPr>
            <w:tcW w:w="1247" w:type="dxa"/>
            <w:tcBorders/>
            <w:vAlign w:val="center"/>
          </w:tcPr>
          <w:p>
            <w:pPr>
              <w:pStyle w:val="Normal"/>
              <w:keepNext w:val="true"/>
              <w:snapToGrid w:val="false"/>
              <w:spacing w:before="20" w:after="20" w:line="260" w:lineRule="exact"/>
              <w:jc w:val="center"/>
              <w:rPr>
                <w:sz w:val="18"/>
              </w:rPr>
            </w:pPr>
            <w:r>
              <w:rPr>
                <w:sz w:val="18"/>
                <w:szCs w:val="18"/>
              </w:rPr>
              <w:t xml:space="preserve">强</w:t>
            </w:r>
          </w:p>
        </w:tc>
        <w:tc>
          <w:tcPr>
            <w:tcW w:w="1247" w:type="dxa"/>
            <w:tcBorders/>
            <w:vAlign w:val="center"/>
          </w:tcPr>
          <w:p>
            <w:pPr>
              <w:pStyle w:val="Normal"/>
              <w:keepNext w:val="true"/>
              <w:snapToGrid w:val="false"/>
              <w:spacing w:before="20" w:after="20" w:line="260" w:lineRule="exact"/>
              <w:jc w:val="center"/>
              <w:rPr>
                <w:sz w:val="18"/>
              </w:rPr>
            </w:pPr>
            <w:r>
              <w:rPr>
                <w:sz w:val="18"/>
                <w:szCs w:val="18"/>
              </w:rPr>
              <w:t xml:space="preserve">较强</w:t>
            </w:r>
          </w:p>
        </w:tc>
        <w:tc>
          <w:tcPr>
            <w:tcW w:w="1247" w:type="dxa"/>
            <w:tcBorders/>
            <w:vAlign w:val="center"/>
          </w:tcPr>
          <w:p>
            <w:pPr>
              <w:pStyle w:val="Normal"/>
              <w:keepNext w:val="true"/>
              <w:snapToGrid w:val="false"/>
              <w:spacing w:before="20" w:after="20" w:line="260" w:lineRule="exact"/>
              <w:jc w:val="center"/>
              <w:rPr>
                <w:sz w:val="18"/>
              </w:rPr>
            </w:pPr>
            <w:r>
              <w:rPr>
                <w:sz w:val="18"/>
                <w:szCs w:val="18"/>
              </w:rPr>
              <w:t xml:space="preserve">强</w:t>
            </w:r>
          </w:p>
        </w:tc>
        <w:tc>
          <w:tcPr>
            <w:tcW w:w="1247" w:type="dxa"/>
            <w:tcBorders/>
            <w:vAlign w:val="center"/>
          </w:tcPr>
          <w:p>
            <w:pPr>
              <w:pStyle w:val="Normal"/>
              <w:keepNext w:val="true"/>
              <w:snapToGrid w:val="false"/>
              <w:spacing w:before="20" w:after="20" w:line="260" w:lineRule="exact"/>
              <w:jc w:val="center"/>
              <w:rPr>
                <w:sz w:val="18"/>
              </w:rPr>
            </w:pPr>
            <w:r>
              <w:rPr>
                <w:sz w:val="18"/>
                <w:szCs w:val="18"/>
              </w:rPr>
              <w:t xml:space="preserve">中（近海趋饱和）</w:t>
            </w:r>
          </w:p>
        </w:tc>
        <w:tc>
          <w:tcPr>
            <w:tcW w:w="1247" w:type="dxa"/>
            <w:tcBorders/>
            <w:vAlign w:val="center"/>
          </w:tcPr>
          <w:p>
            <w:pPr>
              <w:pStyle w:val="Normal"/>
              <w:keepNext w:val="true"/>
              <w:snapToGrid w:val="false"/>
              <w:spacing w:before="20" w:after="20" w:line="260" w:lineRule="exact"/>
              <w:jc w:val="center"/>
              <w:rPr>
                <w:sz w:val="18"/>
              </w:rPr>
            </w:pPr>
            <w:r>
              <w:rPr>
                <w:sz w:val="18"/>
                <w:szCs w:val="18"/>
              </w:rPr>
              <w:t xml:space="preserve">强</w:t>
            </w:r>
          </w:p>
        </w:tc>
      </w:tr>
      <w:tr>
        <w:trPr>
          <w:cantSplit/>
        </w:trPr>
        <w:tc>
          <w:tcPr>
            <w:tcW w:w="1701" w:type="dxa"/>
            <w:tcBorders/>
            <w:vAlign w:val="center"/>
          </w:tcPr>
          <w:p>
            <w:pPr>
              <w:pStyle w:val="Normal"/>
              <w:keepNext w:val="true"/>
              <w:snapToGrid w:val="false"/>
              <w:spacing w:before="20" w:after="20" w:line="260" w:lineRule="exact"/>
              <w:jc w:val="center"/>
              <w:rPr>
                <w:sz w:val="18"/>
              </w:rPr>
            </w:pPr>
            <w:r>
              <w:rPr>
                <w:sz w:val="18"/>
                <w:szCs w:val="18"/>
              </w:rPr>
              <w:t xml:space="preserve">上海—浙江</w:t>
            </w:r>
          </w:p>
        </w:tc>
        <w:tc>
          <w:tcPr>
            <w:tcW w:w="1247" w:type="dxa"/>
            <w:tcBorders/>
            <w:vAlign w:val="center"/>
          </w:tcPr>
          <w:p>
            <w:pPr>
              <w:pStyle w:val="Normal"/>
              <w:keepNext w:val="true"/>
              <w:snapToGrid w:val="false"/>
              <w:spacing w:before="20" w:after="20" w:line="260" w:lineRule="exact"/>
              <w:jc w:val="center"/>
              <w:rPr>
                <w:sz w:val="18"/>
              </w:rPr>
            </w:pPr>
            <w:r>
              <w:rPr>
                <w:sz w:val="18"/>
                <w:szCs w:val="18"/>
              </w:rPr>
              <w:t xml:space="preserve">较强</w:t>
            </w:r>
          </w:p>
        </w:tc>
        <w:tc>
          <w:tcPr>
            <w:tcW w:w="1247" w:type="dxa"/>
            <w:tcBorders/>
            <w:vAlign w:val="center"/>
          </w:tcPr>
          <w:p>
            <w:pPr>
              <w:pStyle w:val="Normal"/>
              <w:keepNext w:val="true"/>
              <w:snapToGrid w:val="false"/>
              <w:spacing w:before="20" w:after="20" w:line="260" w:lineRule="exact"/>
              <w:jc w:val="center"/>
              <w:rPr>
                <w:sz w:val="18"/>
              </w:rPr>
            </w:pPr>
            <w:r>
              <w:rPr>
                <w:sz w:val="18"/>
                <w:szCs w:val="18"/>
              </w:rPr>
              <w:t xml:space="preserve">强</w:t>
            </w:r>
          </w:p>
        </w:tc>
        <w:tc>
          <w:tcPr>
            <w:tcW w:w="1247" w:type="dxa"/>
            <w:tcBorders/>
            <w:vAlign w:val="center"/>
          </w:tcPr>
          <w:p>
            <w:pPr>
              <w:pStyle w:val="Normal"/>
              <w:keepNext w:val="true"/>
              <w:snapToGrid w:val="false"/>
              <w:spacing w:before="20" w:after="20" w:line="260" w:lineRule="exact"/>
              <w:jc w:val="center"/>
              <w:rPr>
                <w:sz w:val="18"/>
              </w:rPr>
            </w:pPr>
            <w:r>
              <w:rPr>
                <w:sz w:val="18"/>
                <w:szCs w:val="18"/>
              </w:rPr>
              <w:t xml:space="preserve">较强</w:t>
            </w:r>
          </w:p>
        </w:tc>
        <w:tc>
          <w:tcPr>
            <w:tcW w:w="1247" w:type="dxa"/>
            <w:tcBorders/>
            <w:vAlign w:val="center"/>
          </w:tcPr>
          <w:p>
            <w:pPr>
              <w:pStyle w:val="Normal"/>
              <w:keepNext w:val="true"/>
              <w:snapToGrid w:val="false"/>
              <w:spacing w:before="20" w:after="20" w:line="260" w:lineRule="exact"/>
              <w:jc w:val="center"/>
              <w:rPr>
                <w:sz w:val="18"/>
              </w:rPr>
            </w:pPr>
            <w:r>
              <w:rPr>
                <w:sz w:val="18"/>
                <w:szCs w:val="18"/>
              </w:rPr>
              <w:t xml:space="preserve">中</w:t>
            </w:r>
          </w:p>
        </w:tc>
        <w:tc>
          <w:tcPr>
            <w:tcW w:w="1247" w:type="dxa"/>
            <w:tcBorders/>
            <w:vAlign w:val="center"/>
          </w:tcPr>
          <w:p>
            <w:pPr>
              <w:pStyle w:val="Normal"/>
              <w:keepNext w:val="true"/>
              <w:snapToGrid w:val="false"/>
              <w:spacing w:before="20" w:after="20" w:line="260" w:lineRule="exact"/>
              <w:jc w:val="center"/>
              <w:rPr>
                <w:sz w:val="18"/>
              </w:rPr>
            </w:pPr>
            <w:r>
              <w:rPr>
                <w:sz w:val="18"/>
                <w:szCs w:val="18"/>
              </w:rPr>
              <w:t xml:space="preserve">较强</w:t>
            </w:r>
          </w:p>
        </w:tc>
      </w:tr>
      <w:tr>
        <w:trPr>
          <w:cantSplit/>
        </w:trPr>
        <w:tc>
          <w:tcPr>
            <w:tcW w:w="1701" w:type="dxa"/>
            <w:tcBorders/>
            <w:vAlign w:val="center"/>
          </w:tcPr>
          <w:p>
            <w:pPr>
              <w:pStyle w:val="Normal"/>
              <w:keepNext w:val="true"/>
              <w:snapToGrid w:val="false"/>
              <w:spacing w:before="20" w:after="20" w:line="260" w:lineRule="exact"/>
              <w:jc w:val="center"/>
              <w:rPr>
                <w:sz w:val="18"/>
              </w:rPr>
            </w:pPr>
            <w:r>
              <w:rPr>
                <w:sz w:val="18"/>
                <w:szCs w:val="18"/>
              </w:rPr>
              <w:t xml:space="preserve">福建福清—漳州</w:t>
            </w:r>
          </w:p>
        </w:tc>
        <w:tc>
          <w:tcPr>
            <w:tcW w:w="1247" w:type="dxa"/>
            <w:tcBorders/>
            <w:vAlign w:val="center"/>
          </w:tcPr>
          <w:p>
            <w:pPr>
              <w:pStyle w:val="Normal"/>
              <w:keepNext w:val="true"/>
              <w:snapToGrid w:val="false"/>
              <w:spacing w:before="20" w:after="20" w:line="260" w:lineRule="exact"/>
              <w:jc w:val="center"/>
              <w:rPr>
                <w:sz w:val="18"/>
              </w:rPr>
            </w:pPr>
            <w:r>
              <w:rPr>
                <w:sz w:val="18"/>
                <w:szCs w:val="18"/>
              </w:rPr>
              <w:t xml:space="preserve">较强</w:t>
            </w:r>
          </w:p>
        </w:tc>
        <w:tc>
          <w:tcPr>
            <w:tcW w:w="1247" w:type="dxa"/>
            <w:tcBorders/>
            <w:vAlign w:val="center"/>
          </w:tcPr>
          <w:p>
            <w:pPr>
              <w:pStyle w:val="Normal"/>
              <w:keepNext w:val="true"/>
              <w:snapToGrid w:val="false"/>
              <w:spacing w:before="20" w:after="20" w:line="260" w:lineRule="exact"/>
              <w:jc w:val="center"/>
              <w:rPr>
                <w:sz w:val="18"/>
              </w:rPr>
            </w:pPr>
            <w:r>
              <w:rPr>
                <w:sz w:val="18"/>
                <w:szCs w:val="18"/>
              </w:rPr>
              <w:t xml:space="preserve">较强</w:t>
            </w:r>
          </w:p>
        </w:tc>
        <w:tc>
          <w:tcPr>
            <w:tcW w:w="1247" w:type="dxa"/>
            <w:tcBorders/>
            <w:vAlign w:val="center"/>
          </w:tcPr>
          <w:p>
            <w:pPr>
              <w:pStyle w:val="Normal"/>
              <w:keepNext w:val="true"/>
              <w:snapToGrid w:val="false"/>
              <w:spacing w:before="20" w:after="20" w:line="260" w:lineRule="exact"/>
              <w:jc w:val="center"/>
              <w:rPr>
                <w:sz w:val="18"/>
              </w:rPr>
            </w:pPr>
            <w:r>
              <w:rPr>
                <w:sz w:val="18"/>
                <w:szCs w:val="18"/>
              </w:rPr>
              <w:t xml:space="preserve">较强</w:t>
            </w:r>
          </w:p>
        </w:tc>
        <w:tc>
          <w:tcPr>
            <w:tcW w:w="1247" w:type="dxa"/>
            <w:tcBorders/>
            <w:vAlign w:val="center"/>
          </w:tcPr>
          <w:p>
            <w:pPr>
              <w:pStyle w:val="Normal"/>
              <w:keepNext w:val="true"/>
              <w:snapToGrid w:val="false"/>
              <w:spacing w:before="20" w:after="20" w:line="260" w:lineRule="exact"/>
              <w:jc w:val="center"/>
              <w:rPr>
                <w:sz w:val="18"/>
              </w:rPr>
            </w:pPr>
            <w:r>
              <w:rPr>
                <w:sz w:val="18"/>
                <w:szCs w:val="18"/>
              </w:rPr>
              <w:t xml:space="preserve">较强</w:t>
            </w:r>
          </w:p>
        </w:tc>
        <w:tc>
          <w:tcPr>
            <w:tcW w:w="1247" w:type="dxa"/>
            <w:tcBorders/>
            <w:vAlign w:val="center"/>
          </w:tcPr>
          <w:p>
            <w:pPr>
              <w:pStyle w:val="Normal"/>
              <w:keepNext w:val="true"/>
              <w:snapToGrid w:val="false"/>
              <w:spacing w:before="20" w:after="20" w:line="260" w:lineRule="exact"/>
              <w:jc w:val="center"/>
              <w:rPr>
                <w:sz w:val="18"/>
              </w:rPr>
            </w:pPr>
            <w:r>
              <w:rPr>
                <w:sz w:val="18"/>
                <w:szCs w:val="18"/>
              </w:rPr>
              <w:t xml:space="preserve">中</w:t>
            </w:r>
          </w:p>
        </w:tc>
      </w:tr>
      <w:tr>
        <w:trPr>
          <w:cantSplit/>
        </w:trPr>
        <w:tc>
          <w:tcPr>
            <w:tcW w:w="1701" w:type="dxa"/>
            <w:tcBorders/>
            <w:vAlign w:val="center"/>
          </w:tcPr>
          <w:p>
            <w:pPr>
              <w:pStyle w:val="Normal"/>
              <w:keepNext w:val="true"/>
              <w:snapToGrid w:val="false"/>
              <w:spacing w:before="20" w:after="20" w:line="260" w:lineRule="exact"/>
              <w:jc w:val="center"/>
              <w:rPr>
                <w:sz w:val="18"/>
              </w:rPr>
            </w:pPr>
            <w:r>
              <w:rPr>
                <w:sz w:val="18"/>
                <w:szCs w:val="18"/>
              </w:rPr>
              <w:t xml:space="preserve">广东阳江—粤东</w:t>
            </w:r>
          </w:p>
        </w:tc>
        <w:tc>
          <w:tcPr>
            <w:tcW w:w="1247" w:type="dxa"/>
            <w:tcBorders/>
            <w:vAlign w:val="center"/>
          </w:tcPr>
          <w:p>
            <w:pPr>
              <w:pStyle w:val="Normal"/>
              <w:keepNext w:val="true"/>
              <w:snapToGrid w:val="false"/>
              <w:spacing w:before="20" w:after="20" w:line="260" w:lineRule="exact"/>
              <w:jc w:val="center"/>
              <w:rPr>
                <w:sz w:val="18"/>
              </w:rPr>
            </w:pPr>
            <w:r>
              <w:rPr>
                <w:sz w:val="18"/>
                <w:szCs w:val="18"/>
              </w:rPr>
              <w:t xml:space="preserve">强</w:t>
            </w:r>
          </w:p>
        </w:tc>
        <w:tc>
          <w:tcPr>
            <w:tcW w:w="1247" w:type="dxa"/>
            <w:tcBorders/>
            <w:vAlign w:val="center"/>
          </w:tcPr>
          <w:p>
            <w:pPr>
              <w:pStyle w:val="Normal"/>
              <w:keepNext w:val="true"/>
              <w:snapToGrid w:val="false"/>
              <w:spacing w:before="20" w:after="20" w:line="260" w:lineRule="exact"/>
              <w:jc w:val="center"/>
              <w:rPr>
                <w:sz w:val="18"/>
              </w:rPr>
            </w:pPr>
            <w:r>
              <w:rPr>
                <w:sz w:val="18"/>
                <w:szCs w:val="18"/>
              </w:rPr>
              <w:t xml:space="preserve">强</w:t>
            </w:r>
          </w:p>
        </w:tc>
        <w:tc>
          <w:tcPr>
            <w:tcW w:w="1247" w:type="dxa"/>
            <w:tcBorders/>
            <w:vAlign w:val="center"/>
          </w:tcPr>
          <w:p>
            <w:pPr>
              <w:pStyle w:val="Normal"/>
              <w:keepNext w:val="true"/>
              <w:snapToGrid w:val="false"/>
              <w:spacing w:before="20" w:after="20" w:line="260" w:lineRule="exact"/>
              <w:jc w:val="center"/>
              <w:rPr>
                <w:sz w:val="18"/>
              </w:rPr>
            </w:pPr>
            <w:r>
              <w:rPr>
                <w:sz w:val="18"/>
                <w:szCs w:val="18"/>
              </w:rPr>
              <w:t xml:space="preserve">强</w:t>
            </w:r>
          </w:p>
        </w:tc>
        <w:tc>
          <w:tcPr>
            <w:tcW w:w="1247" w:type="dxa"/>
            <w:tcBorders/>
            <w:vAlign w:val="center"/>
          </w:tcPr>
          <w:p>
            <w:pPr>
              <w:pStyle w:val="Normal"/>
              <w:keepNext w:val="true"/>
              <w:snapToGrid w:val="false"/>
              <w:spacing w:before="20" w:after="20" w:line="260" w:lineRule="exact"/>
              <w:jc w:val="center"/>
              <w:rPr>
                <w:sz w:val="18"/>
              </w:rPr>
            </w:pPr>
            <w:r>
              <w:rPr>
                <w:sz w:val="18"/>
                <w:szCs w:val="18"/>
              </w:rPr>
              <w:t xml:space="preserve">强（深远海）</w:t>
            </w:r>
          </w:p>
        </w:tc>
        <w:tc>
          <w:tcPr>
            <w:tcW w:w="1247" w:type="dxa"/>
            <w:tcBorders/>
            <w:vAlign w:val="center"/>
          </w:tcPr>
          <w:p>
            <w:pPr>
              <w:pStyle w:val="Normal"/>
              <w:keepNext w:val="true"/>
              <w:snapToGrid w:val="false"/>
              <w:spacing w:before="20" w:after="20" w:line="260" w:lineRule="exact"/>
              <w:jc w:val="center"/>
              <w:rPr>
                <w:sz w:val="18"/>
              </w:rPr>
            </w:pPr>
            <w:r>
              <w:rPr>
                <w:sz w:val="18"/>
                <w:szCs w:val="18"/>
              </w:rPr>
              <w:t xml:space="preserve">强</w:t>
            </w:r>
          </w:p>
        </w:tc>
      </w:tr>
      <w:tr>
        <w:trPr>
          <w:cantSplit/>
        </w:trPr>
        <w:tc>
          <w:tcPr>
            <w:tcW w:w="1701" w:type="dxa"/>
            <w:tcBorders/>
            <w:vAlign w:val="center"/>
          </w:tcPr>
          <w:p>
            <w:pPr>
              <w:pStyle w:val="Normal"/>
              <w:keepNext w:val="true"/>
              <w:snapToGrid w:val="false"/>
              <w:spacing w:before="20" w:after="20" w:line="260" w:lineRule="exact"/>
              <w:jc w:val="center"/>
              <w:rPr>
                <w:sz w:val="18"/>
              </w:rPr>
            </w:pPr>
            <w:r>
              <w:rPr>
                <w:sz w:val="18"/>
                <w:szCs w:val="18"/>
              </w:rPr>
              <w:t xml:space="preserve">山东半岛</w:t>
            </w:r>
          </w:p>
        </w:tc>
        <w:tc>
          <w:tcPr>
            <w:tcW w:w="1247" w:type="dxa"/>
            <w:tcBorders/>
            <w:vAlign w:val="center"/>
          </w:tcPr>
          <w:p>
            <w:pPr>
              <w:pStyle w:val="Normal"/>
              <w:keepNext w:val="true"/>
              <w:snapToGrid w:val="false"/>
              <w:spacing w:before="20" w:after="20" w:line="260" w:lineRule="exact"/>
              <w:jc w:val="center"/>
              <w:rPr>
                <w:sz w:val="18"/>
              </w:rPr>
            </w:pPr>
            <w:r>
              <w:rPr>
                <w:sz w:val="18"/>
                <w:szCs w:val="18"/>
              </w:rPr>
              <w:t xml:space="preserve">较强</w:t>
            </w:r>
          </w:p>
        </w:tc>
        <w:tc>
          <w:tcPr>
            <w:tcW w:w="1247" w:type="dxa"/>
            <w:tcBorders/>
            <w:vAlign w:val="center"/>
          </w:tcPr>
          <w:p>
            <w:pPr>
              <w:pStyle w:val="Normal"/>
              <w:keepNext w:val="true"/>
              <w:snapToGrid w:val="false"/>
              <w:spacing w:before="20" w:after="20" w:line="260" w:lineRule="exact"/>
              <w:jc w:val="center"/>
              <w:rPr>
                <w:sz w:val="18"/>
              </w:rPr>
            </w:pPr>
            <w:r>
              <w:rPr>
                <w:sz w:val="18"/>
                <w:szCs w:val="18"/>
              </w:rPr>
              <w:t xml:space="preserve">中</w:t>
            </w:r>
          </w:p>
        </w:tc>
        <w:tc>
          <w:tcPr>
            <w:tcW w:w="1247" w:type="dxa"/>
            <w:tcBorders/>
            <w:vAlign w:val="center"/>
          </w:tcPr>
          <w:p>
            <w:pPr>
              <w:pStyle w:val="Normal"/>
              <w:keepNext w:val="true"/>
              <w:snapToGrid w:val="false"/>
              <w:spacing w:before="20" w:after="20" w:line="260" w:lineRule="exact"/>
              <w:jc w:val="center"/>
              <w:rPr>
                <w:sz w:val="18"/>
              </w:rPr>
            </w:pPr>
            <w:r>
              <w:rPr>
                <w:sz w:val="18"/>
                <w:szCs w:val="18"/>
              </w:rPr>
              <w:t xml:space="preserve">强</w:t>
            </w:r>
          </w:p>
        </w:tc>
        <w:tc>
          <w:tcPr>
            <w:tcW w:w="1247" w:type="dxa"/>
            <w:tcBorders/>
            <w:vAlign w:val="center"/>
          </w:tcPr>
          <w:p>
            <w:pPr>
              <w:pStyle w:val="Normal"/>
              <w:keepNext w:val="true"/>
              <w:snapToGrid w:val="false"/>
              <w:spacing w:before="20" w:after="20" w:line="260" w:lineRule="exact"/>
              <w:jc w:val="center"/>
              <w:rPr>
                <w:sz w:val="18"/>
              </w:rPr>
            </w:pPr>
            <w:r>
              <w:rPr>
                <w:sz w:val="18"/>
                <w:szCs w:val="18"/>
              </w:rPr>
              <w:t xml:space="preserve">较强</w:t>
            </w:r>
          </w:p>
        </w:tc>
        <w:tc>
          <w:tcPr>
            <w:tcW w:w="1247" w:type="dxa"/>
            <w:tcBorders/>
            <w:vAlign w:val="center"/>
          </w:tcPr>
          <w:p>
            <w:pPr>
              <w:pStyle w:val="Normal"/>
              <w:keepNext w:val="true"/>
              <w:snapToGrid w:val="false"/>
              <w:spacing w:before="20" w:after="20" w:line="260" w:lineRule="exact"/>
              <w:jc w:val="center"/>
              <w:rPr>
                <w:sz w:val="18"/>
              </w:rPr>
            </w:pPr>
            <w:r>
              <w:rPr>
                <w:sz w:val="18"/>
                <w:szCs w:val="18"/>
              </w:rPr>
              <w:t xml:space="preserve">较强（出口）</w:t>
            </w:r>
          </w:p>
        </w:tc>
      </w:tr>
      <w:tr>
        <w:trPr>
          <w:cantSplit/>
        </w:trPr>
        <w:tc>
          <w:tcPr>
            <w:tcW w:w="1701" w:type="dxa"/>
            <w:tcBorders>
              <w:bottom w:val="single" w:sz="12" w:space="0" w:color="000000"/>
            </w:tcBorders>
            <w:vAlign w:val="center"/>
          </w:tcPr>
          <w:p>
            <w:pPr>
              <w:pStyle w:val="Normal"/>
              <w:snapToGrid w:val="false"/>
              <w:spacing w:before="20" w:after="20" w:line="260" w:lineRule="exact"/>
              <w:jc w:val="center"/>
              <w:rPr>
                <w:sz w:val="18"/>
              </w:rPr>
            </w:pPr>
            <w:r>
              <w:rPr>
                <w:sz w:val="18"/>
                <w:szCs w:val="18"/>
              </w:rPr>
              <w:t xml:space="preserve">广西—海南</w:t>
            </w:r>
          </w:p>
        </w:tc>
        <w:tc>
          <w:tcPr>
            <w:tcW w:w="1247" w:type="dxa"/>
            <w:tcBorders>
              <w:bottom w:val="single" w:sz="12" w:space="0" w:color="000000"/>
            </w:tcBorders>
            <w:vAlign w:val="center"/>
          </w:tcPr>
          <w:p>
            <w:pPr>
              <w:pStyle w:val="Normal"/>
              <w:snapToGrid w:val="false"/>
              <w:spacing w:before="20" w:after="20" w:line="260" w:lineRule="exact"/>
              <w:jc w:val="center"/>
              <w:rPr>
                <w:sz w:val="18"/>
              </w:rPr>
            </w:pPr>
            <w:r>
              <w:rPr>
                <w:sz w:val="18"/>
                <w:szCs w:val="18"/>
              </w:rPr>
              <w:t xml:space="preserve">中</w:t>
            </w:r>
          </w:p>
        </w:tc>
        <w:tc>
          <w:tcPr>
            <w:tcW w:w="1247" w:type="dxa"/>
            <w:tcBorders>
              <w:bottom w:val="single" w:sz="12" w:space="0" w:color="000000"/>
            </w:tcBorders>
            <w:vAlign w:val="center"/>
          </w:tcPr>
          <w:p>
            <w:pPr>
              <w:pStyle w:val="Normal"/>
              <w:snapToGrid w:val="false"/>
              <w:spacing w:before="20" w:after="20" w:line="260" w:lineRule="exact"/>
              <w:jc w:val="center"/>
              <w:rPr>
                <w:sz w:val="18"/>
              </w:rPr>
            </w:pPr>
            <w:r>
              <w:rPr>
                <w:sz w:val="18"/>
                <w:szCs w:val="18"/>
              </w:rPr>
              <w:t xml:space="preserve">中</w:t>
            </w:r>
          </w:p>
        </w:tc>
        <w:tc>
          <w:tcPr>
            <w:tcW w:w="1247" w:type="dxa"/>
            <w:tcBorders>
              <w:bottom w:val="single" w:sz="12" w:space="0" w:color="000000"/>
            </w:tcBorders>
            <w:vAlign w:val="center"/>
          </w:tcPr>
          <w:p>
            <w:pPr>
              <w:pStyle w:val="Normal"/>
              <w:snapToGrid w:val="false"/>
              <w:spacing w:before="20" w:after="20" w:line="260" w:lineRule="exact"/>
              <w:jc w:val="center"/>
              <w:rPr>
                <w:sz w:val="18"/>
              </w:rPr>
            </w:pPr>
            <w:r>
              <w:rPr>
                <w:sz w:val="18"/>
                <w:szCs w:val="18"/>
              </w:rPr>
              <w:t xml:space="preserve">较强</w:t>
            </w:r>
          </w:p>
        </w:tc>
        <w:tc>
          <w:tcPr>
            <w:tcW w:w="1247" w:type="dxa"/>
            <w:tcBorders>
              <w:bottom w:val="single" w:sz="12" w:space="0" w:color="000000"/>
            </w:tcBorders>
            <w:vAlign w:val="center"/>
          </w:tcPr>
          <w:p>
            <w:pPr>
              <w:pStyle w:val="Normal"/>
              <w:snapToGrid w:val="false"/>
              <w:spacing w:before="20" w:after="20" w:line="260" w:lineRule="exact"/>
              <w:jc w:val="center"/>
              <w:rPr>
                <w:sz w:val="18"/>
              </w:rPr>
            </w:pPr>
            <w:r>
              <w:rPr>
                <w:sz w:val="18"/>
                <w:szCs w:val="18"/>
              </w:rPr>
              <w:t xml:space="preserve">强（深远海）</w:t>
            </w:r>
          </w:p>
        </w:tc>
        <w:tc>
          <w:tcPr>
            <w:tcW w:w="1247" w:type="dxa"/>
            <w:tcBorders>
              <w:bottom w:val="single" w:sz="12" w:space="0" w:color="000000"/>
            </w:tcBorders>
            <w:vAlign w:val="center"/>
          </w:tcPr>
          <w:p>
            <w:pPr>
              <w:pStyle w:val="Normal"/>
              <w:snapToGrid w:val="false"/>
              <w:spacing w:before="20" w:after="20" w:line="260" w:lineRule="exact"/>
              <w:jc w:val="center"/>
              <w:rPr>
                <w:sz w:val="18"/>
              </w:rPr>
            </w:pPr>
            <w:r>
              <w:rPr>
                <w:sz w:val="18"/>
                <w:szCs w:val="18"/>
              </w:rPr>
              <w:t xml:space="preserve">较强（东盟）</w:t>
            </w:r>
          </w:p>
        </w:tc>
      </w:tr>
    </w:tbl>
    <w:p>
      <w:pPr>
        <w:pStyle w:val="Normal"/>
        <w:spacing w:lineRule="exact" w:line="240"/>
        <w:rPr>
          <w:sz w:val="12"/>
        </w:rPr>
      </w:pPr>
    </w:p>
    <w:p>
      <w:pPr>
        <w:pStyle w:val="Normal"/>
        <w:spacing w:lineRule="exact" w:line="360"/>
        <w:ind w:firstLine="482" w:end="0"/>
        <w:rPr>
          <w:sz w:val="21"/>
          <w:szCs w:val="21"/>
        </w:rPr>
      </w:pPr>
      <w:r>
        <w:rPr>
          <w:sz w:val="21"/>
          <w:szCs w:val="21"/>
        </w:rPr>
        <w:t xml:space="preserve">由表4可见，江苏和广东集群综合实力最强，但发展阶段不同：江苏集群产业链成熟而近海资源接近饱和，需要向深远海和技术服务转型；广东集群兼具资源潜力和产业基础，处于快速上升期。上海—浙江集群技术创新能力突出，但制造规模受土地和岸线限制；福建集群以大容量机组示范见长；山东集群以海工装备和出口见长；北部湾及海南集群产业基础相对薄弱，但深远海资源潜力和面向东盟的区位优势明显。</w:t>
      </w:r>
    </w:p>
    <w:p>
      <w:pPr>
        <w:pStyle w:val="Normal"/>
        <w:keepNext w:val="true"/>
        <w:snapToGrid w:val="false"/>
        <w:spacing w:before="120" w:after="60"/>
        <w:ind w:firstLine="0"/>
        <w:rPr>
          <w:b/>
          <w:sz w:val="24"/>
        </w:rPr>
      </w:pPr>
      <w:r>
        <w:rPr>
          <w:rFonts w:ascii="Times New Roman" w:hAnsi="Times New Roman" w:eastAsia="黑体"/>
          <w:b/>
          <w:bCs/>
          <w:sz w:val="24"/>
          <w:szCs w:val="24"/>
        </w:rPr>
        <w:t xml:space="preserve">4.4 集群布局的形成机制</w:t>
      </w:r>
    </w:p>
    <w:p>
      <w:pPr>
        <w:pStyle w:val="Normal"/>
        <w:spacing w:lineRule="exact" w:line="360"/>
        <w:ind w:firstLine="482" w:end="0"/>
        <w:rPr>
          <w:sz w:val="21"/>
          <w:szCs w:val="21"/>
        </w:rPr>
      </w:pPr>
      <w:r>
        <w:rPr>
          <w:sz w:val="21"/>
          <w:szCs w:val="21"/>
        </w:rPr>
        <w:t xml:space="preserve">（1）大部件物流决定区位。120 m级叶片、数百吨的机舱和2000 t级单桩无法经济地进行陆路运输，整机总装、叶片、塔筒、基础和海缆等大部件制造必须靠近重件码头并实现“下线即装船”，同时要控制到风电场的海上运输距离，这是海上风电产业集群沿海布局的根本技术原因。机组每大型化一代，部件尺寸和重量就进一步增加，这种“临港刚性”就进一步增强。</w:t>
      </w:r>
    </w:p>
    <w:p>
      <w:pPr>
        <w:pStyle w:val="Normal"/>
        <w:spacing w:lineRule="exact" w:line="360"/>
        <w:ind w:firstLine="482" w:end="0"/>
        <w:rPr>
          <w:sz w:val="21"/>
          <w:szCs w:val="21"/>
        </w:rPr>
      </w:pPr>
      <w:r>
        <w:rPr>
          <w:sz w:val="21"/>
          <w:szCs w:val="21"/>
        </w:rPr>
        <w:t xml:space="preserve">（2）港口与岸线资源构成硬约束。大型化要求码头具有更大的承载力、前沿水深和堆场面积，射阳港、大丰港、阳江港、福清江阴港、蓬莱港等具备重件码头条件的港口成为集群的空间载体。港口条件不足的沿海城市，即使拥有海上风电资源，也难以形成制造集群。</w:t>
      </w:r>
    </w:p>
    <w:p>
      <w:pPr>
        <w:pStyle w:val="Normal"/>
        <w:spacing w:lineRule="exact" w:line="360"/>
        <w:ind w:firstLine="482" w:end="0"/>
        <w:rPr>
          <w:sz w:val="21"/>
          <w:szCs w:val="21"/>
        </w:rPr>
      </w:pPr>
      <w:r>
        <w:rPr>
          <w:sz w:val="21"/>
          <w:szCs w:val="21"/>
        </w:rPr>
        <w:t xml:space="preserve">（3）地方政策“资源换产业”。部分沿海省份在海上风电资源竞争性配置中将装备制造落地作为重要条件，整机企业为获取项目资源而“跟着项目走”布局，加速了集群形成，但也导致了重复布局。</w:t>
      </w:r>
    </w:p>
    <w:p>
      <w:pPr>
        <w:pStyle w:val="Normal"/>
        <w:spacing w:lineRule="exact" w:line="360"/>
        <w:ind w:firstLine="482" w:end="0"/>
        <w:rPr>
          <w:sz w:val="21"/>
          <w:szCs w:val="21"/>
        </w:rPr>
      </w:pPr>
      <w:r>
        <w:rPr>
          <w:sz w:val="21"/>
          <w:szCs w:val="21"/>
        </w:rPr>
        <w:t xml:space="preserve">（4）龙头企业与创新要素带动。整机企业作为链主带动叶片、塔筒、海缆等配套企业就近集聚，形成“整机+配套”的集群结构；研发设计、检测认证等高端环节则更多布局在上海、深圳、北京等创新资源密集城市，呈现“研发在中心城市、制造在港口城市”的空间分工。</w:t>
      </w:r>
    </w:p>
    <w:p>
      <w:pPr>
        <w:pStyle w:val="Heading1"/>
        <w:keepNext w:val="true"/>
        <w:numPr>
          <w:ilvl w:val="0"/>
          <w:numId w:val="0"/>
        </w:numPr>
        <w:snapToGrid w:val="false"/>
        <w:spacing w:before="240" w:after="120"/>
        <w:ind w:start="0" w:hanging="0"/>
        <w:jc w:val="start"/>
        <w:rPr>
          <w:rFonts w:eastAsia="黑体"/>
          <w:b w:val="false"/>
          <w:sz w:val="28"/>
        </w:rPr>
      </w:pPr>
      <w:r>
        <w:rPr>
          <w:b w:val="false"/>
          <w:rFonts w:ascii="Times New Roman" w:hAnsi="Times New Roman" w:eastAsia="黑体"/>
          <w:sz w:val="28"/>
          <w:szCs w:val="28"/>
        </w:rPr>
        <w:t xml:space="preserve">5 制约因素分析</w:t>
      </w:r>
    </w:p>
    <w:p>
      <w:pPr>
        <w:pStyle w:val="Normal"/>
        <w:keepNext w:val="true"/>
        <w:snapToGrid w:val="false"/>
        <w:spacing w:before="120" w:after="60"/>
        <w:ind w:firstLine="0"/>
        <w:rPr>
          <w:b/>
          <w:sz w:val="24"/>
        </w:rPr>
      </w:pPr>
      <w:r>
        <w:rPr>
          <w:rFonts w:ascii="Times New Roman" w:hAnsi="Times New Roman" w:eastAsia="黑体"/>
          <w:b/>
          <w:bCs/>
          <w:sz w:val="24"/>
          <w:szCs w:val="24"/>
        </w:rPr>
        <w:t xml:space="preserve">5.1 关键技术与核心部件制约</w:t>
      </w:r>
    </w:p>
    <w:p>
      <w:pPr>
        <w:pStyle w:val="Normal"/>
        <w:spacing w:lineRule="exact" w:line="360"/>
        <w:ind w:firstLine="482" w:end="0"/>
        <w:rPr>
          <w:sz w:val="21"/>
          <w:szCs w:val="21"/>
        </w:rPr>
      </w:pPr>
      <w:r>
        <w:rPr>
          <w:sz w:val="21"/>
          <w:szCs w:val="21"/>
        </w:rPr>
        <w:t xml:space="preserve">（1）核心部件存在“卡脖子”环节。主轴承、高压大功率IGBT、高性能碳纤维、直流海缆超净绝缘料和设计仿真软件对外依存度较高，一旦受到供应限制，将直接影响整机交付和大兆瓦机组的迭代速度。以设计仿真软件为例，载荷计算是机组设计和认证的基础，若长期依赖国外软件，不仅存在供应风险，也不利于积累自主的设计数据和方法体系。</w:t>
      </w:r>
    </w:p>
    <w:p>
      <w:pPr>
        <w:pStyle w:val="Normal"/>
        <w:spacing w:lineRule="exact" w:line="360"/>
        <w:ind w:firstLine="482" w:end="0"/>
        <w:rPr>
          <w:sz w:val="21"/>
          <w:szCs w:val="21"/>
        </w:rPr>
      </w:pPr>
      <w:r>
        <w:rPr>
          <w:sz w:val="21"/>
          <w:szCs w:val="21"/>
        </w:rPr>
        <w:t xml:space="preserve">（2）大型化带来可靠性挑战。近年海上机组约1～2年更新一代，样机运行验证时间不足，叶片开裂、轴承和齿轮箱失效等质量问题时有发生，而海上更换大部件需动用安装船，代价远高于陆上。同时，国内能覆盖20 MW级以上机组的全尺寸传动链试验台和叶片测试平台仍然有限，大部件的设计验证存在“先装机、后验证”的风险。</w:t>
      </w:r>
    </w:p>
    <w:p>
      <w:pPr>
        <w:pStyle w:val="Normal"/>
        <w:spacing w:lineRule="exact" w:line="360"/>
        <w:ind w:firstLine="482" w:end="0"/>
        <w:rPr>
          <w:sz w:val="21"/>
          <w:szCs w:val="21"/>
        </w:rPr>
      </w:pPr>
      <w:r>
        <w:rPr>
          <w:sz w:val="21"/>
          <w:szCs w:val="21"/>
        </w:rPr>
        <w:t xml:space="preserve">（3）极端环境适应性有待提高。东南沿海台风风速高、风向突变剧烈，对机组结构强度、偏航控制和备用电源提出严苛要求，国际标准IEC 61400-1第4版已增加台风等级（T类），国内机组的台风设计方法仍需工程数据检验；海上高盐雾、高湿度环境导致电气设备和钢结构腐蚀，渤海海冰则对基础产生冰激振动问题。</w:t>
      </w:r>
    </w:p>
    <w:p>
      <w:pPr>
        <w:pStyle w:val="Normal"/>
        <w:spacing w:lineRule="exact" w:line="360"/>
        <w:ind w:firstLine="482" w:end="0"/>
        <w:rPr>
          <w:sz w:val="21"/>
          <w:szCs w:val="21"/>
        </w:rPr>
      </w:pPr>
      <w:r>
        <w:rPr>
          <w:sz w:val="21"/>
          <w:szCs w:val="21"/>
        </w:rPr>
        <w:t xml:space="preserve">（4）深远海送出成本高。深远海风电场离岸距离通常超过70 km，需采用柔性直流送出，海上换流平台体积和重量大，建设成本高，多端组网与直流故障隔离等技术仍有待工程验证</w:t>
      </w:r>
      <w:r>
        <w:rPr>
          <w:vertAlign w:val="superscript"/>
          <w:sz w:val="21"/>
          <w:szCs w:val="21"/>
        </w:rPr>
        <w:t xml:space="preserve">[6]</w:t>
      </w:r>
      <w:r>
        <w:rPr>
          <w:sz w:val="21"/>
          <w:szCs w:val="21"/>
        </w:rPr>
        <w:t xml:space="preserve">。</w:t>
      </w:r>
    </w:p>
    <w:p>
      <w:pPr>
        <w:pStyle w:val="Normal"/>
        <w:spacing w:lineRule="exact" w:line="360"/>
        <w:ind w:firstLine="482" w:end="0"/>
        <w:rPr>
          <w:sz w:val="21"/>
          <w:szCs w:val="21"/>
        </w:rPr>
      </w:pPr>
      <w:r>
        <w:rPr>
          <w:sz w:val="21"/>
          <w:szCs w:val="21"/>
        </w:rPr>
        <w:t xml:space="preserve">（5）漂浮式技术尚未具备经济性。目前漂浮式风电单位造价约为固定式的2～3倍，系泊系统与动态海缆疲劳、风浪流耦合动力学与控制等问题尚未完全解决，南海超强台风对漂浮式平台的极端载荷也提出了更高要求，我国漂浮式项目仍处于单机或小规模示范阶段。</w:t>
      </w:r>
    </w:p>
    <w:p>
      <w:pPr>
        <w:pStyle w:val="Normal"/>
        <w:keepNext w:val="true"/>
        <w:snapToGrid w:val="false"/>
        <w:spacing w:before="120" w:after="60"/>
        <w:ind w:firstLine="0"/>
        <w:rPr>
          <w:b/>
          <w:sz w:val="24"/>
        </w:rPr>
      </w:pPr>
      <w:r>
        <w:rPr>
          <w:rFonts w:ascii="Times New Roman" w:hAnsi="Times New Roman" w:eastAsia="黑体"/>
          <w:b/>
          <w:bCs/>
          <w:sz w:val="24"/>
          <w:szCs w:val="24"/>
        </w:rPr>
        <w:t xml:space="preserve">5.2 资源与政策制约</w:t>
      </w:r>
    </w:p>
    <w:p>
      <w:pPr>
        <w:pStyle w:val="Normal"/>
        <w:spacing w:lineRule="exact" w:line="360"/>
        <w:ind w:firstLine="482" w:end="0"/>
        <w:rPr>
          <w:sz w:val="21"/>
          <w:szCs w:val="21"/>
        </w:rPr>
      </w:pPr>
      <w:r>
        <w:rPr>
          <w:sz w:val="21"/>
          <w:szCs w:val="21"/>
        </w:rPr>
        <w:t xml:space="preserve">（1）用海约束趋紧。近海风电场需避让生态保护红线、航道锚地、军事用海和渔业养殖区，可开发的近海资源日益有限；而领海以外的深远海项目在用海审批、海域管辖和环境评价等方面的管理制度仍在完善中，前期工作周期较长。</w:t>
      </w:r>
    </w:p>
    <w:p>
      <w:pPr>
        <w:pStyle w:val="Normal"/>
        <w:spacing w:lineRule="exact" w:line="360"/>
        <w:ind w:firstLine="482" w:end="0"/>
        <w:rPr>
          <w:sz w:val="21"/>
          <w:szCs w:val="21"/>
        </w:rPr>
      </w:pPr>
      <w:r>
        <w:rPr>
          <w:sz w:val="21"/>
          <w:szCs w:val="21"/>
        </w:rPr>
        <w:t xml:space="preserve">（2）收益不确定性上升。平价上网后海上风电失去补贴支持，2025年新能源上网电价市场化改革后电价随市场波动</w:t>
      </w:r>
      <w:r>
        <w:rPr>
          <w:vertAlign w:val="superscript"/>
          <w:sz w:val="21"/>
          <w:szCs w:val="21"/>
        </w:rPr>
        <w:t xml:space="preserve">[10]</w:t>
      </w:r>
      <w:r>
        <w:rPr>
          <w:sz w:val="21"/>
          <w:szCs w:val="21"/>
        </w:rPr>
        <w:t xml:space="preserve">，开发商投资趋于谨慎。如图5所示，海上风电在全国风电新增装机中的比重由2021年的25.9%降至2025年的4.2%</w:t>
      </w:r>
      <w:r>
        <w:rPr>
          <w:vertAlign w:val="superscript"/>
          <w:sz w:val="21"/>
          <w:szCs w:val="21"/>
        </w:rPr>
        <w:t xml:space="preserve">[9]</w:t>
      </w:r>
      <w:r>
        <w:rPr>
          <w:sz w:val="21"/>
          <w:szCs w:val="21"/>
        </w:rPr>
        <w:t xml:space="preserve">，市场需求相对陆上风电明显偏弱，而海上风电的单位造价和融资需求又远高于陆上，投资回收期较长。</w:t>
      </w:r>
    </w:p>
    <w:p>
      <w:pPr>
        <w:pStyle w:val="Normal"/>
        <w:keepNext w:val="true"/>
        <w:spacing w:before="120"/>
        <w:jc w:val="center"/>
      </w:pPr>
      <w:r>
        <w:drawing>
          <wp:inline distT="0" distB="0" distL="0" distR="0">
            <wp:extent cx="3780000" cy="1852941"/>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pic:cNvPicPr>
                  </pic:nvPicPr>
                  <pic:blipFill>
                    <a:blip r:embed="rIdFig5"/>
                    <a:stretch>
                      <a:fillRect/>
                    </a:stretch>
                  </pic:blipFill>
                  <pic:spPr>
                    <a:xfrm>
                      <a:off x="0" y="0"/>
                      <a:ext cx="3780000" cy="1852941"/>
                    </a:xfrm>
                    <a:prstGeom prst="rect">
                      <a:avLst/>
                    </a:prstGeom>
                  </pic:spPr>
                </pic:pic>
              </a:graphicData>
            </a:graphic>
          </wp:inline>
        </w:drawing>
      </w:r>
    </w:p>
    <w:p>
      <w:pPr>
        <w:pStyle w:val="Normal"/>
        <w:snapToGrid w:val="false"/>
        <w:spacing w:before="60" w:after="120"/>
        <w:jc w:val="center"/>
        <w:rPr>
          <w:sz w:val="18"/>
        </w:rPr>
      </w:pPr>
      <w:r>
        <w:rPr>
          <w:sz w:val="18"/>
          <w:szCs w:val="18"/>
        </w:rPr>
        <w:t xml:space="preserve">图5 2021—2025年海上风电占全国风电新增装机比重（数据来源：CWEA）</w:t>
      </w:r>
    </w:p>
    <w:p>
      <w:pPr>
        <w:pStyle w:val="Normal"/>
        <w:spacing w:lineRule="exact" w:line="360"/>
        <w:ind w:firstLine="482" w:end="0"/>
        <w:rPr>
          <w:sz w:val="21"/>
          <w:szCs w:val="21"/>
        </w:rPr>
      </w:pPr>
      <w:r>
        <w:rPr>
          <w:sz w:val="21"/>
          <w:szCs w:val="21"/>
        </w:rPr>
        <w:t xml:space="preserve">（3）并网消纳与系统支撑压力增大。海上风电集中接入东部沿海电网，大规模电力电子设备接入降低了系统惯量和短路容量，对电网的频率和电压稳定提出了新的挑战，要求风电机组和送出系统具备更强的主动支撑能力。</w:t>
      </w:r>
    </w:p>
    <w:p>
      <w:pPr>
        <w:pStyle w:val="Normal"/>
        <w:keepNext w:val="true"/>
        <w:snapToGrid w:val="false"/>
        <w:spacing w:before="120" w:after="60"/>
        <w:ind w:firstLine="0"/>
        <w:rPr>
          <w:b/>
          <w:sz w:val="24"/>
        </w:rPr>
      </w:pPr>
      <w:r>
        <w:rPr>
          <w:rFonts w:ascii="Times New Roman" w:hAnsi="Times New Roman" w:eastAsia="黑体"/>
          <w:b/>
          <w:bCs/>
          <w:sz w:val="24"/>
          <w:szCs w:val="24"/>
        </w:rPr>
        <w:t xml:space="preserve">5.3 产业集群层面的制约</w:t>
      </w:r>
    </w:p>
    <w:p>
      <w:pPr>
        <w:pStyle w:val="Normal"/>
        <w:spacing w:lineRule="exact" w:line="360"/>
        <w:ind w:firstLine="482" w:end="0"/>
        <w:rPr>
          <w:sz w:val="21"/>
          <w:szCs w:val="21"/>
        </w:rPr>
      </w:pPr>
      <w:r>
        <w:rPr>
          <w:sz w:val="21"/>
          <w:szCs w:val="21"/>
        </w:rPr>
        <w:t xml:space="preserve">（1）同质化布局与产能过剩。多数沿海省份都在争相引进整机、叶片、塔筒和海缆项目，导致整机等环节的名义产能远超年度需求，引发低价竞争，海上风电机组投标价格较2020年前后降幅超过一半，压缩了企业研发投入空间并带来质量隐患。</w:t>
      </w:r>
    </w:p>
    <w:p>
      <w:pPr>
        <w:pStyle w:val="Normal"/>
        <w:spacing w:lineRule="exact" w:line="360"/>
        <w:ind w:firstLine="482" w:end="0"/>
        <w:rPr>
          <w:sz w:val="21"/>
          <w:szCs w:val="21"/>
        </w:rPr>
      </w:pPr>
      <w:r>
        <w:rPr>
          <w:sz w:val="21"/>
          <w:szCs w:val="21"/>
        </w:rPr>
        <w:t xml:space="preserve">（2）地方保护与市场分割。“资源换产业”使机组选型在一定程度上受制于本地落地条件，而非全生命周期度电成本最优，不利于全国统一大市场建设和优势企业规模化发展。</w:t>
      </w:r>
    </w:p>
    <w:p>
      <w:pPr>
        <w:pStyle w:val="Normal"/>
        <w:spacing w:lineRule="exact" w:line="360"/>
        <w:ind w:firstLine="482" w:end="0"/>
        <w:rPr>
          <w:sz w:val="21"/>
          <w:szCs w:val="21"/>
        </w:rPr>
      </w:pPr>
      <w:r>
        <w:rPr>
          <w:sz w:val="21"/>
          <w:szCs w:val="21"/>
        </w:rPr>
        <w:t xml:space="preserve">（3）港口与施工资源不匹配。机组大型化要求重件码头和安装船同步升级，而运维母港、大部件维修基地等后市场基础设施布局相对滞后，抢装期与平价期之间的需求波动也使船机资源时而紧缺、时而闲置。</w:t>
      </w:r>
    </w:p>
    <w:p>
      <w:pPr>
        <w:pStyle w:val="Normal"/>
        <w:spacing w:lineRule="exact" w:line="360"/>
        <w:ind w:firstLine="482" w:end="0"/>
        <w:rPr>
          <w:sz w:val="21"/>
          <w:szCs w:val="21"/>
        </w:rPr>
      </w:pPr>
      <w:r>
        <w:rPr>
          <w:sz w:val="21"/>
          <w:szCs w:val="21"/>
        </w:rPr>
        <w:t xml:space="preserve">（4）标准体系与人才储备不足。漂浮式风电、深远海柔直、海上风电制氢等新领域的设计标准和认证规范尚不完善；同时，海上风电对既懂电气、机械又懂海洋工程的复合型人才需求旺盛，高技能海上运维人员也相对短缺。</w:t>
      </w:r>
    </w:p>
    <w:p>
      <w:pPr>
        <w:pStyle w:val="Heading1"/>
        <w:keepNext w:val="true"/>
        <w:numPr>
          <w:ilvl w:val="0"/>
          <w:numId w:val="0"/>
        </w:numPr>
        <w:snapToGrid w:val="false"/>
        <w:spacing w:before="240" w:after="120"/>
        <w:ind w:start="0" w:hanging="0"/>
        <w:jc w:val="start"/>
        <w:rPr>
          <w:rFonts w:eastAsia="黑体"/>
          <w:b w:val="false"/>
          <w:sz w:val="28"/>
        </w:rPr>
      </w:pPr>
      <w:r>
        <w:rPr>
          <w:b w:val="false"/>
          <w:rFonts w:ascii="Times New Roman" w:hAnsi="Times New Roman" w:eastAsia="黑体"/>
          <w:sz w:val="28"/>
          <w:szCs w:val="28"/>
        </w:rPr>
        <w:t xml:space="preserve">6 发展趋势与布局优化建议</w:t>
      </w:r>
    </w:p>
    <w:p>
      <w:pPr>
        <w:pStyle w:val="Normal"/>
        <w:keepNext w:val="true"/>
        <w:snapToGrid w:val="false"/>
        <w:spacing w:before="120" w:after="60"/>
        <w:ind w:firstLine="0"/>
        <w:rPr>
          <w:b/>
          <w:sz w:val="24"/>
        </w:rPr>
      </w:pPr>
      <w:r>
        <w:rPr>
          <w:rFonts w:ascii="Times New Roman" w:hAnsi="Times New Roman" w:eastAsia="黑体"/>
          <w:b/>
          <w:bCs/>
          <w:sz w:val="24"/>
          <w:szCs w:val="24"/>
        </w:rPr>
        <w:t xml:space="preserve">6.1 技术与产业发展趋势</w:t>
      </w:r>
    </w:p>
    <w:p>
      <w:pPr>
        <w:pStyle w:val="Normal"/>
        <w:spacing w:lineRule="exact" w:line="360"/>
        <w:ind w:firstLine="482" w:end="0"/>
        <w:rPr>
          <w:sz w:val="21"/>
          <w:szCs w:val="21"/>
        </w:rPr>
      </w:pPr>
      <w:r>
        <w:rPr>
          <w:sz w:val="21"/>
          <w:szCs w:val="21"/>
        </w:rPr>
        <w:t xml:space="preserve">（1）持续大型化与轻量化。15～20 MW机组将成为主流，25 MW级以上机组和150 m以上叶片进入工程应用，碳纤维主梁、紧凑型中速传动链和模块化设计将进一步降低单位千瓦重量；与此同时，行业将更加重视大型机组的可靠性验证，研发重心由“追求容量”转向“容量与可靠性并重”。</w:t>
      </w:r>
    </w:p>
    <w:p>
      <w:pPr>
        <w:pStyle w:val="Normal"/>
        <w:spacing w:lineRule="exact" w:line="360"/>
        <w:ind w:firstLine="482" w:end="0"/>
        <w:rPr>
          <w:sz w:val="21"/>
          <w:szCs w:val="21"/>
        </w:rPr>
      </w:pPr>
      <w:r>
        <w:rPr>
          <w:sz w:val="21"/>
          <w:szCs w:val="21"/>
        </w:rPr>
        <w:t xml:space="preserve">（2）由近海走向深远海。据行业预测，2026—2030年我国海上风电年均新增约1000万千瓦，到2030年累计并网规模有望超过1亿千瓦</w:t>
      </w:r>
      <w:r>
        <w:rPr>
          <w:vertAlign w:val="superscript"/>
          <w:sz w:val="21"/>
          <w:szCs w:val="21"/>
        </w:rPr>
        <w:t xml:space="preserve">[12]</w:t>
      </w:r>
      <w:r>
        <w:rPr>
          <w:sz w:val="21"/>
          <w:szCs w:val="21"/>
        </w:rPr>
        <w:t xml:space="preserve">；漂浮式风电将由单机示范走向规模化示范，通过标准化设计、规模化建造和本地化供应链降低成本，逐步实现商业化。</w:t>
      </w:r>
    </w:p>
    <w:p>
      <w:pPr>
        <w:pStyle w:val="Normal"/>
        <w:spacing w:lineRule="exact" w:line="360"/>
        <w:ind w:firstLine="482" w:end="0"/>
        <w:rPr>
          <w:sz w:val="21"/>
          <w:szCs w:val="21"/>
        </w:rPr>
      </w:pPr>
      <w:r>
        <w:rPr>
          <w:sz w:val="21"/>
          <w:szCs w:val="21"/>
        </w:rPr>
        <w:t xml:space="preserve">（3）送出技术升级。±500 kV级柔性直流、轻型化海上换流平台、多端直流组网、柔性低频交流和66 kV集电系统将成为深远海送出的主要技术方向</w:t>
      </w:r>
      <w:r>
        <w:rPr>
          <w:vertAlign w:val="superscript"/>
          <w:sz w:val="21"/>
          <w:szCs w:val="21"/>
        </w:rPr>
        <w:t xml:space="preserve">[7]</w:t>
      </w:r>
      <w:r>
        <w:rPr>
          <w:sz w:val="21"/>
          <w:szCs w:val="21"/>
        </w:rPr>
        <w:t xml:space="preserve">，海上风电集群统一规划送出通道、建设“海上能源岛”的模式也将得到探索。</w:t>
      </w:r>
    </w:p>
    <w:p>
      <w:pPr>
        <w:pStyle w:val="Normal"/>
        <w:spacing w:lineRule="exact" w:line="360"/>
        <w:ind w:firstLine="482" w:end="0"/>
        <w:rPr>
          <w:sz w:val="21"/>
          <w:szCs w:val="21"/>
        </w:rPr>
      </w:pPr>
      <w:r>
        <w:rPr>
          <w:sz w:val="21"/>
          <w:szCs w:val="21"/>
        </w:rPr>
        <w:t xml:space="preserve">（4）多能融合与智能化。“海上风电+海洋牧场”“海上风电+制氢”“海上风电+储能”等融合开发模式逐步推广，提高海域综合利用效率；数字孪生、智能监测和无人化运维提高运行可靠性，降低运维成本。</w:t>
      </w:r>
    </w:p>
    <w:p>
      <w:pPr>
        <w:pStyle w:val="Normal"/>
        <w:spacing w:lineRule="exact" w:line="360"/>
        <w:ind w:firstLine="482" w:end="0"/>
        <w:rPr>
          <w:sz w:val="21"/>
          <w:szCs w:val="21"/>
        </w:rPr>
      </w:pPr>
      <w:r>
        <w:rPr>
          <w:sz w:val="21"/>
          <w:szCs w:val="21"/>
        </w:rPr>
        <w:t xml:space="preserve">（5）产业链加快“出海”。我国整机、单桩、海缆等产品已具备国际竞争力，东南亚、欧洲、拉美等海外市场将成为国内产业链的重要增量，产业集群也将由服务国内市场转向兼顾国际市场，港口型集群的出口功能将进一步凸显。</w:t>
      </w:r>
    </w:p>
    <w:p>
      <w:pPr>
        <w:pStyle w:val="Normal"/>
        <w:keepNext w:val="true"/>
        <w:snapToGrid w:val="false"/>
        <w:spacing w:before="120" w:after="60"/>
        <w:ind w:firstLine="0"/>
        <w:rPr>
          <w:b/>
          <w:sz w:val="24"/>
        </w:rPr>
      </w:pPr>
      <w:r>
        <w:rPr>
          <w:rFonts w:ascii="Times New Roman" w:hAnsi="Times New Roman" w:eastAsia="黑体"/>
          <w:b/>
          <w:bCs/>
          <w:sz w:val="24"/>
          <w:szCs w:val="24"/>
        </w:rPr>
        <w:t xml:space="preserve">6.2 产业集群布局优化建议</w:t>
      </w:r>
    </w:p>
    <w:p>
      <w:pPr>
        <w:pStyle w:val="Normal"/>
        <w:spacing w:lineRule="exact" w:line="360"/>
        <w:ind w:firstLine="482" w:end="0"/>
        <w:rPr>
          <w:sz w:val="21"/>
          <w:szCs w:val="21"/>
        </w:rPr>
      </w:pPr>
      <w:r>
        <w:rPr>
          <w:sz w:val="21"/>
          <w:szCs w:val="21"/>
        </w:rPr>
        <w:t xml:space="preserve">（1）按海域统筹构建集群体系。以渤海、黄海、东海、南海四大海域基地为单元，每个海域重点培育1～2个全产业链核心集群，其余城市发展专业化配套节点，避免省际重复建设；同一海域内统筹规划送出通道、施工母港和运维基地。</w:t>
      </w:r>
    </w:p>
    <w:p>
      <w:pPr>
        <w:pStyle w:val="Normal"/>
        <w:spacing w:lineRule="exact" w:line="360"/>
        <w:ind w:firstLine="482" w:end="0"/>
        <w:rPr>
          <w:sz w:val="21"/>
          <w:szCs w:val="21"/>
        </w:rPr>
      </w:pPr>
      <w:r>
        <w:rPr>
          <w:sz w:val="21"/>
          <w:szCs w:val="21"/>
        </w:rPr>
        <w:t xml:space="preserve">（2）推动集群差异化分工。江苏侧重大兆瓦整机研发制造、柔直送出与运维服务；上海、浙江侧重研发设计、海缆和电力电子装备；福建侧重强风海域机组与嵌岩基础施工技术；广东侧重抗台风机组、漂浮式与深远海装备及检测认证；山东侧重海工装备、重型钢结构出口和“海上风电+”；北部湾及海南侧重深远海示范和面向东盟的装备出口。</w:t>
      </w:r>
    </w:p>
    <w:p>
      <w:pPr>
        <w:pStyle w:val="Normal"/>
        <w:spacing w:lineRule="exact" w:line="360"/>
        <w:ind w:firstLine="482" w:end="0"/>
        <w:rPr>
          <w:sz w:val="21"/>
          <w:szCs w:val="21"/>
        </w:rPr>
      </w:pPr>
      <w:r>
        <w:rPr>
          <w:sz w:val="21"/>
          <w:szCs w:val="21"/>
        </w:rPr>
        <w:t xml:space="preserve">（3）补链强链攻关核心技术。集中力量攻关主轴承、大功率IGBT、碳纤维、直流海缆绝缘料和设计仿真软件，由“链主”企业牵头组建创新联合体，建设国家级大功率传动链试验台、叶片全尺寸测试平台和漂浮式风电试验场，缩短大型机组验证周期。</w:t>
      </w:r>
    </w:p>
    <w:p>
      <w:pPr>
        <w:pStyle w:val="Normal"/>
        <w:spacing w:lineRule="exact" w:line="360"/>
        <w:ind w:firstLine="482" w:end="0"/>
        <w:rPr>
          <w:sz w:val="21"/>
          <w:szCs w:val="21"/>
        </w:rPr>
      </w:pPr>
      <w:r>
        <w:rPr>
          <w:sz w:val="21"/>
          <w:szCs w:val="21"/>
        </w:rPr>
        <w:t xml:space="preserve">（4）规范“资源换产业”。落实公平竞争审查制度，在资源配置中以技术水平、度电成本和全生命周期可靠性为主要评价标准，引导产能向优势集群集中，推动兼并重组，化解低端产能过剩。</w:t>
      </w:r>
    </w:p>
    <w:p>
      <w:pPr>
        <w:pStyle w:val="Normal"/>
        <w:spacing w:lineRule="exact" w:line="360"/>
        <w:ind w:firstLine="482" w:end="0"/>
        <w:rPr>
          <w:sz w:val="21"/>
          <w:szCs w:val="21"/>
        </w:rPr>
      </w:pPr>
      <w:r>
        <w:rPr>
          <w:sz w:val="21"/>
          <w:szCs w:val="21"/>
        </w:rPr>
        <w:t xml:space="preserve">（5）统筹港口与船机资源。规划建设区域性风电母港和运维基地，推动重件码头、安装船、运维船等资源跨区域共享，提高利用效率；同时完善漂浮式、深远海等新领域标准体系，加强高校与企业联合培养复合型人才。</w:t>
      </w:r>
    </w:p>
    <w:p>
      <w:pPr>
        <w:pStyle w:val="Normal"/>
        <w:keepNext w:val="true"/>
        <w:snapToGrid w:val="false"/>
        <w:spacing w:before="120" w:after="60"/>
        <w:ind w:firstLine="0"/>
        <w:rPr>
          <w:b/>
          <w:sz w:val="24"/>
        </w:rPr>
      </w:pPr>
      <w:r>
        <w:rPr>
          <w:rFonts w:ascii="Times New Roman" w:hAnsi="Times New Roman" w:eastAsia="黑体"/>
          <w:b/>
          <w:bCs/>
          <w:sz w:val="24"/>
          <w:szCs w:val="24"/>
        </w:rPr>
        <w:t xml:space="preserve">6.3 分阶段实施路径</w:t>
      </w:r>
    </w:p>
    <w:p>
      <w:pPr>
        <w:pStyle w:val="Normal"/>
        <w:spacing w:lineRule="exact" w:line="360"/>
        <w:ind w:firstLine="482" w:end="0"/>
        <w:rPr>
          <w:sz w:val="21"/>
          <w:szCs w:val="21"/>
        </w:rPr>
      </w:pPr>
      <w:r>
        <w:rPr>
          <w:sz w:val="21"/>
          <w:szCs w:val="21"/>
        </w:rPr>
        <w:t xml:space="preserve">近期（至2027年），重点是稳住近海开发节奏，加快核心部件国产化验证，规范地方产业政策，推动现有集群“提质”而非“扩量”。中期（2028—2030年），重点是推进深远海柔直送出和漂浮式规模化示范，按四大海域完成集群体系布局，形成2～3个具有全球影响力的海上风电产业集群。远期（2030年以后），重点是实现漂浮式风电商业化和海上风电多能融合发展，使我国海上风电产业由“规模领先”全面转向“技术领先”和“标准引领”。</w:t>
      </w:r>
    </w:p>
    <w:p>
      <w:pPr>
        <w:pStyle w:val="Heading1"/>
        <w:keepNext w:val="true"/>
        <w:numPr>
          <w:ilvl w:val="0"/>
          <w:numId w:val="0"/>
        </w:numPr>
        <w:snapToGrid w:val="false"/>
        <w:spacing w:before="240" w:after="120"/>
        <w:ind w:start="0" w:hanging="0"/>
        <w:jc w:val="start"/>
        <w:rPr>
          <w:rFonts w:eastAsia="黑体"/>
          <w:b w:val="false"/>
          <w:sz w:val="28"/>
        </w:rPr>
      </w:pPr>
      <w:r>
        <w:rPr>
          <w:b w:val="false"/>
          <w:rFonts w:ascii="Times New Roman" w:hAnsi="Times New Roman" w:eastAsia="黑体"/>
          <w:sz w:val="28"/>
          <w:szCs w:val="28"/>
        </w:rPr>
        <w:t xml:space="preserve">结  论</w:t>
      </w:r>
    </w:p>
    <w:p>
      <w:pPr>
        <w:pStyle w:val="Normal"/>
        <w:spacing w:lineRule="exact" w:line="360"/>
        <w:ind w:firstLine="482" w:end="0"/>
        <w:rPr>
          <w:sz w:val="21"/>
          <w:szCs w:val="21"/>
        </w:rPr>
      </w:pPr>
      <w:r>
        <w:rPr>
          <w:sz w:val="21"/>
          <w:szCs w:val="21"/>
        </w:rPr>
        <w:t xml:space="preserve">1）我国海上风电已进入规模化、平价化发展阶段。截至2025年底累计并网容量约4700万千瓦，连续5年居全球首位，单机容量迈入20 MW级，送出技术由高压交流向柔性直流发展，漂浮式技术完成多项示范。</w:t>
      </w:r>
    </w:p>
    <w:p>
      <w:pPr>
        <w:pStyle w:val="Normal"/>
        <w:spacing w:lineRule="exact" w:line="360"/>
        <w:ind w:firstLine="482" w:end="0"/>
        <w:rPr>
          <w:sz w:val="21"/>
          <w:szCs w:val="21"/>
        </w:rPr>
      </w:pPr>
      <w:r>
        <w:rPr>
          <w:sz w:val="21"/>
          <w:szCs w:val="21"/>
        </w:rPr>
        <w:t xml:space="preserve">2）我国已形成完整的海上风电产业链，整机、叶片、海缆、基础等环节具有国际竞争力，短板集中在主轴承、大功率IGBT、高性能复合材料和设计仿真软件等深层次环节，其共同特点是技术积累周期长、验证成本高。</w:t>
      </w:r>
    </w:p>
    <w:p>
      <w:pPr>
        <w:pStyle w:val="Normal"/>
        <w:spacing w:lineRule="exact" w:line="360"/>
        <w:ind w:firstLine="482" w:end="0"/>
        <w:rPr>
          <w:sz w:val="21"/>
          <w:szCs w:val="21"/>
        </w:rPr>
      </w:pPr>
      <w:r>
        <w:rPr>
          <w:sz w:val="21"/>
          <w:szCs w:val="21"/>
        </w:rPr>
        <w:t xml:space="preserve">3）产业集群受大部件物流、港口条件、地方政策和龙头企业共同驱动，呈沿海带状、依港集聚的格局，江苏盐城—南通、广东阳江—粤东为核心集群，福建、山东、沪浙、北部湾各具特色；大部件物流这一技术因素是集群临港布局的根本原因。</w:t>
      </w:r>
    </w:p>
    <w:p>
      <w:pPr>
        <w:pStyle w:val="Normal"/>
        <w:spacing w:lineRule="exact" w:line="360"/>
        <w:ind w:firstLine="482" w:end="0"/>
        <w:rPr>
          <w:sz w:val="21"/>
          <w:szCs w:val="21"/>
        </w:rPr>
      </w:pPr>
      <w:r>
        <w:rPr>
          <w:sz w:val="21"/>
          <w:szCs w:val="21"/>
        </w:rPr>
        <w:t xml:space="preserve">4）核心部件对外依存、大型化可靠性、深远海送出与漂浮式成本高、用海约束趋紧、收益不确定性上升和集群同质化是主要制约因素。未来应以大型化和深远海技术为牵引，按海域统筹推进集群差异化分工和补链强链，分阶段推动海上风电产业由“规模领先”向“技术领先”转变。</w:t>
      </w:r>
    </w:p>
    <w:p>
      <w:pPr>
        <w:pStyle w:val="Heading1"/>
        <w:keepNext w:val="true"/>
        <w:numPr>
          <w:ilvl w:val="0"/>
          <w:numId w:val="0"/>
        </w:numPr>
        <w:snapToGrid w:val="false"/>
        <w:spacing w:before="240" w:after="120"/>
        <w:ind w:start="0" w:hanging="0"/>
        <w:jc w:val="start"/>
        <w:rPr>
          <w:rFonts w:eastAsia="黑体"/>
          <w:b w:val="false"/>
          <w:sz w:val="28"/>
        </w:rPr>
      </w:pPr>
      <w:r>
        <w:rPr>
          <w:b w:val="false"/>
          <w:rFonts w:ascii="Times New Roman" w:hAnsi="Times New Roman" w:eastAsia="黑体"/>
          <w:sz w:val="28"/>
          <w:szCs w:val="28"/>
        </w:rPr>
        <w:t xml:space="preserve">参考文献</w:t>
      </w:r>
    </w:p>
    <w:p>
      <w:pPr>
        <w:pStyle w:val="Normal"/>
        <w:snapToGrid w:val="false"/>
        <w:spacing w:lineRule="exact" w:line="280"/>
        <w:ind w:start="420" w:hanging="420" w:end="0"/>
        <w:jc w:val="start"/>
        <w:rPr>
          <w:sz w:val="18"/>
        </w:rPr>
      </w:pPr>
      <w:r>
        <w:rPr>
          <w:sz w:val="18"/>
          <w:szCs w:val="18"/>
        </w:rPr>
        <w:t xml:space="preserve">[1] 毕亚雄，赵生校，孙强，等. 海上风电发展研究[M]. 北京：中国水利水电出版社，2017.</w:t>
      </w:r>
    </w:p>
    <w:p>
      <w:pPr>
        <w:pStyle w:val="Normal"/>
        <w:snapToGrid w:val="false"/>
        <w:spacing w:lineRule="exact" w:line="280"/>
        <w:ind w:start="420" w:hanging="420" w:end="0"/>
        <w:jc w:val="start"/>
        <w:rPr>
          <w:sz w:val="18"/>
        </w:rPr>
      </w:pPr>
      <w:r>
        <w:rPr>
          <w:sz w:val="18"/>
          <w:szCs w:val="18"/>
        </w:rPr>
        <w:t xml:space="preserve">[2] 国家能源局. 2025年可再生能源并网运行情况[EB/OL]. (2026-02-12)[2026-10-28]. https://www.nea.gov.cn/20260212/742b8c6a078347b0b39de676c05c5d58/c.html.</w:t>
      </w:r>
    </w:p>
    <w:p>
      <w:pPr>
        <w:pStyle w:val="Normal"/>
        <w:snapToGrid w:val="false"/>
        <w:spacing w:lineRule="exact" w:line="280"/>
        <w:ind w:start="420" w:hanging="420" w:end="0"/>
        <w:jc w:val="start"/>
        <w:rPr>
          <w:sz w:val="18"/>
        </w:rPr>
      </w:pPr>
      <w:r>
        <w:rPr>
          <w:sz w:val="18"/>
          <w:szCs w:val="18"/>
        </w:rPr>
        <w:t xml:space="preserve">[3] Global Wind Energy Council. Global offshore wind report 2025[R]. Brussels：GWEC，2025.</w:t>
      </w:r>
    </w:p>
    <w:p>
      <w:pPr>
        <w:pStyle w:val="Normal"/>
        <w:snapToGrid w:val="false"/>
        <w:spacing w:lineRule="exact" w:line="280"/>
        <w:ind w:start="420" w:hanging="420" w:end="0"/>
        <w:jc w:val="start"/>
        <w:rPr>
          <w:sz w:val="18"/>
        </w:rPr>
      </w:pPr>
      <w:r>
        <w:rPr>
          <w:sz w:val="18"/>
          <w:szCs w:val="18"/>
        </w:rPr>
        <w:t xml:space="preserve">[4] 人民日报海外版. 累计并网装机连续五年全球居首 中国海上风电产业优势不断增强[EB/OL]. (2026-04-10)[2026-10-28]. https://www.nea.gov.cn/20260410/3284832118044e34b93c48e45788ee4f/c.html.</w:t>
      </w:r>
    </w:p>
    <w:p>
      <w:pPr>
        <w:pStyle w:val="Normal"/>
        <w:snapToGrid w:val="false"/>
        <w:spacing w:lineRule="exact" w:line="280"/>
        <w:ind w:start="420" w:hanging="420" w:end="0"/>
        <w:jc w:val="start"/>
        <w:rPr>
          <w:sz w:val="18"/>
        </w:rPr>
      </w:pPr>
      <w:r>
        <w:rPr>
          <w:sz w:val="18"/>
          <w:szCs w:val="18"/>
        </w:rPr>
        <w:t xml:space="preserve">[5] 21世纪经济报道. 粤西滨海小城，九年跃居全国海上风电第一城[EB/OL]. (2026-10-26)[2026-10-28]. https://www.21jingji.com/article/20261026/herald/d8dce52d085b8601fc24bee81633b0ea.html.</w:t>
      </w:r>
    </w:p>
    <w:p>
      <w:pPr>
        <w:pStyle w:val="Normal"/>
        <w:snapToGrid w:val="false"/>
        <w:spacing w:lineRule="exact" w:line="280"/>
        <w:ind w:start="420" w:hanging="420" w:end="0"/>
        <w:jc w:val="start"/>
        <w:rPr>
          <w:sz w:val="18"/>
        </w:rPr>
      </w:pPr>
      <w:r>
        <w:rPr>
          <w:sz w:val="18"/>
          <w:szCs w:val="18"/>
        </w:rPr>
        <w:t xml:space="preserve">[6] 迟永宁，梁伟，张占奎，等. 大规模海上风电输电与并网关键技术研究综述[J]. 中国电机工程学报，2016，36(14)：3758-3770.</w:t>
      </w:r>
    </w:p>
    <w:p>
      <w:pPr>
        <w:pStyle w:val="Normal"/>
        <w:snapToGrid w:val="false"/>
        <w:spacing w:lineRule="exact" w:line="280"/>
        <w:ind w:start="420" w:hanging="420" w:end="0"/>
        <w:jc w:val="start"/>
        <w:rPr>
          <w:sz w:val="18"/>
        </w:rPr>
      </w:pPr>
      <w:r>
        <w:rPr>
          <w:sz w:val="18"/>
          <w:szCs w:val="18"/>
        </w:rPr>
        <w:t xml:space="preserve">[7] 王锡凡，卫晓辉，宁联辉，等. 海上风电并网与输送方案比较[J]. 中国电机工程学报，2014，34(31)：5459-5466.</w:t>
      </w:r>
    </w:p>
    <w:p>
      <w:pPr>
        <w:pStyle w:val="Normal"/>
        <w:snapToGrid w:val="false"/>
        <w:spacing w:lineRule="exact" w:line="280"/>
        <w:ind w:start="420" w:hanging="420" w:end="0"/>
        <w:jc w:val="start"/>
        <w:rPr>
          <w:sz w:val="18"/>
        </w:rPr>
      </w:pPr>
      <w:r>
        <w:rPr>
          <w:sz w:val="18"/>
          <w:szCs w:val="18"/>
        </w:rPr>
        <w:t xml:space="preserve">[8] 黄玲玲，曹家麟，张开华，等. 海上风电机组运行维护现状研究与展望[J]. 中国电机工程学报，2016，36(3)：729-738.</w:t>
      </w:r>
    </w:p>
    <w:p>
      <w:pPr>
        <w:pStyle w:val="Normal"/>
        <w:snapToGrid w:val="false"/>
        <w:spacing w:lineRule="exact" w:line="280"/>
        <w:ind w:start="420" w:hanging="420" w:end="0"/>
        <w:jc w:val="start"/>
        <w:rPr>
          <w:sz w:val="18"/>
        </w:rPr>
      </w:pPr>
      <w:r>
        <w:rPr>
          <w:sz w:val="18"/>
          <w:szCs w:val="18"/>
        </w:rPr>
        <w:t xml:space="preserve">[9] 中国可再生能源学会风能专业委员会. 2025年中国风电吊装容量统计简报[R]. 北京：中国可再生能源学会风能专业委员会，2026.</w:t>
      </w:r>
    </w:p>
    <w:p>
      <w:pPr>
        <w:pStyle w:val="Normal"/>
        <w:snapToGrid w:val="false"/>
        <w:spacing w:lineRule="exact" w:line="280"/>
        <w:ind w:start="420" w:hanging="420" w:end="0"/>
        <w:jc w:val="start"/>
        <w:rPr>
          <w:sz w:val="18"/>
        </w:rPr>
      </w:pPr>
      <w:r>
        <w:rPr>
          <w:sz w:val="18"/>
          <w:szCs w:val="18"/>
        </w:rPr>
        <w:t xml:space="preserve">[10] 国家发展改革委，国家能源局. 关于深化新能源上网电价市场化改革 促进新能源高质量发展的通知：发改价格〔2025〕136号[A]. 北京：国家发展改革委，2025.</w:t>
      </w:r>
    </w:p>
    <w:p>
      <w:pPr>
        <w:pStyle w:val="Normal"/>
        <w:snapToGrid w:val="false"/>
        <w:spacing w:lineRule="exact" w:line="280"/>
        <w:ind w:start="420" w:hanging="420" w:end="0"/>
        <w:jc w:val="start"/>
        <w:rPr>
          <w:sz w:val="18"/>
        </w:rPr>
      </w:pPr>
      <w:r>
        <w:rPr>
          <w:sz w:val="18"/>
          <w:szCs w:val="18"/>
        </w:rPr>
        <w:t xml:space="preserve">[11] 国家发展改革委，国家能源局，财政部，等. “十四五”可再生能源发展规划：发改能源〔2021〕1445号[A]. 北京：国家发展改革委，2022.</w:t>
      </w:r>
    </w:p>
    <w:p>
      <w:pPr>
        <w:pStyle w:val="Normal"/>
        <w:snapToGrid w:val="false"/>
        <w:spacing w:lineRule="exact" w:line="280"/>
        <w:ind w:start="420" w:hanging="420" w:end="0"/>
        <w:jc w:val="start"/>
        <w:rPr>
          <w:sz w:val="18"/>
        </w:rPr>
      </w:pPr>
      <w:r>
        <w:rPr>
          <w:sz w:val="18"/>
          <w:szCs w:val="18"/>
        </w:rPr>
        <w:t xml:space="preserve">[12] 经济日报. 海上风电转向“深蓝”[EB/OL]. (2026-07-10)[2026-10-28]. https://www.nea.gov.cn/20260710/2706be51a7f1446a90658328d1c245d4/c.html.</w:t>
      </w:r>
    </w:p>
    <w:sectPr>
      <w:footerReference w:type="default" r:id="rId8"/>
      <w:type w:val="nextPage"/>
      <w:pgSz w:w="11906" w:h="16838"/>
      <w:pgMar w:left="1247" w:right="1247" w:gutter="284" w:header="0" w:top="1418" w:footer="851" w:bottom="1247"/>
      <w:pgNumType w:start="1" w:fmt="decimal"/>
      <w:formProt w:val="false"/>
      <w:textDirection w:val="lrTb"/>
      <w:docGrid w:type="linesAndChars" w:linePitch="360" w:charSpace="184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Times New Roman">
    <w:charset w:val="00" w:characterSet="windows-1252"/>
    <w:family w:val="roman"/>
    <w:pitch w:val="default"/>
  </w:font>
  <w:font w:name="Arial">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32767" w:firstLine="32767"/>
      </w:pPr>
      <w:rPr>
        <w:sz w:val="28"/>
        <w:i w:val="false"/>
        <w:b/>
        <w:rFonts w:eastAsia="Batang"/>
      </w:rPr>
    </w:lvl>
    <w:lvl w:ilvl="1">
      <w:start w:val="1"/>
      <w:numFmt w:val="decimal"/>
      <w:lvlText w:val="%2."/>
      <w:lvlJc w:val="start"/>
      <w:pPr>
        <w:tabs>
          <w:tab w:val="num" w:pos="0"/>
        </w:tabs>
        <w:ind w:start="992" w:hanging="567"/>
      </w:pPr>
      <w:rPr>
        <w:sz w:val="28"/>
        <w:i w:val="false"/>
        <w:b/>
        <w:rFonts w:eastAsia="宋体"/>
      </w:rPr>
    </w:lvl>
    <w:lvl w:ilvl="2">
      <w:start w:val="1"/>
      <w:numFmt w:val="none"/>
      <w:suff w:val="nothing"/>
      <w:lvlText w:val="2.3.1"/>
      <w:lvlJc w:val="start"/>
      <w:pPr>
        <w:tabs>
          <w:tab w:val="num" w:pos="0"/>
        </w:tabs>
        <w:ind w:start="1418" w:hanging="567"/>
      </w:pPr>
      <w:rPr/>
    </w:lvl>
    <w:lvl w:ilvl="3">
      <w:start w:val="1"/>
      <w:numFmt w:val="none"/>
      <w:suff w:val="nothing"/>
      <w:lvlText w:val="%11.1.1.1"/>
      <w:lvlJc w:val="start"/>
      <w:pPr>
        <w:tabs>
          <w:tab w:val="num" w:pos="0"/>
        </w:tabs>
        <w:ind w:start="1984" w:hanging="708"/>
      </w:pPr>
      <w:rPr/>
    </w:lvl>
    <w:lvl w:ilvl="4">
      <w:start w:val="1"/>
      <w:numFmt w:val="decimal"/>
      <w:lvlText w:val="%11%2..%3.%4.%5"/>
      <w:lvlJc w:val="start"/>
      <w:pPr>
        <w:tabs>
          <w:tab w:val="num" w:pos="0"/>
        </w:tabs>
        <w:ind w:start="2551" w:hanging="850"/>
      </w:pPr>
      <w:rPr/>
    </w:lvl>
    <w:lvl w:ilvl="5">
      <w:start w:val="1"/>
      <w:numFmt w:val="decimal"/>
      <w:lvlText w:val="%1.%2.%3.%4.%5.%6"/>
      <w:lvlJc w:val="start"/>
      <w:pPr>
        <w:tabs>
          <w:tab w:val="num" w:pos="0"/>
        </w:tabs>
        <w:ind w:start="3260" w:hanging="1134"/>
      </w:pPr>
      <w:rPr/>
    </w:lvl>
    <w:lvl w:ilvl="6">
      <w:start w:val="1"/>
      <w:numFmt w:val="decimal"/>
      <w:lvlText w:val="%1.%2.%3.%4.%5.%6.%7"/>
      <w:lvlJc w:val="start"/>
      <w:pPr>
        <w:tabs>
          <w:tab w:val="num" w:pos="0"/>
        </w:tabs>
        <w:ind w:start="3827" w:hanging="1276"/>
      </w:pPr>
      <w:rPr/>
    </w:lvl>
    <w:lvl w:ilvl="7">
      <w:start w:val="1"/>
      <w:numFmt w:val="decimal"/>
      <w:lvlText w:val="%1.%2.%3.%4.%5.%6.%7.%8"/>
      <w:lvlJc w:val="start"/>
      <w:pPr>
        <w:tabs>
          <w:tab w:val="num" w:pos="0"/>
        </w:tabs>
        <w:ind w:start="4394" w:hanging="1418"/>
      </w:pPr>
      <w:rPr/>
    </w:lvl>
    <w:lvl w:ilvl="8">
      <w:start w:val="1"/>
      <w:numFmt w:val="decimal"/>
      <w:lvlText w:val="%1.%2.%3.%4.%5.%6.%7.%8.%9"/>
      <w:lvlJc w:val="start"/>
      <w:pPr>
        <w:tabs>
          <w:tab w:val="num" w:pos="0"/>
        </w:tabs>
        <w:ind w:start="5102" w:hanging="1700"/>
      </w:pPr>
      <w:rPr/>
    </w:lvl>
  </w:abstractNum>
  <w:abstractNum w:abstractNumId="3">
    <w:lvl w:ilvl="0">
      <w:start w:val="1"/>
      <w:numFmt w:val="decimal"/>
      <w:lvlText w:val="%1."/>
      <w:lvlJc w:val="start"/>
      <w:pPr>
        <w:tabs>
          <w:tab w:val="num" w:pos="0"/>
        </w:tabs>
        <w:ind w:start="504" w:hanging="420"/>
      </w:pPr>
    </w:lvl>
    <w:lvl w:ilvl="1">
      <w:start w:val="1"/>
      <w:numFmt w:val="lowerLetter"/>
      <w:lvlText w:val="%2)"/>
      <w:lvlJc w:val="start"/>
      <w:pPr>
        <w:tabs>
          <w:tab w:val="num" w:pos="0"/>
        </w:tabs>
        <w:ind w:start="924" w:hanging="420"/>
      </w:pPr>
    </w:lvl>
    <w:lvl w:ilvl="2">
      <w:start w:val="1"/>
      <w:numFmt w:val="lowerRoman"/>
      <w:lvlText w:val="%3."/>
      <w:lvlJc w:val="end"/>
      <w:pPr>
        <w:tabs>
          <w:tab w:val="num" w:pos="0"/>
        </w:tabs>
        <w:ind w:start="1344" w:hanging="420"/>
      </w:pPr>
    </w:lvl>
    <w:lvl w:ilvl="3">
      <w:start w:val="1"/>
      <w:numFmt w:val="decimal"/>
      <w:lvlText w:val="%4."/>
      <w:lvlJc w:val="start"/>
      <w:pPr>
        <w:tabs>
          <w:tab w:val="num" w:pos="0"/>
        </w:tabs>
        <w:ind w:start="1764" w:hanging="420"/>
      </w:pPr>
    </w:lvl>
    <w:lvl w:ilvl="4">
      <w:start w:val="1"/>
      <w:numFmt w:val="lowerLetter"/>
      <w:lvlText w:val="%5)"/>
      <w:lvlJc w:val="start"/>
      <w:pPr>
        <w:tabs>
          <w:tab w:val="num" w:pos="0"/>
        </w:tabs>
        <w:ind w:start="2184" w:hanging="420"/>
      </w:pPr>
    </w:lvl>
    <w:lvl w:ilvl="5">
      <w:start w:val="1"/>
      <w:numFmt w:val="lowerRoman"/>
      <w:lvlText w:val="%6."/>
      <w:lvlJc w:val="end"/>
      <w:pPr>
        <w:tabs>
          <w:tab w:val="num" w:pos="0"/>
        </w:tabs>
        <w:ind w:start="2604" w:hanging="420"/>
      </w:pPr>
    </w:lvl>
    <w:lvl w:ilvl="6">
      <w:start w:val="1"/>
      <w:numFmt w:val="decimal"/>
      <w:lvlText w:val="%7."/>
      <w:lvlJc w:val="start"/>
      <w:pPr>
        <w:tabs>
          <w:tab w:val="num" w:pos="0"/>
        </w:tabs>
        <w:ind w:start="3024" w:hanging="420"/>
      </w:pPr>
    </w:lvl>
    <w:lvl w:ilvl="7">
      <w:start w:val="1"/>
      <w:numFmt w:val="lowerLetter"/>
      <w:lvlText w:val="%8)"/>
      <w:lvlJc w:val="start"/>
      <w:pPr>
        <w:tabs>
          <w:tab w:val="num" w:pos="0"/>
        </w:tabs>
        <w:ind w:start="3444" w:hanging="420"/>
      </w:pPr>
    </w:lvl>
    <w:lvl w:ilvl="8">
      <w:start w:val="1"/>
      <w:numFmt w:val="lowerRoman"/>
      <w:lvlText w:val="%9."/>
      <w:lvlJc w:val="end"/>
      <w:pPr>
        <w:tabs>
          <w:tab w:val="num" w:pos="0"/>
        </w:tabs>
        <w:ind w:start="3864" w:hanging="42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noLeading/>
    <w:doNotExpandShiftReturn/>
    <w:compatSetting w:name="compatibilityMode" w:uri="http://schemas.microsoft.com/office/word" w:val="11"/>
  </w:compat>
  <w:docVars>
    <w:docVar w:name="commondata" w:val="eyJoZGlkIjoiZjMzOWQ2OTljNDk4NjdlN2NmODViOTk4OGE2YjQ1MzA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4"/>
      <w:szCs w:val="24"/>
      <w:lang w:val="en-US" w:eastAsia="zh-CN" w:bidi="ar-SA"/>
    </w:rPr>
  </w:style>
  <w:style w:type="paragraph" w:styleId="Heading1">
    <w:name w:val="Heading 1"/>
    <w:basedOn w:val="Normal"/>
    <w:next w:val="Normal"/>
    <w:qFormat/>
    <w:pPr>
      <w:keepNext w:val="true"/>
      <w:numPr>
        <w:ilvl w:val="0"/>
        <w:numId w:val="1"/>
      </w:numPr>
      <w:jc w:val="center"/>
      <w:outlineLvl w:val="0"/>
    </w:pPr>
    <w:rPr>
      <w:b/>
      <w:sz w:val="28"/>
    </w:rPr>
  </w:style>
  <w:style w:type="paragraph" w:styleId="Heading2">
    <w:name w:val="Heading 2"/>
    <w:basedOn w:val="Normal"/>
    <w:next w:val="Style12"/>
    <w:qFormat/>
    <w:pPr>
      <w:keepNext w:val="true"/>
      <w:keepLines/>
      <w:numPr>
        <w:ilvl w:val="1"/>
        <w:numId w:val="1"/>
      </w:numPr>
      <w:spacing w:before="120" w:after="120"/>
      <w:outlineLvl w:val="1"/>
    </w:pPr>
    <w:rPr>
      <w:rFonts w:eastAsia="黑体"/>
      <w:b/>
      <w:sz w:val="30"/>
      <w:szCs w:val="20"/>
    </w:rPr>
  </w:style>
  <w:style w:type="paragraph" w:styleId="Heading4">
    <w:name w:val="Heading 4"/>
    <w:basedOn w:val="Normal"/>
    <w:next w:val="Style12"/>
    <w:qFormat/>
    <w:pPr>
      <w:numPr>
        <w:ilvl w:val="3"/>
        <w:numId w:val="1"/>
      </w:numPr>
      <w:outlineLvl w:val="3"/>
    </w:pPr>
    <w:rPr>
      <w:rFonts w:eastAsia="黑体"/>
      <w:b/>
      <w:szCs w:val="20"/>
    </w:rPr>
  </w:style>
  <w:style w:type="character" w:styleId="WW8Num1z0">
    <w:name w:val="WW8Num1z0"/>
    <w:qFormat/>
    <w:rPr>
      <w:rFonts w:eastAsia="Batang"/>
      <w:b/>
      <w:i w:val="false"/>
      <w:sz w:val="28"/>
    </w:rPr>
  </w:style>
  <w:style w:type="character" w:styleId="WW8Num1z1">
    <w:name w:val="WW8Num1z1"/>
    <w:qFormat/>
    <w:rPr>
      <w:rFonts w:eastAsia="宋体"/>
      <w:b/>
      <w:i w:val="false"/>
      <w:sz w:val="28"/>
    </w:rPr>
  </w:style>
  <w:style w:type="character" w:styleId="WW8Num1z2">
    <w:name w:val="WW8Num1z2"/>
    <w:qFormat/>
    <w:rPr/>
  </w:style>
  <w:style w:type="character" w:styleId="Style11">
    <w:name w:val="默认段落字体"/>
    <w:qFormat/>
    <w:rPr/>
  </w:style>
  <w:style w:type="character" w:styleId="Char">
    <w:name w:val="页脚 Char"/>
    <w:qFormat/>
    <w:rPr>
      <w:kern w:val="2"/>
      <w:sz w:val="18"/>
      <w:szCs w:val="18"/>
    </w:rPr>
  </w:style>
  <w:style w:type="character" w:styleId="Strong">
    <w:name w:val="Strong"/>
    <w:qFormat/>
    <w:rPr>
      <w:b/>
      <w:bCs/>
    </w:rPr>
  </w:style>
  <w:style w:type="character" w:styleId="PageNumber">
    <w:name w:val="Page Number"/>
    <w:basedOn w:val="Style11"/>
    <w:rPr/>
  </w:style>
  <w:style w:type="character" w:styleId="apple-converted-space">
    <w:name w:val="apple-converted-space"/>
    <w:basedOn w:val="Style11"/>
    <w:qFormat/>
    <w:rPr/>
  </w:style>
  <w:style w:type="character" w:styleId="Hyperlink">
    <w:name w:val="Hyperlink"/>
    <w:rPr>
      <w:color w:val="000080"/>
      <w:u w:val="single"/>
    </w:rPr>
  </w:style>
  <w:style w:type="paragraph" w:styleId="Heading">
    <w:name w:val="Heading"/>
    <w:basedOn w:val="Normal"/>
    <w:next w:val="BodyText"/>
    <w:qFormat/>
    <w:pPr>
      <w:spacing w:before="240" w:after="60"/>
      <w:jc w:val="center"/>
      <w:outlineLvl w:val="0"/>
    </w:pPr>
    <w:rPr>
      <w:rFonts w:ascii="Arial" w:hAnsi="Arial" w:eastAsia="黑体" w:cs="Arial"/>
      <w:sz w:val="36"/>
      <w:szCs w:val="20"/>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2">
    <w:name w:val="正文首行缩进"/>
    <w:basedOn w:val="Normal"/>
    <w:qFormat/>
    <w:pPr>
      <w:ind w:firstLine="498" w:start="0" w:end="0"/>
    </w:pPr>
    <w:rPr>
      <w:szCs w:val="20"/>
    </w:rPr>
  </w:style>
  <w:style w:type="paragraph" w:styleId="Style13">
    <w:name w:val="文档结构图"/>
    <w:basedOn w:val="Normal"/>
    <w:qFormat/>
    <w:pPr>
      <w:shd w:fill="000080" w:val="clear"/>
    </w:pPr>
    <w:rPr/>
  </w:style>
  <w:style w:type="paragraph" w:styleId="BodyTextIndent">
    <w:name w:val="Body Text Indent"/>
    <w:basedOn w:val="Normal"/>
    <w:pPr>
      <w:spacing w:before="0" w:after="120"/>
      <w:ind w:hanging="0" w:start="420" w:end="0"/>
    </w:pPr>
    <w:rPr>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1">
    <w:name w:val="Char"/>
    <w:basedOn w:val="Heading"/>
    <w:next w:val="Heading"/>
    <w:qFormat/>
    <w:pPr>
      <w:ind w:firstLine="200" w:start="0" w:end="0"/>
    </w:pPr>
    <w:rPr>
      <w:rFonts w:ascii="Times New Roman" w:hAnsi="Times New Roman" w:cs="Times New Roman"/>
      <w:bCs/>
      <w:szCs w:val="2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 Id="rIdFig1" Type="http://schemas.openxmlformats.org/officeDocument/2006/relationships/image" Target="media/report_fig1.png"/><Relationship Id="rIdFig2" Type="http://schemas.openxmlformats.org/officeDocument/2006/relationships/image" Target="media/report_fig2.png"/><Relationship Id="rIdFig3" Type="http://schemas.openxmlformats.org/officeDocument/2006/relationships/image" Target="media/report_fig3.png"/><Relationship Id="rIdFig4" Type="http://schemas.openxmlformats.org/officeDocument/2006/relationships/image" Target="media/report_fig4.png"/><Relationship Id="rIdFig5" Type="http://schemas.openxmlformats.org/officeDocument/2006/relationships/image" Target="media/report_fig5.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44160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2020-09-30T00:11:00Z</dcterms:created>
  <dc:creator>刘文亮</dc:creator>
  <dc:description/>
  <dc:language>en-US</dc:language>
  <cp:lastModifiedBy>刘洪鹏</cp:lastModifiedBy>
  <dcterms:modified xsi:type="dcterms:W3CDTF">2024-08-29T06:55:44Z</dcterms:modified>
  <cp:revision>20</cp:revision>
  <dc:subject/>
  <dc:title>图像拼接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286154896AE94009809881E581931375</vt:lpwstr>
  </property>
  <property fmtid="{D5CDD505-2E9C-101B-9397-08002B2CF9AE}" pid="3" name="KSOProductBuildVer">
    <vt:lpwstr>2052-12.1.0.17827</vt:lpwstr>
  </property>
</Properties>
</file>