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wmf" ContentType="image/x-wmf"/>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eastAsia="黑体"/>
        </w:rPr>
      </w:pPr>
      <w:r>
        <w:rPr>
          <w:rFonts w:eastAsia="黑体"/>
          <w:lang w:eastAsia="zh-CN"/>
        </w:rPr>
        <w:t>海上</w:t>
      </w:r>
      <w:r>
        <w:rPr>
          <w:rFonts w:eastAsia="黑体"/>
        </w:rPr>
        <w:t>风力发电专题研讨报告</w:t>
      </w:r>
    </w:p>
    <w:tbl>
      <w:tblPr>
        <w:tblW w:w="3848" w:type="dxa"/>
        <w:jc w:val="end"/>
        <w:tblInd w:w="0" w:type="dxa"/>
        <w:tblLayout w:type="fixed"/>
        <w:tblCellMar>
          <w:top w:w="0" w:type="dxa"/>
          <w:start w:w="108" w:type="dxa"/>
          <w:bottom w:w="0" w:type="dxa"/>
          <w:end w:w="108" w:type="dxa"/>
        </w:tblCellMar>
      </w:tblPr>
      <w:tblGrid>
        <w:gridCol w:w="2000"/>
        <w:gridCol w:w="923"/>
        <w:gridCol w:w="925"/>
      </w:tblGrid>
      <w:tr>
        <w:trPr/>
        <w:tc>
          <w:tcPr>
            <w:tcW w:w="2000" w:type="dxa"/>
            <w:tcBorders>
              <w:top w:val="single" w:sz="4" w:space="0" w:color="000000"/>
              <w:start w:val="single" w:sz="4" w:space="0" w:color="000000"/>
              <w:bottom w:val="single" w:sz="4" w:space="0" w:color="000000"/>
              <w:end w:val="single" w:sz="4" w:space="0" w:color="000000"/>
            </w:tcBorders>
          </w:tcPr>
          <w:p>
            <w:pPr>
              <w:pStyle w:val="Normal"/>
              <w:rPr/>
            </w:pPr>
            <w:r>
              <w:rPr>
                <w:lang w:eastAsia="zh-CN"/>
              </w:rPr>
              <w:t>评分</w:t>
            </w:r>
            <w:r>
              <w:rPr/>
              <w:t>项目</w:t>
            </w:r>
          </w:p>
        </w:tc>
        <w:tc>
          <w:tcPr>
            <w:tcW w:w="923" w:type="dxa"/>
            <w:tcBorders>
              <w:top w:val="single" w:sz="4" w:space="0" w:color="000000"/>
              <w:start w:val="single" w:sz="4" w:space="0" w:color="000000"/>
              <w:bottom w:val="single" w:sz="4" w:space="0" w:color="000000"/>
              <w:end w:val="single" w:sz="4" w:space="0" w:color="000000"/>
            </w:tcBorders>
          </w:tcPr>
          <w:p>
            <w:pPr>
              <w:pStyle w:val="Normal"/>
              <w:rPr/>
            </w:pPr>
            <w:r>
              <w:rPr/>
              <w:t>满分</w:t>
            </w:r>
          </w:p>
        </w:tc>
        <w:tc>
          <w:tcPr>
            <w:tcW w:w="925" w:type="dxa"/>
            <w:tcBorders>
              <w:top w:val="single" w:sz="4" w:space="0" w:color="000000"/>
              <w:start w:val="single" w:sz="4" w:space="0" w:color="000000"/>
              <w:bottom w:val="single" w:sz="4" w:space="0" w:color="000000"/>
              <w:end w:val="single" w:sz="4" w:space="0" w:color="000000"/>
            </w:tcBorders>
          </w:tcPr>
          <w:p>
            <w:pPr>
              <w:pStyle w:val="Normal"/>
              <w:rPr/>
            </w:pPr>
            <w:r>
              <w:rPr/>
              <w:t>得分</w:t>
            </w:r>
          </w:p>
        </w:tc>
      </w:tr>
      <w:tr>
        <w:trPr/>
        <w:tc>
          <w:tcPr>
            <w:tcW w:w="2000" w:type="dxa"/>
            <w:tcBorders>
              <w:top w:val="single" w:sz="4" w:space="0" w:color="000000"/>
              <w:start w:val="single" w:sz="4" w:space="0" w:color="000000"/>
              <w:bottom w:val="single" w:sz="4" w:space="0" w:color="000000"/>
              <w:end w:val="single" w:sz="4" w:space="0" w:color="000000"/>
            </w:tcBorders>
          </w:tcPr>
          <w:p>
            <w:pPr>
              <w:pStyle w:val="Normal"/>
              <w:rPr>
                <w:rFonts w:eastAsia="宋体"/>
                <w:lang w:eastAsia="zh-CN"/>
              </w:rPr>
            </w:pPr>
            <w:r>
              <w:rPr/>
              <w:t>内容</w:t>
            </w:r>
            <w:r>
              <w:rPr>
                <w:lang w:eastAsia="zh-CN"/>
              </w:rPr>
              <w:t>的深度</w:t>
            </w:r>
          </w:p>
        </w:tc>
        <w:tc>
          <w:tcPr>
            <w:tcW w:w="923" w:type="dxa"/>
            <w:tcBorders>
              <w:top w:val="single" w:sz="4" w:space="0" w:color="000000"/>
              <w:start w:val="single" w:sz="4" w:space="0" w:color="000000"/>
              <w:bottom w:val="single" w:sz="4" w:space="0" w:color="000000"/>
              <w:end w:val="single" w:sz="4" w:space="0" w:color="000000"/>
            </w:tcBorders>
          </w:tcPr>
          <w:p>
            <w:pPr>
              <w:pStyle w:val="Normal"/>
              <w:rPr>
                <w:rFonts w:eastAsia="宋体"/>
                <w:lang w:eastAsia="zh-CN"/>
              </w:rPr>
            </w:pPr>
            <w:r>
              <w:rPr>
                <w:lang w:val="en-US" w:eastAsia="zh-CN"/>
              </w:rPr>
              <w:t>5</w:t>
            </w:r>
          </w:p>
        </w:tc>
        <w:tc>
          <w:tcPr>
            <w:tcW w:w="925"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宋体"/>
                <w:lang w:eastAsia="zh-CN"/>
              </w:rPr>
            </w:pPr>
            <w:r>
              <w:rPr>
                <w:rFonts w:eastAsia="宋体"/>
                <w:lang w:eastAsia="zh-CN"/>
              </w:rPr>
            </w:r>
          </w:p>
        </w:tc>
      </w:tr>
      <w:tr>
        <w:trPr/>
        <w:tc>
          <w:tcPr>
            <w:tcW w:w="2000" w:type="dxa"/>
            <w:tcBorders>
              <w:top w:val="single" w:sz="4" w:space="0" w:color="000000"/>
              <w:start w:val="single" w:sz="4" w:space="0" w:color="000000"/>
              <w:bottom w:val="single" w:sz="4" w:space="0" w:color="000000"/>
              <w:end w:val="single" w:sz="4" w:space="0" w:color="000000"/>
            </w:tcBorders>
          </w:tcPr>
          <w:p>
            <w:pPr>
              <w:pStyle w:val="Normal"/>
              <w:rPr>
                <w:rFonts w:eastAsia="宋体"/>
                <w:lang w:eastAsia="zh-CN"/>
              </w:rPr>
            </w:pPr>
            <w:r>
              <w:rPr>
                <w:lang w:eastAsia="zh-CN"/>
              </w:rPr>
              <w:t>内容的广度</w:t>
            </w:r>
          </w:p>
        </w:tc>
        <w:tc>
          <w:tcPr>
            <w:tcW w:w="923" w:type="dxa"/>
            <w:tcBorders>
              <w:top w:val="single" w:sz="4" w:space="0" w:color="000000"/>
              <w:start w:val="single" w:sz="4" w:space="0" w:color="000000"/>
              <w:bottom w:val="single" w:sz="4" w:space="0" w:color="000000"/>
              <w:end w:val="single" w:sz="4" w:space="0" w:color="000000"/>
            </w:tcBorders>
          </w:tcPr>
          <w:p>
            <w:pPr>
              <w:pStyle w:val="Normal"/>
              <w:rPr/>
            </w:pPr>
            <w:r>
              <w:rPr/>
              <w:t>5</w:t>
            </w:r>
          </w:p>
        </w:tc>
        <w:tc>
          <w:tcPr>
            <w:tcW w:w="925" w:type="dxa"/>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r>
        <w:trPr/>
        <w:tc>
          <w:tcPr>
            <w:tcW w:w="2000" w:type="dxa"/>
            <w:tcBorders>
              <w:top w:val="single" w:sz="4" w:space="0" w:color="000000"/>
              <w:start w:val="single" w:sz="4" w:space="0" w:color="000000"/>
              <w:bottom w:val="single" w:sz="4" w:space="0" w:color="000000"/>
              <w:end w:val="single" w:sz="4" w:space="0" w:color="000000"/>
            </w:tcBorders>
          </w:tcPr>
          <w:p>
            <w:pPr>
              <w:pStyle w:val="Normal"/>
              <w:rPr>
                <w:rFonts w:eastAsia="宋体"/>
                <w:lang w:eastAsia="zh-CN"/>
              </w:rPr>
            </w:pPr>
            <w:r>
              <w:rPr>
                <w:lang w:eastAsia="zh-CN"/>
              </w:rPr>
              <w:t>内容的逻辑性</w:t>
            </w:r>
          </w:p>
        </w:tc>
        <w:tc>
          <w:tcPr>
            <w:tcW w:w="923" w:type="dxa"/>
            <w:tcBorders>
              <w:top w:val="single" w:sz="4" w:space="0" w:color="000000"/>
              <w:start w:val="single" w:sz="4" w:space="0" w:color="000000"/>
              <w:bottom w:val="single" w:sz="4" w:space="0" w:color="000000"/>
              <w:end w:val="single" w:sz="4" w:space="0" w:color="000000"/>
            </w:tcBorders>
          </w:tcPr>
          <w:p>
            <w:pPr>
              <w:pStyle w:val="Normal"/>
              <w:rPr>
                <w:rFonts w:eastAsia="宋体"/>
                <w:lang w:val="en-US" w:eastAsia="zh-CN"/>
              </w:rPr>
            </w:pPr>
            <w:r>
              <w:rPr>
                <w:lang w:val="en-US" w:eastAsia="zh-CN"/>
              </w:rPr>
              <w:t>5</w:t>
            </w:r>
          </w:p>
        </w:tc>
        <w:tc>
          <w:tcPr>
            <w:tcW w:w="925"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宋体"/>
                <w:lang w:val="en-US" w:eastAsia="zh-CN"/>
              </w:rPr>
            </w:pPr>
            <w:r>
              <w:rPr>
                <w:rFonts w:eastAsia="宋体"/>
                <w:lang w:val="en-US" w:eastAsia="zh-CN"/>
              </w:rPr>
            </w:r>
          </w:p>
        </w:tc>
      </w:tr>
      <w:tr>
        <w:trPr/>
        <w:tc>
          <w:tcPr>
            <w:tcW w:w="2000" w:type="dxa"/>
            <w:tcBorders>
              <w:top w:val="single" w:sz="4" w:space="0" w:color="000000"/>
              <w:start w:val="single" w:sz="4" w:space="0" w:color="000000"/>
              <w:bottom w:val="single" w:sz="4" w:space="0" w:color="000000"/>
              <w:end w:val="single" w:sz="4" w:space="0" w:color="000000"/>
            </w:tcBorders>
          </w:tcPr>
          <w:p>
            <w:pPr>
              <w:pStyle w:val="Normal"/>
              <w:rPr/>
            </w:pPr>
            <w:r>
              <w:rPr/>
              <w:t>文字的流畅性</w:t>
            </w:r>
          </w:p>
        </w:tc>
        <w:tc>
          <w:tcPr>
            <w:tcW w:w="923" w:type="dxa"/>
            <w:tcBorders>
              <w:top w:val="single" w:sz="4" w:space="0" w:color="000000"/>
              <w:start w:val="single" w:sz="4" w:space="0" w:color="000000"/>
              <w:bottom w:val="single" w:sz="4" w:space="0" w:color="000000"/>
              <w:end w:val="single" w:sz="4" w:space="0" w:color="000000"/>
            </w:tcBorders>
          </w:tcPr>
          <w:p>
            <w:pPr>
              <w:pStyle w:val="Normal"/>
              <w:rPr>
                <w:rFonts w:eastAsia="宋体"/>
                <w:lang w:val="en-US" w:eastAsia="zh-CN"/>
              </w:rPr>
            </w:pPr>
            <w:r>
              <w:rPr>
                <w:lang w:val="en-US" w:eastAsia="zh-CN"/>
              </w:rPr>
              <w:t>5</w:t>
            </w:r>
          </w:p>
        </w:tc>
        <w:tc>
          <w:tcPr>
            <w:tcW w:w="925"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宋体"/>
                <w:lang w:val="en-US" w:eastAsia="zh-CN"/>
              </w:rPr>
            </w:pPr>
            <w:r>
              <w:rPr>
                <w:rFonts w:eastAsia="宋体"/>
                <w:lang w:val="en-US" w:eastAsia="zh-CN"/>
              </w:rPr>
            </w:r>
          </w:p>
        </w:tc>
      </w:tr>
      <w:tr>
        <w:trPr/>
        <w:tc>
          <w:tcPr>
            <w:tcW w:w="2000" w:type="dxa"/>
            <w:tcBorders>
              <w:top w:val="single" w:sz="4" w:space="0" w:color="000000"/>
              <w:start w:val="single" w:sz="4" w:space="0" w:color="000000"/>
              <w:bottom w:val="single" w:sz="4" w:space="0" w:color="000000"/>
              <w:end w:val="single" w:sz="4" w:space="0" w:color="000000"/>
            </w:tcBorders>
          </w:tcPr>
          <w:p>
            <w:pPr>
              <w:pStyle w:val="Normal"/>
              <w:rPr>
                <w:rFonts w:eastAsia="宋体"/>
                <w:lang w:eastAsia="zh-CN"/>
              </w:rPr>
            </w:pPr>
            <w:r>
              <w:rPr>
                <w:lang w:eastAsia="zh-CN"/>
              </w:rPr>
              <w:t>格式的规范性</w:t>
            </w:r>
          </w:p>
        </w:tc>
        <w:tc>
          <w:tcPr>
            <w:tcW w:w="923" w:type="dxa"/>
            <w:tcBorders>
              <w:top w:val="single" w:sz="4" w:space="0" w:color="000000"/>
              <w:start w:val="single" w:sz="4" w:space="0" w:color="000000"/>
              <w:bottom w:val="single" w:sz="4" w:space="0" w:color="000000"/>
              <w:end w:val="single" w:sz="4" w:space="0" w:color="000000"/>
            </w:tcBorders>
          </w:tcPr>
          <w:p>
            <w:pPr>
              <w:pStyle w:val="Normal"/>
              <w:rPr>
                <w:rFonts w:eastAsia="宋体"/>
                <w:lang w:val="en-US" w:eastAsia="zh-CN"/>
              </w:rPr>
            </w:pPr>
            <w:r>
              <w:rPr>
                <w:lang w:val="en-US" w:eastAsia="zh-CN"/>
              </w:rPr>
              <w:t>5</w:t>
            </w:r>
          </w:p>
        </w:tc>
        <w:tc>
          <w:tcPr>
            <w:tcW w:w="925"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宋体"/>
                <w:lang w:val="en-US" w:eastAsia="zh-CN"/>
              </w:rPr>
            </w:pPr>
            <w:r>
              <w:rPr>
                <w:rFonts w:eastAsia="宋体"/>
                <w:lang w:val="en-US" w:eastAsia="zh-CN"/>
              </w:rPr>
            </w:r>
          </w:p>
        </w:tc>
      </w:tr>
      <w:tr>
        <w:trPr/>
        <w:tc>
          <w:tcPr>
            <w:tcW w:w="2000" w:type="dxa"/>
            <w:tcBorders>
              <w:top w:val="single" w:sz="4" w:space="0" w:color="000000"/>
              <w:start w:val="single" w:sz="4" w:space="0" w:color="000000"/>
              <w:bottom w:val="single" w:sz="4" w:space="0" w:color="000000"/>
              <w:end w:val="single" w:sz="4" w:space="0" w:color="000000"/>
            </w:tcBorders>
          </w:tcPr>
          <w:p>
            <w:pPr>
              <w:pStyle w:val="Normal"/>
              <w:rPr/>
            </w:pPr>
            <w:r>
              <w:rPr/>
              <w:t>总分</w:t>
            </w:r>
          </w:p>
        </w:tc>
        <w:tc>
          <w:tcPr>
            <w:tcW w:w="923" w:type="dxa"/>
            <w:tcBorders>
              <w:top w:val="single" w:sz="4" w:space="0" w:color="000000"/>
              <w:start w:val="single" w:sz="4" w:space="0" w:color="000000"/>
              <w:bottom w:val="single" w:sz="4" w:space="0" w:color="000000"/>
              <w:end w:val="single" w:sz="4" w:space="0" w:color="000000"/>
            </w:tcBorders>
          </w:tcPr>
          <w:p>
            <w:pPr>
              <w:pStyle w:val="Normal"/>
              <w:rPr>
                <w:rFonts w:eastAsia="宋体"/>
                <w:lang w:val="en-US" w:eastAsia="zh-CN"/>
              </w:rPr>
            </w:pPr>
            <w:r>
              <w:rPr>
                <w:rFonts w:eastAsia="宋体"/>
                <w:lang w:val="en-US" w:eastAsia="zh-CN"/>
              </w:rPr>
              <w:t>25</w:t>
            </w:r>
          </w:p>
        </w:tc>
        <w:tc>
          <w:tcPr>
            <w:tcW w:w="925" w:type="dxa"/>
            <w:tcBorders>
              <w:top w:val="single" w:sz="4" w:space="0" w:color="000000"/>
              <w:start w:val="single" w:sz="4" w:space="0" w:color="000000"/>
              <w:bottom w:val="single" w:sz="4" w:space="0" w:color="000000"/>
              <w:end w:val="single" w:sz="4" w:space="0" w:color="000000"/>
            </w:tcBorders>
          </w:tcPr>
          <w:p>
            <w:pPr>
              <w:pStyle w:val="Normal"/>
              <w:snapToGrid w:val="false"/>
              <w:rPr>
                <w:rFonts w:eastAsia="宋体"/>
                <w:lang w:val="en-US" w:eastAsia="zh-CN"/>
              </w:rPr>
            </w:pPr>
            <w:r>
              <w:rPr>
                <w:rFonts w:eastAsia="宋体"/>
                <w:lang w:val="en-US" w:eastAsia="zh-CN"/>
              </w:rPr>
            </w:r>
          </w:p>
        </w:tc>
      </w:tr>
    </w:tbl>
    <w:p>
      <w:pPr>
        <w:pStyle w:val="Normal"/>
        <w:rPr>
          <w:rFonts w:eastAsia="黑体"/>
        </w:rPr>
      </w:pPr>
      <w:r>
        <w:rPr>
          <w:rFonts w:eastAsia="黑体"/>
        </w:rPr>
      </w:r>
    </w:p>
    <w:p>
      <w:pPr>
        <w:pStyle w:val="Normal"/>
        <w:spacing w:before="120" w:after="60"/>
        <w:jc w:val="center"/>
        <w:rPr>
          <w:rFonts w:eastAsia="黑体"/>
          <w:sz w:val="36"/>
          <w:szCs w:val="52"/>
        </w:rPr>
      </w:pPr>
      <w:r>
        <w:rPr>
          <w:rFonts w:ascii="Times New Roman" w:hAnsi="Times New Roman" w:eastAsia="黑体"/>
          <w:sz w:val="36"/>
          <w:szCs w:val="36"/>
        </w:rPr>
        <w:t xml:space="preserve">中国海上风电产业链及产业集群布局分析</w:t>
      </w:r>
    </w:p>
    <w:p>
      <w:pPr>
        <w:pStyle w:val="Normal"/>
        <w:spacing w:before="90" w:after="180"/>
        <w:jc w:val="center"/>
        <w:rPr>
          <w:sz w:val="21"/>
        </w:rPr>
      </w:pPr>
      <w:r>
        <w:rPr>
          <w:rFonts w:ascii="Times New Roman" w:hAnsi="Times New Roman" w:eastAsia="楷体_GB2312;楷体"/>
          <w:sz w:val="21"/>
          <w:szCs w:val="21"/>
        </w:rPr>
        <w:t xml:space="preserve">姓名1</w:t>
      </w:r>
      <w:r>
        <w:rPr>
          <w:rFonts w:ascii="Times New Roman" w:hAnsi="Times New Roman" w:eastAsia="楷体_GB2312;楷体"/>
          <w:vertAlign w:val="superscript"/>
          <w:sz w:val="21"/>
          <w:szCs w:val="21"/>
        </w:rPr>
        <w:t xml:space="preserve">1</w:t>
      </w:r>
      <w:r>
        <w:rPr>
          <w:rFonts w:ascii="Times New Roman" w:hAnsi="Times New Roman" w:eastAsia="楷体_GB2312;楷体"/>
          <w:sz w:val="21"/>
          <w:szCs w:val="21"/>
        </w:rPr>
        <w:t xml:space="preserve">，</w:t>
      </w:r>
      <w:r>
        <w:rPr>
          <w:rFonts w:ascii="Times New Roman" w:hAnsi="Times New Roman" w:eastAsia="楷体_GB2312;楷体"/>
          <w:sz w:val="21"/>
          <w:szCs w:val="21"/>
        </w:rPr>
        <w:t xml:space="preserve">姓名2</w:t>
      </w:r>
      <w:r>
        <w:rPr>
          <w:rFonts w:ascii="Times New Roman" w:hAnsi="Times New Roman" w:eastAsia="楷体_GB2312;楷体"/>
          <w:vertAlign w:val="superscript"/>
          <w:sz w:val="21"/>
          <w:szCs w:val="21"/>
        </w:rPr>
        <w:t xml:space="preserve">1</w:t>
      </w:r>
      <w:r>
        <w:rPr>
          <w:rFonts w:ascii="Times New Roman" w:hAnsi="Times New Roman" w:eastAsia="楷体_GB2312;楷体"/>
          <w:sz w:val="21"/>
          <w:szCs w:val="21"/>
        </w:rPr>
        <w:t xml:space="preserve">，</w:t>
      </w:r>
      <w:r>
        <w:rPr>
          <w:rFonts w:ascii="Times New Roman" w:hAnsi="Times New Roman" w:eastAsia="楷体_GB2312;楷体"/>
          <w:sz w:val="21"/>
          <w:szCs w:val="21"/>
        </w:rPr>
        <w:t xml:space="preserve">姓名3</w:t>
      </w:r>
      <w:r>
        <w:rPr>
          <w:rFonts w:ascii="Times New Roman" w:hAnsi="Times New Roman" w:eastAsia="楷体_GB2312;楷体"/>
          <w:vertAlign w:val="superscript"/>
          <w:sz w:val="21"/>
          <w:szCs w:val="21"/>
        </w:rPr>
        <w:t xml:space="preserve">2</w:t>
      </w:r>
      <w:r>
        <w:rPr>
          <w:rFonts w:ascii="Times New Roman" w:hAnsi="Times New Roman" w:eastAsia="楷体_GB2312;楷体"/>
          <w:sz w:val="21"/>
          <w:szCs w:val="21"/>
        </w:rPr>
        <w:t xml:space="preserve">，</w:t>
      </w:r>
      <w:r>
        <w:rPr>
          <w:rFonts w:ascii="Times New Roman" w:hAnsi="Times New Roman" w:eastAsia="楷体_GB2312;楷体"/>
          <w:sz w:val="21"/>
          <w:szCs w:val="21"/>
        </w:rPr>
        <w:t xml:space="preserve">姓名4</w:t>
      </w:r>
      <w:r>
        <w:rPr>
          <w:rFonts w:ascii="Times New Roman" w:hAnsi="Times New Roman" w:eastAsia="楷体_GB2312;楷体"/>
          <w:vertAlign w:val="superscript"/>
          <w:sz w:val="21"/>
          <w:szCs w:val="21"/>
        </w:rPr>
        <w:t xml:space="preserve">2</w:t>
      </w:r>
    </w:p>
    <w:p>
      <w:pPr>
        <w:pStyle w:val="Normal"/>
        <w:spacing w:before="0" w:after="60"/>
        <w:jc w:val="center"/>
        <w:rPr>
          <w:sz w:val="18"/>
        </w:rPr>
      </w:pPr>
      <w:r>
        <w:rPr>
          <w:sz w:val="18"/>
          <w:szCs w:val="18"/>
        </w:rPr>
        <w:t xml:space="preserve">(1.东北电力大学能源与动力工程学院新能源XXX班，吉林，吉林 132012</w:t>
      </w:r>
    </w:p>
    <w:p>
      <w:pPr>
        <w:pStyle w:val="Normal"/>
        <w:spacing w:before="0" w:after="180"/>
        <w:jc w:val="center"/>
        <w:rPr>
          <w:sz w:val="18"/>
        </w:rPr>
      </w:pPr>
      <w:r>
        <w:rPr>
          <w:sz w:val="18"/>
          <w:szCs w:val="18"/>
        </w:rPr>
        <w:t xml:space="preserve">2. 东北电力大学能源与动力工程学院新能源XXX班，吉林，吉林 132012)</w:t>
      </w:r>
    </w:p>
    <w:p>
      <w:pPr>
        <w:pStyle w:val="Normal"/>
        <w:spacing w:after="60"/>
        <w:ind w:hanging="742" w:start="746" w:end="0"/>
        <w:rPr>
          <w:sz w:val="18"/>
        </w:rPr>
      </w:pPr>
      <w:r>
        <w:rPr>
          <w:rFonts w:ascii="Times New Roman" w:hAnsi="Times New Roman" w:eastAsia="黑体"/>
          <w:b/>
          <w:bCs/>
          <w:sz w:val="18"/>
          <w:szCs w:val="18"/>
        </w:rPr>
        <w:t xml:space="preserve">摘  要：</w:t>
      </w:r>
      <w:r>
        <w:rPr>
          <w:sz w:val="18"/>
          <w:szCs w:val="18"/>
        </w:rPr>
        <w:t xml:space="preserve">围绕中国海上风电产业链及产业集群布局问题，以2019—2025年并网统计数据和代表性工程为基础，采用产业链环节分解与区域比较相结合的方法，从关键技术入手梳理上游零部件、中游整机与海工装备、下游开发运维的技术特征和国产化水平，并对沿海主要产业集群的空间布局及其形成机制进行分析。结果表明：截至2025年底，中国海上风电累计并网容量约4700万千瓦，连续5年居全球首位，已形成覆盖设计、制造、施工、运维的完整产业链，单机容量迈入20 MW级；产业集群呈现沿海带状分布、依港布局、随项目集聚的特征，江苏盐城、广东阳江等地集聚效应突出。主轴承与大功率IGBT等核心部件对外依存、深远海送出与漂浮式技术成本偏高、用海约束趋紧及集群同质化竞争是当前主要制约因素。以大型化和深远海技术为牵引、按海域统筹推进集群差异化分工，是产业布局优化的主要方向。</w:t>
      </w:r>
    </w:p>
    <w:p>
      <w:pPr>
        <w:pStyle w:val="Normal"/>
        <w:spacing w:after="60"/>
        <w:ind w:hanging="742" w:start="746" w:end="0"/>
        <w:rPr>
          <w:sz w:val="18"/>
        </w:rPr>
      </w:pPr>
      <w:r>
        <w:rPr>
          <w:rFonts w:ascii="Times New Roman" w:hAnsi="Times New Roman" w:eastAsia="黑体"/>
          <w:b/>
          <w:bCs/>
          <w:sz w:val="18"/>
          <w:szCs w:val="18"/>
        </w:rPr>
        <w:t xml:space="preserve">关键词：</w:t>
      </w:r>
      <w:r>
        <w:rPr>
          <w:sz w:val="18"/>
          <w:szCs w:val="18"/>
        </w:rPr>
        <w:t xml:space="preserve">海上风电；产业链；产业集群；空间布局；深远海；关键技术</w:t>
      </w:r>
    </w:p>
    <w:p>
      <w:pPr>
        <w:pStyle w:val="Normal"/>
        <w:spacing w:before="240" w:after="120"/>
        <w:jc w:val="center"/>
        <w:rPr>
          <w:b/>
          <w:sz w:val="24"/>
        </w:rPr>
      </w:pPr>
      <w:r>
        <w:rPr>
          <w:b/>
          <w:bCs/>
          <w:sz w:val="24"/>
          <w:szCs w:val="24"/>
        </w:rPr>
        <w:t xml:space="preserve">Analysis of the Industrial Chain and Industrial Cluster Layout of China's Offshore Wind Power</w:t>
      </w:r>
    </w:p>
    <w:p>
      <w:pPr>
        <w:pStyle w:val="Normal"/>
        <w:spacing w:after="60"/>
        <w:ind w:hanging="1000" w:start="1004" w:end="0"/>
        <w:rPr>
          <w:sz w:val="18"/>
        </w:rPr>
      </w:pPr>
      <w:r>
        <w:rPr>
          <w:b/>
          <w:bCs/>
          <w:sz w:val="18"/>
          <w:szCs w:val="18"/>
        </w:rPr>
        <w:t xml:space="preserve">Abstract: </w:t>
      </w:r>
      <w:r>
        <w:rPr>
          <w:sz w:val="18"/>
          <w:szCs w:val="18"/>
        </w:rPr>
        <w:t xml:space="preserve">Based on grid-connection statistics from 2019 to 2025 and representative projects, the industrial chain of China's offshore wind power is decomposed into upstream components, midstream turbine and marine engineering equipment, and downstream development and operation, and the technical features and localization level of each link are reviewed. The spatial layout of the main coastal industrial clusters and its formation mechanism are then compared. By the end of 2025, China's cumulative grid-connected offshore wind capacity reached about 47 GW, ranking first in the world for five consecutive years, and a complete industrial chain has been built with unit capacity entering the 20 MW class. The clusters are distributed along the coast, rely on ports and gather around projects, with Yancheng and Yangjiang as the most prominent. Dependence on imported main bearings and high-power IGBTs, the high cost of far-offshore transmission and floating technology, tighter sea-use constraints and homogeneous competition among clusters are the main restrictions. Large-scale and far-offshore technologies, together with differentiated division of labour among clusters coordinated by sea area, are the main directions for optimizing the layout.</w:t>
      </w:r>
    </w:p>
    <w:p>
      <w:pPr>
        <w:pStyle w:val="Normal"/>
        <w:spacing w:after="60"/>
        <w:ind w:hanging="1000" w:start="1004" w:end="0"/>
        <w:rPr>
          <w:sz w:val="18"/>
        </w:rPr>
      </w:pPr>
      <w:r>
        <w:rPr>
          <w:b/>
          <w:bCs/>
          <w:sz w:val="18"/>
          <w:szCs w:val="18"/>
        </w:rPr>
        <w:t xml:space="preserve">Key words: </w:t>
      </w:r>
      <w:r>
        <w:rPr>
          <w:sz w:val="18"/>
          <w:szCs w:val="18"/>
        </w:rPr>
        <w:t xml:space="preserve">offshore wind power; industrial chain; industrial cluster; spatial layout; far-offshore; key technology</w:t>
      </w:r>
    </w:p>
    <w:p>
      <w:pPr>
        <w:pStyle w:val="Normal"/>
        <w:spacing w:lineRule="exact" w:line="240"/>
        <w:rPr>
          <w:sz w:val="12"/>
        </w:rPr>
      </w:pP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1 引言</w:t>
      </w:r>
    </w:p>
    <w:p>
      <w:pPr>
        <w:pStyle w:val="Normal"/>
        <w:spacing w:lineRule="exact" w:line="360"/>
        <w:ind w:firstLine="482" w:end="0"/>
        <w:rPr>
          <w:sz w:val="21"/>
          <w:szCs w:val="21"/>
        </w:rPr>
      </w:pPr>
      <w:r>
        <w:rPr>
          <w:sz w:val="21"/>
          <w:szCs w:val="21"/>
        </w:rPr>
        <w:t xml:space="preserve">海上风电具有风速高、湍流强度小、年利用小时数高、不占用陆地资源、靠近东部沿海负荷中心等优势，是实现“碳达峰、碳中和”目标和构建新型电力系统的重要支撑。我国大陆海岸线长约1.8万km，近海风能资源丰富，近海5～50 m水深范围内风能资源技术可开发量约5亿千瓦，水深50 m以上的深远海资源潜力更大</w:t>
      </w:r>
      <w:r>
        <w:rPr>
          <w:vertAlign w:val="superscript"/>
          <w:sz w:val="21"/>
          <w:szCs w:val="21"/>
        </w:rPr>
        <w:t xml:space="preserve">[1]</w:t>
      </w:r>
      <w:r>
        <w:rPr>
          <w:sz w:val="21"/>
          <w:szCs w:val="21"/>
        </w:rPr>
        <w:t xml:space="preserve">。</w:t>
      </w:r>
    </w:p>
    <w:p>
      <w:pPr>
        <w:pStyle w:val="Normal"/>
        <w:spacing w:lineRule="exact" w:line="360"/>
        <w:ind w:firstLine="482" w:end="0"/>
        <w:rPr>
          <w:sz w:val="21"/>
          <w:szCs w:val="21"/>
        </w:rPr>
      </w:pPr>
      <w:r>
        <w:rPr>
          <w:sz w:val="21"/>
          <w:szCs w:val="21"/>
        </w:rPr>
        <w:t xml:space="preserve">2010年上海东海大桥10.2万千瓦海上风电场建成投运，标志着我国海上风电进入工程化开发阶段；此后先后经历示范探索、核准电价支持下的规模化开发、2021年“抢装”高峰和平价发展等阶段。截至2025年底，全国海上风电累计并网容量约4700万千瓦</w:t>
      </w:r>
      <w:r>
        <w:rPr>
          <w:vertAlign w:val="superscript"/>
          <w:sz w:val="21"/>
          <w:szCs w:val="21"/>
        </w:rPr>
        <w:t xml:space="preserve">[2]</w:t>
      </w:r>
      <w:r>
        <w:rPr>
          <w:sz w:val="21"/>
          <w:szCs w:val="21"/>
        </w:rPr>
        <w:t xml:space="preserve">，形成了从原材料、关键零部件、整机制造、海工施工到开发运维的完整产业链，并在江苏、广东、福建、山东等沿海地区形成了一批特色鲜明的产业集群。</w:t>
      </w:r>
    </w:p>
    <w:p>
      <w:pPr>
        <w:pStyle w:val="Normal"/>
        <w:spacing w:lineRule="exact" w:line="360"/>
        <w:ind w:firstLine="482" w:end="0"/>
        <w:rPr>
          <w:sz w:val="21"/>
          <w:szCs w:val="21"/>
        </w:rPr>
      </w:pPr>
      <w:r>
        <w:rPr>
          <w:sz w:val="21"/>
          <w:szCs w:val="21"/>
        </w:rPr>
        <w:t xml:space="preserve">与陆上风电相比，海上风电产业链具有“部件超大、装备重型、依港布局、技术密集”的特点：叶片长度已超过120 m，单桩基础重量可达2000 t以上，大部件基本只能依靠水路运输，产业布局高度依赖港口与岸线资源；机组大型化、深远海送出和漂浮式基础等技术进步，又不断改变产业链各环节的技术门槛和空间分布。因此，以技术问题为核心，结合发展现状和制约条件分析产业链结构与产业集群布局，对把握我国海上风电产业的发展方向具有现实意义。</w:t>
      </w: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2 中国海上风电发展现状</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2.1 装机规模与增长轨迹</w:t>
      </w:r>
    </w:p>
    <w:p>
      <w:pPr>
        <w:pStyle w:val="Normal"/>
        <w:spacing w:lineRule="exact" w:line="360"/>
        <w:ind w:firstLine="482" w:end="0"/>
        <w:rPr>
          <w:sz w:val="21"/>
          <w:szCs w:val="21"/>
        </w:rPr>
      </w:pPr>
      <w:r>
        <w:rPr>
          <w:sz w:val="21"/>
          <w:szCs w:val="21"/>
        </w:rPr>
        <w:t xml:space="preserve">2019—2025年我国海上风电新增及累计并网容量如图1所示。按照财政补贴退出政策，2018年底前核准的海上风电项目须在2021年底前全容量并网方可执行核准电价，由此引发“抢装潮”，2021年新增并网1690万千瓦，超过此前历年新增之和。2022年起新增项目进入平价上网阶段，年新增规模回落至400万～700万千瓦；2025年新增并网659万千瓦，年末累计约4700万千瓦</w:t>
      </w:r>
      <w:r>
        <w:rPr>
          <w:vertAlign w:val="superscript"/>
          <w:sz w:val="21"/>
          <w:szCs w:val="21"/>
        </w:rPr>
        <w:t xml:space="preserve">[2]</w:t>
      </w:r>
      <w:r>
        <w:rPr>
          <w:sz w:val="21"/>
          <w:szCs w:val="21"/>
        </w:rPr>
        <w:t xml:space="preserve">。据全球风能理事会(GWEC)统计，截至2024年底中国海上风电累计装机41.8 GW，约占全球总量的一半，并已连续7年位居全球年度新增装机首位</w:t>
      </w:r>
      <w:r>
        <w:rPr>
          <w:vertAlign w:val="superscript"/>
          <w:sz w:val="21"/>
          <w:szCs w:val="21"/>
        </w:rPr>
        <w:t xml:space="preserve">[3]</w:t>
      </w:r>
      <w:r>
        <w:rPr>
          <w:sz w:val="21"/>
          <w:szCs w:val="21"/>
        </w:rPr>
        <w:t xml:space="preserve">；截至2025年底，我国海上风电累计并网规模已连续5年居全球第一</w:t>
      </w:r>
      <w:r>
        <w:rPr>
          <w:vertAlign w:val="superscript"/>
          <w:sz w:val="21"/>
          <w:szCs w:val="21"/>
        </w:rPr>
        <w:t xml:space="preserve">[4]</w:t>
      </w:r>
      <w:r>
        <w:rPr>
          <w:sz w:val="21"/>
          <w:szCs w:val="21"/>
        </w:rPr>
        <w:t xml:space="preserve">。</w:t>
      </w:r>
    </w:p>
    <w:p>
      <w:pPr>
        <w:pStyle w:val="Normal"/>
        <w:keepNext w:val="true"/>
        <w:spacing w:before="120"/>
        <w:jc w:val="center"/>
      </w:pPr>
      <w:r>
        <w:drawing>
          <wp:inline distT="0" distB="0" distL="0" distR="0">
            <wp:extent cx="5580000" cy="2140309"/>
            <wp:effectExtent l="0" t="0" r="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pic:cNvPicPr>
                      <a:picLocks noChangeAspect="1"/>
                    </pic:cNvPicPr>
                  </pic:nvPicPr>
                  <pic:blipFill>
                    <a:blip r:embed="rIdFig1"/>
                    <a:stretch>
                      <a:fillRect/>
                    </a:stretch>
                  </pic:blipFill>
                  <pic:spPr>
                    <a:xfrm>
                      <a:off x="0" y="0"/>
                      <a:ext cx="5580000" cy="2140309"/>
                    </a:xfrm>
                    <a:prstGeom prst="rect">
                      <a:avLst/>
                    </a:prstGeom>
                  </pic:spPr>
                </pic:pic>
              </a:graphicData>
            </a:graphic>
          </wp:inline>
        </w:drawing>
      </w:r>
    </w:p>
    <w:p>
      <w:pPr>
        <w:pStyle w:val="Normal"/>
        <w:snapToGrid w:val="false"/>
        <w:spacing w:before="60" w:after="120"/>
        <w:jc w:val="center"/>
        <w:rPr>
          <w:sz w:val="18"/>
        </w:rPr>
      </w:pPr>
      <w:r>
        <w:rPr>
          <w:sz w:val="18"/>
          <w:szCs w:val="18"/>
        </w:rPr>
        <w:t xml:space="preserve">图1 2019—2025年中国海上风电并网容量（数据来源：国家能源局，2025年累计值为约数）</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2.2 区域分布</w:t>
      </w:r>
    </w:p>
    <w:p>
      <w:pPr>
        <w:pStyle w:val="Normal"/>
        <w:spacing w:lineRule="exact" w:line="360"/>
        <w:ind w:firstLine="482" w:end="0"/>
        <w:rPr>
          <w:sz w:val="21"/>
          <w:szCs w:val="21"/>
        </w:rPr>
      </w:pPr>
      <w:r>
        <w:rPr>
          <w:sz w:val="21"/>
          <w:szCs w:val="21"/>
        </w:rPr>
        <w:t xml:space="preserve">我国海上风电开发呈现“沿海全面铺开、苏粤领先”的格局。江苏依托平缓的潮间带和近海浅水海域率先实现规模化开发，据国网江苏省电力公司披露，截至2025年底江苏省网海上风电并网容量1349万千瓦，居全国各省份首位，长三角地区合计超过1900万千瓦。广东在“十四五”期间快速追赶，2026年9月阳江一市海上风电并网容量已达801.66万千瓦，约占全省的55.2%，居全国地级市首位</w:t>
      </w:r>
      <w:r>
        <w:rPr>
          <w:vertAlign w:val="superscript"/>
          <w:sz w:val="21"/>
          <w:szCs w:val="21"/>
        </w:rPr>
        <w:t xml:space="preserve">[5]</w:t>
      </w:r>
      <w:r>
        <w:rPr>
          <w:sz w:val="21"/>
          <w:szCs w:val="21"/>
        </w:rPr>
        <w:t xml:space="preserve">。福建、山东、浙江、辽宁、广西、海南等省份也已建成或在建海上风电项目，开发重心正由江苏一省独大转向黄海、东海、南海多海域并进。</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2.3 关键技术发展现状</w:t>
      </w:r>
    </w:p>
    <w:p>
      <w:pPr>
        <w:pStyle w:val="Normal"/>
        <w:spacing w:lineRule="exact" w:line="360"/>
        <w:ind w:firstLine="482" w:end="0"/>
        <w:rPr>
          <w:sz w:val="21"/>
          <w:szCs w:val="21"/>
        </w:rPr>
      </w:pPr>
      <w:r>
        <w:rPr>
          <w:sz w:val="21"/>
          <w:szCs w:val="21"/>
        </w:rPr>
        <w:t xml:space="preserve">（1）机组大型化。单机容量是降低海上风电度电成本的核心手段：单机容量越大，同等装机所需的机位、基础、海缆和吊装次数越少。我国海上风电机组单机容量由2010年东海大桥项目的3 MW提升至2020年前后的6～8 MW，目前新建项目普遍采用12～18 MW机组；20 MW级机组已在实际海况下完成吊装，全球首台16 MW漂浮式海上风电机组也已完成一体化组装</w:t>
      </w:r>
      <w:r>
        <w:rPr>
          <w:vertAlign w:val="superscript"/>
          <w:sz w:val="21"/>
          <w:szCs w:val="21"/>
        </w:rPr>
        <w:t xml:space="preserve">[4]</w:t>
      </w:r>
      <w:r>
        <w:rPr>
          <w:sz w:val="21"/>
          <w:szCs w:val="21"/>
        </w:rPr>
        <w:t xml:space="preserve">。</w:t>
      </w:r>
    </w:p>
    <w:p>
      <w:pPr>
        <w:pStyle w:val="Normal"/>
        <w:spacing w:lineRule="exact" w:line="360"/>
        <w:ind w:firstLine="482" w:end="0"/>
        <w:rPr>
          <w:sz w:val="21"/>
          <w:szCs w:val="21"/>
        </w:rPr>
      </w:pPr>
      <w:r>
        <w:rPr>
          <w:sz w:val="21"/>
          <w:szCs w:val="21"/>
        </w:rPr>
        <w:t xml:space="preserve">（2）基础形式多样化。水深40 m以内海域以单桩基础为主，单桩直径已超过10 m；40～60 m水深多采用导管架、吸力筒等基础；水深超过60 m后固定式基础经济性迅速下降，需要采用半潜式、单柱式、张力腿式等漂浮式基础。我国代表性技术示范见表1。</w:t>
      </w:r>
    </w:p>
    <w:p>
      <w:pPr>
        <w:pStyle w:val="Normal"/>
        <w:spacing w:lineRule="exact" w:line="360"/>
        <w:ind w:firstLine="482" w:end="0"/>
        <w:rPr>
          <w:sz w:val="21"/>
          <w:szCs w:val="21"/>
        </w:rPr>
      </w:pPr>
      <w:r>
        <w:rPr>
          <w:sz w:val="21"/>
          <w:szCs w:val="21"/>
        </w:rPr>
        <w:t xml:space="preserve">（3）送出技术向柔性直流发展。近海风电场普遍采用35/66 kV集电、海上升压站升压至220 kV后以高压交流海缆送出。当离岸距离超过约70 km时，交流海缆电容充电电流显著增大，有效传输容量下降，需要装设大容量无功补偿，柔性直流输电(VSC-HVDC)在经济性和技术性上逐步占优</w:t>
      </w:r>
      <w:r>
        <w:rPr>
          <w:vertAlign w:val="superscript"/>
          <w:sz w:val="21"/>
          <w:szCs w:val="21"/>
        </w:rPr>
        <w:t xml:space="preserve">[6,7]</w:t>
      </w:r>
      <w:r>
        <w:rPr>
          <w:sz w:val="21"/>
          <w:szCs w:val="21"/>
        </w:rPr>
        <w:t xml:space="preserve">。三峡如东±400 kV柔直工程投运后，柔性直流已成为深远海大规模送出的主要技术路线，柔性低频交流输电也已在浙江开展工程示范。</w:t>
      </w:r>
    </w:p>
    <w:p>
      <w:pPr>
        <w:pStyle w:val="Normal"/>
        <w:keepNext w:val="true"/>
        <w:snapToGrid w:val="false"/>
        <w:spacing w:before="60" w:after="120"/>
        <w:jc w:val="center"/>
        <w:rPr>
          <w:sz w:val="18"/>
        </w:rPr>
      </w:pPr>
      <w:r>
        <w:rPr>
          <w:sz w:val="18"/>
          <w:szCs w:val="18"/>
        </w:rPr>
        <w:t xml:space="preserve">表1 我国海上风电代表性技术示范（据公开报道整理）</w:t>
      </w:r>
    </w:p>
    <w:tbl>
      <w:tblPr>
        <w:tblW w:w="7937" w:type="dxa"/>
        <w:jc w:val="center"/>
        <w:tblBorders>
          <w:top w:val="nil"/>
          <w:left w:val="nil"/>
          <w:bottom w:val="nil"/>
          <w:right w:val="nil"/>
          <w:insideH w:val="nil"/>
          <w:insideV w:val="nil"/>
        </w:tblBorders>
        <w:tblLayout w:type="fixed"/>
        <w:tblCellMar>
          <w:left w:w="80" w:type="dxa"/>
          <w:right w:w="80" w:type="dxa"/>
        </w:tblCellMar>
        <w:tblLook w:val="0000"/>
      </w:tblPr>
      <w:tblGrid>
        <w:gridCol w:w="907"/>
        <w:gridCol w:w="2721"/>
        <w:gridCol w:w="4309"/>
      </w:tblGrid>
      <w:tr>
        <w:trPr>
          <w:tblHeader/>
          <w:cantSplit/>
        </w:trPr>
        <w:tc>
          <w:tcPr>
            <w:tcW w:w="907"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年份</w:t>
            </w:r>
          </w:p>
        </w:tc>
        <w:tc>
          <w:tcPr>
            <w:tcW w:w="2721"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项目/机组</w:t>
            </w:r>
          </w:p>
        </w:tc>
        <w:tc>
          <w:tcPr>
            <w:tcW w:w="4309"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技术意义</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2010</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上海东海大桥海上风电场</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国内首个大型海上风电场，单机3 MW，总容量10.2万千瓦</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2021</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三峡如东海上风电柔直工程</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±400 kV柔性直流送出，亚洲首个海上风电柔直输电工程</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2021</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三峡“引领号”(5.5 MW)</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国内首台抗台风型漂浮式海上风电机组（广东阳江）</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2022</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中国海装“扶摇号”(6.2 MW)</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国产化漂浮式海上风电样机（广东湛江）</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2023</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中国海油“观澜号”(7.25 MW)</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国内首个深远海漂浮式风电项目，离岸逾100 km、水深逾100 m</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2024</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明阳“OceanX”双转子(16.6 MW)</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双转子漂浮式平台，探索漂浮式大容量化路线</w:t>
            </w:r>
          </w:p>
        </w:tc>
      </w:tr>
      <w:tr>
        <w:trPr>
          <w:cantSplit/>
        </w:trPr>
        <w:tc>
          <w:tcPr>
            <w:tcW w:w="907" w:type="dxa"/>
            <w:tcBorders/>
            <w:vAlign w:val="center"/>
          </w:tcPr>
          <w:p>
            <w:pPr>
              <w:pStyle w:val="Normal"/>
              <w:keepNext w:val="true"/>
              <w:snapToGrid w:val="false"/>
              <w:spacing w:before="20" w:after="20" w:line="260" w:lineRule="exact"/>
              <w:jc w:val="center"/>
              <w:rPr>
                <w:sz w:val="18"/>
              </w:rPr>
            </w:pPr>
            <w:r>
              <w:rPr>
                <w:sz w:val="18"/>
                <w:szCs w:val="18"/>
              </w:rPr>
              <w:t xml:space="preserve">2025</w:t>
            </w:r>
          </w:p>
        </w:tc>
        <w:tc>
          <w:tcPr>
            <w:tcW w:w="2721" w:type="dxa"/>
            <w:tcBorders/>
            <w:vAlign w:val="center"/>
          </w:tcPr>
          <w:p>
            <w:pPr>
              <w:pStyle w:val="Normal"/>
              <w:keepNext w:val="true"/>
              <w:snapToGrid w:val="false"/>
              <w:spacing w:before="20" w:after="20" w:line="260" w:lineRule="exact"/>
              <w:jc w:val="start"/>
              <w:rPr>
                <w:sz w:val="18"/>
              </w:rPr>
            </w:pPr>
            <w:r>
              <w:rPr>
                <w:sz w:val="18"/>
                <w:szCs w:val="18"/>
              </w:rPr>
              <w:t xml:space="preserve">20 MW级固定式机组</w:t>
            </w:r>
          </w:p>
        </w:tc>
        <w:tc>
          <w:tcPr>
            <w:tcW w:w="4309" w:type="dxa"/>
            <w:tcBorders/>
            <w:vAlign w:val="center"/>
          </w:tcPr>
          <w:p>
            <w:pPr>
              <w:pStyle w:val="Normal"/>
              <w:keepNext w:val="true"/>
              <w:snapToGrid w:val="false"/>
              <w:spacing w:before="20" w:after="20" w:line="260" w:lineRule="exact"/>
              <w:jc w:val="start"/>
              <w:rPr>
                <w:sz w:val="18"/>
              </w:rPr>
            </w:pPr>
            <w:r>
              <w:rPr>
                <w:sz w:val="18"/>
                <w:szCs w:val="18"/>
              </w:rPr>
              <w:t xml:space="preserve">刷新实际海洋环境中单机容量纪录</w:t>
            </w:r>
          </w:p>
        </w:tc>
      </w:tr>
      <w:tr>
        <w:trPr>
          <w:cantSplit/>
        </w:trPr>
        <w:tc>
          <w:tcPr>
            <w:tcW w:w="907" w:type="dxa"/>
            <w:tcBorders>
              <w:bottom w:val="single" w:sz="12" w:space="0" w:color="000000"/>
            </w:tcBorders>
            <w:vAlign w:val="center"/>
          </w:tcPr>
          <w:p>
            <w:pPr>
              <w:pStyle w:val="Normal"/>
              <w:snapToGrid w:val="false"/>
              <w:spacing w:before="20" w:after="20" w:line="260" w:lineRule="exact"/>
              <w:jc w:val="center"/>
              <w:rPr>
                <w:sz w:val="18"/>
              </w:rPr>
            </w:pPr>
            <w:r>
              <w:rPr>
                <w:sz w:val="18"/>
                <w:szCs w:val="18"/>
              </w:rPr>
              <w:t xml:space="preserve">2026</w:t>
            </w:r>
          </w:p>
        </w:tc>
        <w:tc>
          <w:tcPr>
            <w:tcW w:w="2721"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三峡“领航号”(16 MW)</w:t>
            </w:r>
          </w:p>
        </w:tc>
        <w:tc>
          <w:tcPr>
            <w:tcW w:w="4309"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单机容量最大的漂浮式海上风电平台（广东阳江）</w:t>
            </w:r>
          </w:p>
        </w:tc>
      </w:tr>
    </w:tbl>
    <w:p>
      <w:pPr>
        <w:pStyle w:val="Normal"/>
        <w:spacing w:lineRule="exact" w:line="240"/>
        <w:rPr>
          <w:sz w:val="12"/>
        </w:rPr>
      </w:pP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3 产业链结构与关键技术分析</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3.1 产业链总体构成</w:t>
      </w:r>
    </w:p>
    <w:p>
      <w:pPr>
        <w:pStyle w:val="Normal"/>
        <w:spacing w:lineRule="exact" w:line="360"/>
        <w:ind w:firstLine="482" w:end="0"/>
        <w:rPr>
          <w:sz w:val="21"/>
          <w:szCs w:val="21"/>
        </w:rPr>
      </w:pPr>
      <w:r>
        <w:rPr>
          <w:sz w:val="21"/>
          <w:szCs w:val="21"/>
        </w:rPr>
        <w:t xml:space="preserve">海上风电产业链可分为上游原材料与关键零部件、中游整机制造与海工装备、下游开发运营与服务三大环节，并由检测认证、试验平台、港口码头、金融保险、标准规范等构成支撑体系，如图2所示。从初始投资构成看，一般而言风电机组（含塔筒）约占40%，基础制造与施工安装约占30%，海缆与送出工程约占10%～15%；在全生命周期内，运维成本在度电成本中的比重也明显高于陆上风电</w:t>
      </w:r>
      <w:r>
        <w:rPr>
          <w:vertAlign w:val="superscript"/>
          <w:sz w:val="21"/>
          <w:szCs w:val="21"/>
        </w:rPr>
        <w:t xml:space="preserve">[8]</w:t>
      </w:r>
      <w:r>
        <w:rPr>
          <w:sz w:val="21"/>
          <w:szCs w:val="21"/>
        </w:rPr>
        <w:t xml:space="preserve">。</w:t>
      </w:r>
    </w:p>
    <w:p>
      <w:pPr>
        <w:pStyle w:val="Normal"/>
        <w:keepNext w:val="true"/>
        <w:spacing w:before="120"/>
        <w:jc w:val="center"/>
      </w:pPr>
      <w:r>
        <w:drawing>
          <wp:inline distT="0" distB="0" distL="0" distR="0">
            <wp:extent cx="5580000" cy="3356551"/>
            <wp:effectExtent l="0" t="0" r="0" b="0"/>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pic:cNvPicPr>
                      <a:picLocks noChangeAspect="1"/>
                    </pic:cNvPicPr>
                  </pic:nvPicPr>
                  <pic:blipFill>
                    <a:blip r:embed="rIdFig2"/>
                    <a:stretch>
                      <a:fillRect/>
                    </a:stretch>
                  </pic:blipFill>
                  <pic:spPr>
                    <a:xfrm>
                      <a:off x="0" y="0"/>
                      <a:ext cx="5580000" cy="3356551"/>
                    </a:xfrm>
                    <a:prstGeom prst="rect">
                      <a:avLst/>
                    </a:prstGeom>
                  </pic:spPr>
                </pic:pic>
              </a:graphicData>
            </a:graphic>
          </wp:inline>
        </w:drawing>
      </w:r>
    </w:p>
    <w:p>
      <w:pPr>
        <w:pStyle w:val="Normal"/>
        <w:snapToGrid w:val="false"/>
        <w:spacing w:before="60" w:after="120"/>
        <w:jc w:val="center"/>
        <w:rPr>
          <w:sz w:val="18"/>
        </w:rPr>
      </w:pPr>
      <w:r>
        <w:rPr>
          <w:sz w:val="18"/>
          <w:szCs w:val="18"/>
        </w:rPr>
        <w:t xml:space="preserve">图2 海上风电产业链结构示意图</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3.2 上游：原材料与关键零部件</w:t>
      </w:r>
    </w:p>
    <w:p>
      <w:pPr>
        <w:pStyle w:val="Normal"/>
        <w:spacing w:lineRule="exact" w:line="360"/>
        <w:ind w:firstLine="482" w:end="0"/>
        <w:rPr>
          <w:sz w:val="21"/>
          <w:szCs w:val="21"/>
        </w:rPr>
      </w:pPr>
      <w:r>
        <w:rPr>
          <w:sz w:val="21"/>
          <w:szCs w:val="21"/>
        </w:rPr>
        <w:t xml:space="preserve">叶片是决定机组捕风能力的核心部件。机组大型化使叶片长度由60 m级增至120～150 m级，重量与挥舞弯矩随长度近似呈3次方关系增长，主梁材料由玻璃纤维向碳纤维拉挤板转变，同时对芯材、环氧树脂、前缘防腐与防雷提出更高要求。国内中材科技、时代新材等叶片企业产能规模居世界前列，但高性能碳纤维、巴沙木芯材等材料仍有部分依赖进口。</w:t>
      </w:r>
    </w:p>
    <w:p>
      <w:pPr>
        <w:pStyle w:val="Normal"/>
        <w:spacing w:lineRule="exact" w:line="360"/>
        <w:ind w:firstLine="482" w:end="0"/>
        <w:rPr>
          <w:sz w:val="21"/>
          <w:szCs w:val="21"/>
        </w:rPr>
      </w:pPr>
      <w:r>
        <w:rPr>
          <w:sz w:val="21"/>
          <w:szCs w:val="21"/>
        </w:rPr>
        <w:t xml:space="preserve">轴承与传动链是大兆瓦机组国产化难度最大的环节。主轴承需在低速重载、交变载荷和高盐雾环境下运行25年以上，对钢材纯净度、热处理和滚道加工精度要求极高，长期由SKF、舍弗勒等国外企业主导；洛阳LYC、瓦轴、新强联等企业已陆续推出10 MW级以上主轴承并实现装机应用，但在超大尺寸轴承的寿命验证和批量一致性方面仍有差距。中速齿轮箱方面，南高齿、重庆齿轮箱等企业具备较强配套能力；永磁同步发电机依托我国稀土资源优势，国产化水平较高。</w:t>
      </w:r>
    </w:p>
    <w:p>
      <w:pPr>
        <w:pStyle w:val="Normal"/>
        <w:spacing w:lineRule="exact" w:line="360"/>
        <w:ind w:firstLine="482" w:end="0"/>
        <w:rPr>
          <w:sz w:val="21"/>
          <w:szCs w:val="21"/>
        </w:rPr>
      </w:pPr>
      <w:r>
        <w:rPr>
          <w:sz w:val="21"/>
          <w:szCs w:val="21"/>
        </w:rPr>
        <w:t xml:space="preserve">电气与控制系统方面，变流器整机已基本实现国产化，但高压大功率IGBT模块等核心功率器件仍较多依赖英飞凌等国外厂商，中车时代电气、斯达半导等企业正在加快替代；载荷仿真与整机设计软件仍以国外商业软件为主。大型球墨铸铁件、主轴锻件和塔筒钢结构等配套环节产能充足，是我国产业链的传统优势环节。</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3.3 中游：整机制造与海工装备</w:t>
      </w:r>
    </w:p>
    <w:p>
      <w:pPr>
        <w:pStyle w:val="Normal"/>
        <w:spacing w:lineRule="exact" w:line="360"/>
        <w:ind w:firstLine="482" w:end="0"/>
        <w:rPr>
          <w:sz w:val="21"/>
          <w:szCs w:val="21"/>
        </w:rPr>
      </w:pPr>
      <w:r>
        <w:rPr>
          <w:sz w:val="21"/>
          <w:szCs w:val="21"/>
        </w:rPr>
        <w:t xml:space="preserve">整机制造是产业链的核心与“链主”。国内整机企业形成了直驱永磁（如金风科技）、半直驱中速永磁（如明阳智能）等技术路线，半直驱路线兼顾了传动链重量与可靠性，在大兆瓦机组中应用比例不断提高。据中国可再生能源学会风能专业委员会(CWEA)吊装口径统计，2025年海上风电新增吊装容量中金风科技占37.6%、明阳智能占24.6%，电气风电、远景能源、东方电气、三一重能、运达股份、中船海装等合计占37.8%</w:t>
      </w:r>
      <w:r>
        <w:rPr>
          <w:vertAlign w:val="superscript"/>
          <w:sz w:val="21"/>
          <w:szCs w:val="21"/>
        </w:rPr>
        <w:t xml:space="preserve">[9]</w:t>
      </w:r>
      <w:r>
        <w:rPr>
          <w:sz w:val="21"/>
          <w:szCs w:val="21"/>
        </w:rPr>
        <w:t xml:space="preserve">，市场集中度较高。</w:t>
      </w:r>
    </w:p>
    <w:p>
      <w:pPr>
        <w:pStyle w:val="Normal"/>
        <w:spacing w:lineRule="exact" w:line="360"/>
        <w:ind w:firstLine="482" w:end="0"/>
        <w:rPr>
          <w:sz w:val="21"/>
          <w:szCs w:val="21"/>
        </w:rPr>
      </w:pPr>
      <w:r>
        <w:rPr>
          <w:sz w:val="21"/>
          <w:szCs w:val="21"/>
        </w:rPr>
        <w:t xml:space="preserve">海底电缆是技术和资金门槛最高的中游环节之一，涉及超净交联聚乙烯绝缘、立塔式交联生产线、长距离无接头制造、软接头和海上敷设等关键技术。国内已形成东方电缆、中天科技、亨通光电三强格局，产品覆盖66 kV集电海缆、220～500 kV交流海缆、±400～±500 kV直流海缆及漂浮式动态海缆。由于长距离海缆须在码头直接装船，三家企业的生产基地均布局在宁波、南通、盐城、汕尾、阳江等港口城市。</w:t>
      </w:r>
    </w:p>
    <w:p>
      <w:pPr>
        <w:pStyle w:val="Normal"/>
        <w:spacing w:lineRule="exact" w:line="360"/>
        <w:ind w:firstLine="482" w:end="0"/>
        <w:rPr>
          <w:sz w:val="21"/>
          <w:szCs w:val="21"/>
        </w:rPr>
      </w:pPr>
      <w:r>
        <w:rPr>
          <w:sz w:val="21"/>
          <w:szCs w:val="21"/>
        </w:rPr>
        <w:t xml:space="preserve">基础制造与施工安装方面，大金重工、海力风电、天顺风能等企业具备大直径单桩、导管架批量制造能力，部分产品出口欧洲；龙源振华、中交三航局等施工企业拥有起重能力2000 t以上的自升式风电安装船。安装船数量居世界前列，但其供需与年度装机规模高度相关，呈现明显的周期性波动。</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3.4 下游：开发运营与运维服务</w:t>
      </w:r>
    </w:p>
    <w:p>
      <w:pPr>
        <w:pStyle w:val="Normal"/>
        <w:spacing w:lineRule="exact" w:line="360"/>
        <w:ind w:firstLine="482" w:end="0"/>
        <w:rPr>
          <w:sz w:val="21"/>
          <w:szCs w:val="21"/>
        </w:rPr>
      </w:pPr>
      <w:r>
        <w:rPr>
          <w:sz w:val="21"/>
          <w:szCs w:val="21"/>
        </w:rPr>
        <w:t xml:space="preserve">开发环节以三峡集团、国家能源集团、国家电投、华能、中广核、华电、大唐等中央企业为主，广东能源、浙能等地方能源集团为辅。海上风电运维受海况影响大，可达性差，大部件更换依赖安装船，运维成本可达陆上风电的2倍以上</w:t>
      </w:r>
      <w:r>
        <w:rPr>
          <w:vertAlign w:val="superscript"/>
          <w:sz w:val="21"/>
          <w:szCs w:val="21"/>
        </w:rPr>
        <w:t xml:space="preserve">[8]</w:t>
      </w:r>
      <w:r>
        <w:rPr>
          <w:sz w:val="21"/>
          <w:szCs w:val="21"/>
        </w:rPr>
        <w:t xml:space="preserve">；运维船、无人机巡检、智能监测与预测性维护是降低运维成本的主要技术方向。2025年起，新能源上网电量全面进入电力市场，新增项目通过市场化方式形成机制电价</w:t>
      </w:r>
      <w:r>
        <w:rPr>
          <w:vertAlign w:val="superscript"/>
          <w:sz w:val="21"/>
          <w:szCs w:val="21"/>
        </w:rPr>
        <w:t xml:space="preserve">[10]</w:t>
      </w:r>
      <w:r>
        <w:rPr>
          <w:sz w:val="21"/>
          <w:szCs w:val="21"/>
        </w:rPr>
        <w:t xml:space="preserve">，开发商收益不确定性上升，成本压力沿产业链向上游传导。</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3.5 产业链国产化水平评估</w:t>
      </w:r>
    </w:p>
    <w:p>
      <w:pPr>
        <w:pStyle w:val="Normal"/>
        <w:spacing w:lineRule="exact" w:line="360"/>
        <w:ind w:firstLine="482" w:end="0"/>
        <w:rPr>
          <w:sz w:val="21"/>
          <w:szCs w:val="21"/>
        </w:rPr>
      </w:pPr>
      <w:r>
        <w:rPr>
          <w:sz w:val="21"/>
          <w:szCs w:val="21"/>
        </w:rPr>
        <w:t xml:space="preserve">综合上述分析，海上风电产业链各关键环节的技术要点与国产化水平如表2所示。总体上，整机、叶片、海缆、塔筒与基础等环节已达到国际先进水平并具备出口能力，短板集中在主轴承、大功率IGBT、高性能复合材料、直流海缆绝缘料和设计仿真软件等“深层次”环节。</w:t>
      </w:r>
    </w:p>
    <w:p>
      <w:pPr>
        <w:pStyle w:val="Normal"/>
        <w:keepNext w:val="true"/>
        <w:snapToGrid w:val="false"/>
        <w:spacing w:before="60" w:after="120"/>
        <w:jc w:val="center"/>
        <w:rPr>
          <w:sz w:val="18"/>
        </w:rPr>
      </w:pPr>
      <w:r>
        <w:rPr>
          <w:sz w:val="18"/>
          <w:szCs w:val="18"/>
        </w:rPr>
        <w:t xml:space="preserve">表2 海上风电产业链关键环节技术要点与国产化水平</w:t>
      </w:r>
    </w:p>
    <w:tbl>
      <w:tblPr>
        <w:tblW w:w="7936" w:type="dxa"/>
        <w:jc w:val="center"/>
        <w:tblBorders>
          <w:top w:val="nil"/>
          <w:left w:val="nil"/>
          <w:bottom w:val="nil"/>
          <w:right w:val="nil"/>
          <w:insideH w:val="nil"/>
          <w:insideV w:val="nil"/>
        </w:tblBorders>
        <w:tblLayout w:type="fixed"/>
        <w:tblCellMar>
          <w:left w:w="80" w:type="dxa"/>
          <w:right w:w="80" w:type="dxa"/>
        </w:tblCellMar>
        <w:tblLook w:val="0000"/>
      </w:tblPr>
      <w:tblGrid>
        <w:gridCol w:w="1134"/>
        <w:gridCol w:w="2494"/>
        <w:gridCol w:w="2154"/>
        <w:gridCol w:w="2154"/>
      </w:tblGrid>
      <w:tr>
        <w:trPr>
          <w:tblHeader/>
          <w:cantSplit/>
        </w:trPr>
        <w:tc>
          <w:tcPr>
            <w:tcW w:w="1134"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环节</w:t>
            </w:r>
          </w:p>
        </w:tc>
        <w:tc>
          <w:tcPr>
            <w:tcW w:w="2494"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关键技术</w:t>
            </w:r>
          </w:p>
        </w:tc>
        <w:tc>
          <w:tcPr>
            <w:tcW w:w="2154"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国内代表企业</w:t>
            </w:r>
          </w:p>
        </w:tc>
        <w:tc>
          <w:tcPr>
            <w:tcW w:w="2154"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国产化水平与短板</w:t>
            </w:r>
          </w:p>
        </w:tc>
      </w:tr>
      <w:tr>
        <w:trPr>
          <w:cantSplit/>
        </w:trPr>
        <w:tc>
          <w:tcPr>
            <w:tcW w:w="1134" w:type="dxa"/>
            <w:tcBorders/>
            <w:vAlign w:val="center"/>
          </w:tcPr>
          <w:p>
            <w:pPr>
              <w:pStyle w:val="Normal"/>
              <w:keepNext w:val="true"/>
              <w:snapToGrid w:val="false"/>
              <w:spacing w:before="20" w:after="20" w:line="260" w:lineRule="exact"/>
              <w:jc w:val="center"/>
              <w:rPr>
                <w:sz w:val="18"/>
              </w:rPr>
            </w:pPr>
            <w:r>
              <w:rPr>
                <w:sz w:val="18"/>
                <w:szCs w:val="18"/>
              </w:rPr>
              <w:t xml:space="preserve">整机</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大型化平台设计、抗台风控制</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金风科技、明阳智能、电气风电、东方电气等</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高；20 MW级机组居世界前列</w:t>
            </w:r>
          </w:p>
        </w:tc>
      </w:tr>
      <w:tr>
        <w:trPr>
          <w:cantSplit/>
        </w:trPr>
        <w:tc>
          <w:tcPr>
            <w:tcW w:w="1134" w:type="dxa"/>
            <w:tcBorders/>
            <w:vAlign w:val="center"/>
          </w:tcPr>
          <w:p>
            <w:pPr>
              <w:pStyle w:val="Normal"/>
              <w:keepNext w:val="true"/>
              <w:snapToGrid w:val="false"/>
              <w:spacing w:before="20" w:after="20" w:line="260" w:lineRule="exact"/>
              <w:jc w:val="center"/>
              <w:rPr>
                <w:sz w:val="18"/>
              </w:rPr>
            </w:pPr>
            <w:r>
              <w:rPr>
                <w:sz w:val="18"/>
                <w:szCs w:val="18"/>
              </w:rPr>
              <w:t xml:space="preserve">叶片</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超长柔性叶片、碳纤维主梁</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中材科技、时代新材等</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较高；碳纤维、芯材部分进口</w:t>
            </w:r>
          </w:p>
        </w:tc>
      </w:tr>
      <w:tr>
        <w:trPr>
          <w:cantSplit/>
        </w:trPr>
        <w:tc>
          <w:tcPr>
            <w:tcW w:w="1134" w:type="dxa"/>
            <w:tcBorders/>
            <w:vAlign w:val="center"/>
          </w:tcPr>
          <w:p>
            <w:pPr>
              <w:pStyle w:val="Normal"/>
              <w:keepNext w:val="true"/>
              <w:snapToGrid w:val="false"/>
              <w:spacing w:before="20" w:after="20" w:line="260" w:lineRule="exact"/>
              <w:jc w:val="center"/>
              <w:rPr>
                <w:sz w:val="18"/>
              </w:rPr>
            </w:pPr>
            <w:r>
              <w:rPr>
                <w:sz w:val="18"/>
                <w:szCs w:val="18"/>
              </w:rPr>
              <w:t xml:space="preserve">主轴承</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低速重载大尺寸轴承设计与热处理</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洛阳LYC、瓦轴、新强联等</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中等；超大兆瓦主轴承验证不足</w:t>
            </w:r>
          </w:p>
        </w:tc>
      </w:tr>
      <w:tr>
        <w:trPr>
          <w:cantSplit/>
        </w:trPr>
        <w:tc>
          <w:tcPr>
            <w:tcW w:w="1134" w:type="dxa"/>
            <w:tcBorders/>
            <w:vAlign w:val="center"/>
          </w:tcPr>
          <w:p>
            <w:pPr>
              <w:pStyle w:val="Normal"/>
              <w:keepNext w:val="true"/>
              <w:snapToGrid w:val="false"/>
              <w:spacing w:before="20" w:after="20" w:line="260" w:lineRule="exact"/>
              <w:jc w:val="start"/>
              <w:rPr>
                <w:sz w:val="18"/>
              </w:rPr>
            </w:pPr>
            <w:r>
              <w:rPr>
                <w:sz w:val="18"/>
                <w:szCs w:val="18"/>
              </w:rPr>
              <w:t xml:space="preserve">齿轮箱/发电机</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中速高扭矩密度齿轮箱、永磁发电机</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南高齿、重庆齿轮箱等</w:t>
            </w:r>
          </w:p>
        </w:tc>
        <w:tc>
          <w:tcPr>
            <w:tcW w:w="2154" w:type="dxa"/>
            <w:tcBorders/>
            <w:vAlign w:val="center"/>
          </w:tcPr>
          <w:p>
            <w:pPr>
              <w:pStyle w:val="Normal"/>
              <w:keepNext w:val="true"/>
              <w:snapToGrid w:val="false"/>
              <w:spacing w:before="20" w:after="20" w:line="260" w:lineRule="exact"/>
              <w:jc w:val="center"/>
              <w:rPr>
                <w:sz w:val="18"/>
              </w:rPr>
            </w:pPr>
            <w:r>
              <w:rPr>
                <w:sz w:val="18"/>
                <w:szCs w:val="18"/>
              </w:rPr>
              <w:t xml:space="preserve">较高</w:t>
            </w:r>
          </w:p>
        </w:tc>
      </w:tr>
      <w:tr>
        <w:trPr>
          <w:cantSplit/>
        </w:trPr>
        <w:tc>
          <w:tcPr>
            <w:tcW w:w="1134" w:type="dxa"/>
            <w:tcBorders/>
            <w:vAlign w:val="center"/>
          </w:tcPr>
          <w:p>
            <w:pPr>
              <w:pStyle w:val="Normal"/>
              <w:keepNext w:val="true"/>
              <w:snapToGrid w:val="false"/>
              <w:spacing w:before="20" w:after="20" w:line="260" w:lineRule="exact"/>
              <w:jc w:val="start"/>
              <w:rPr>
                <w:sz w:val="18"/>
              </w:rPr>
            </w:pPr>
            <w:r>
              <w:rPr>
                <w:sz w:val="18"/>
                <w:szCs w:val="18"/>
              </w:rPr>
              <w:t xml:space="preserve">变流器/IGBT</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中压大功率变流、功率器件</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中车时代电气、斯达半导等</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变流器高；高压IGBT依赖进口</w:t>
            </w:r>
          </w:p>
        </w:tc>
      </w:tr>
      <w:tr>
        <w:trPr>
          <w:cantSplit/>
        </w:trPr>
        <w:tc>
          <w:tcPr>
            <w:tcW w:w="1134" w:type="dxa"/>
            <w:tcBorders/>
            <w:vAlign w:val="center"/>
          </w:tcPr>
          <w:p>
            <w:pPr>
              <w:pStyle w:val="Normal"/>
              <w:keepNext w:val="true"/>
              <w:snapToGrid w:val="false"/>
              <w:spacing w:before="20" w:after="20" w:line="260" w:lineRule="exact"/>
              <w:jc w:val="center"/>
              <w:rPr>
                <w:sz w:val="18"/>
              </w:rPr>
            </w:pPr>
            <w:r>
              <w:rPr>
                <w:sz w:val="18"/>
                <w:szCs w:val="18"/>
              </w:rPr>
              <w:t xml:space="preserve">海缆</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超高压交/直流绝缘、动态缆</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东方电缆、中天科技、亨通光电</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高；直流绝缘料部分进口</w:t>
            </w:r>
          </w:p>
        </w:tc>
      </w:tr>
      <w:tr>
        <w:trPr>
          <w:cantSplit/>
        </w:trPr>
        <w:tc>
          <w:tcPr>
            <w:tcW w:w="1134" w:type="dxa"/>
            <w:tcBorders/>
            <w:vAlign w:val="center"/>
          </w:tcPr>
          <w:p>
            <w:pPr>
              <w:pStyle w:val="Normal"/>
              <w:keepNext w:val="true"/>
              <w:snapToGrid w:val="false"/>
              <w:spacing w:before="20" w:after="20" w:line="260" w:lineRule="exact"/>
              <w:jc w:val="center"/>
              <w:rPr>
                <w:sz w:val="18"/>
              </w:rPr>
            </w:pPr>
            <w:r>
              <w:rPr>
                <w:sz w:val="18"/>
                <w:szCs w:val="18"/>
              </w:rPr>
              <w:t xml:space="preserve">基础/施工</w:t>
            </w:r>
          </w:p>
        </w:tc>
        <w:tc>
          <w:tcPr>
            <w:tcW w:w="2494" w:type="dxa"/>
            <w:tcBorders/>
            <w:vAlign w:val="center"/>
          </w:tcPr>
          <w:p>
            <w:pPr>
              <w:pStyle w:val="Normal"/>
              <w:keepNext w:val="true"/>
              <w:snapToGrid w:val="false"/>
              <w:spacing w:before="20" w:after="20" w:line="260" w:lineRule="exact"/>
              <w:jc w:val="start"/>
              <w:rPr>
                <w:sz w:val="18"/>
              </w:rPr>
            </w:pPr>
            <w:r>
              <w:rPr>
                <w:sz w:val="18"/>
                <w:szCs w:val="18"/>
              </w:rPr>
              <w:t xml:space="preserve">大直径单桩、导管架、漂浮式平台</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大金重工、海力风电、龙源振华等</w:t>
            </w:r>
          </w:p>
        </w:tc>
        <w:tc>
          <w:tcPr>
            <w:tcW w:w="2154" w:type="dxa"/>
            <w:tcBorders/>
            <w:vAlign w:val="center"/>
          </w:tcPr>
          <w:p>
            <w:pPr>
              <w:pStyle w:val="Normal"/>
              <w:keepNext w:val="true"/>
              <w:snapToGrid w:val="false"/>
              <w:spacing w:before="20" w:after="20" w:line="260" w:lineRule="exact"/>
              <w:jc w:val="start"/>
              <w:rPr>
                <w:sz w:val="18"/>
              </w:rPr>
            </w:pPr>
            <w:r>
              <w:rPr>
                <w:sz w:val="18"/>
                <w:szCs w:val="18"/>
              </w:rPr>
              <w:t xml:space="preserve">高；漂浮式系泊工程经验不足</w:t>
            </w:r>
          </w:p>
        </w:tc>
      </w:tr>
      <w:tr>
        <w:trPr>
          <w:cantSplit/>
        </w:trPr>
        <w:tc>
          <w:tcPr>
            <w:tcW w:w="1134" w:type="dxa"/>
            <w:tcBorders>
              <w:bottom w:val="single" w:sz="12" w:space="0" w:color="000000"/>
            </w:tcBorders>
            <w:vAlign w:val="center"/>
          </w:tcPr>
          <w:p>
            <w:pPr>
              <w:pStyle w:val="Normal"/>
              <w:snapToGrid w:val="false"/>
              <w:spacing w:before="20" w:after="20" w:line="260" w:lineRule="exact"/>
              <w:jc w:val="center"/>
              <w:rPr>
                <w:sz w:val="18"/>
              </w:rPr>
            </w:pPr>
            <w:r>
              <w:rPr>
                <w:sz w:val="18"/>
                <w:szCs w:val="18"/>
              </w:rPr>
              <w:t xml:space="preserve">设计软件</w:t>
            </w:r>
          </w:p>
        </w:tc>
        <w:tc>
          <w:tcPr>
            <w:tcW w:w="2494"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载荷仿真、一体化耦合计算</w:t>
            </w:r>
          </w:p>
        </w:tc>
        <w:tc>
          <w:tcPr>
            <w:tcW w:w="2154"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整机企业与科研院所自研</w:t>
            </w:r>
          </w:p>
        </w:tc>
        <w:tc>
          <w:tcPr>
            <w:tcW w:w="2154"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低；以国外商业软件为主</w:t>
            </w:r>
          </w:p>
        </w:tc>
      </w:tr>
    </w:tbl>
    <w:p>
      <w:pPr>
        <w:pStyle w:val="Normal"/>
        <w:spacing w:lineRule="exact" w:line="240"/>
        <w:rPr>
          <w:sz w:val="12"/>
        </w:rPr>
      </w:pP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4 产业集群空间布局分析</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4.1 布局总体格局</w:t>
      </w:r>
    </w:p>
    <w:p>
      <w:pPr>
        <w:pStyle w:val="Normal"/>
        <w:spacing w:lineRule="exact" w:line="360"/>
        <w:ind w:firstLine="482" w:end="0"/>
        <w:rPr>
          <w:sz w:val="21"/>
          <w:szCs w:val="21"/>
        </w:rPr>
      </w:pPr>
      <w:r>
        <w:rPr>
          <w:sz w:val="21"/>
          <w:szCs w:val="21"/>
        </w:rPr>
        <w:t xml:space="preserve">《“十四五”可再生能源发展规划》提出重点建设山东半岛、长三角、闽南、粤东和北部湾五大海上风电基地集群</w:t>
      </w:r>
      <w:r>
        <w:rPr>
          <w:vertAlign w:val="superscript"/>
          <w:sz w:val="21"/>
          <w:szCs w:val="21"/>
        </w:rPr>
        <w:t xml:space="preserve">[11]</w:t>
      </w:r>
      <w:r>
        <w:rPr>
          <w:sz w:val="21"/>
          <w:szCs w:val="21"/>
        </w:rPr>
        <w:t xml:space="preserve">；“十五五”期间，国家进一步部署在渤海、黄海、东海、南海建设海上风电基地，规范有序推进深远海风电开发</w:t>
      </w:r>
      <w:r>
        <w:rPr>
          <w:vertAlign w:val="superscript"/>
          <w:sz w:val="21"/>
          <w:szCs w:val="21"/>
        </w:rPr>
        <w:t xml:space="preserve">[12]</w:t>
      </w:r>
      <w:r>
        <w:rPr>
          <w:sz w:val="21"/>
          <w:szCs w:val="21"/>
        </w:rPr>
        <w:t xml:space="preserve">。在基地规划引导下，我国海上风电产业集群形成了如图3所示的沿海带状分布格局，主要具有三方面特征：一是沿海岸线带状分布、依托港口布局；二是“随项目走”，集群与风电场开发规模高度相关；三是多中心、分层级，江苏盐城、广东阳江已形成全产业链核心集群，其余城市以特定环节为主形成专业化节点。</w:t>
      </w:r>
    </w:p>
    <w:p>
      <w:pPr>
        <w:pStyle w:val="Normal"/>
        <w:keepNext w:val="true"/>
        <w:spacing w:before="120"/>
        <w:jc w:val="center"/>
      </w:pPr>
      <w:r>
        <w:drawing>
          <wp:inline distT="0" distB="0" distL="0" distR="0">
            <wp:extent cx="5400000" cy="3494117"/>
            <wp:effectExtent l="0" t="0" r="0" b="0"/>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pic:cNvPicPr>
                      <a:picLocks noChangeAspect="1"/>
                    </pic:cNvPicPr>
                  </pic:nvPicPr>
                  <pic:blipFill>
                    <a:blip r:embed="rIdFig3"/>
                    <a:stretch>
                      <a:fillRect/>
                    </a:stretch>
                  </pic:blipFill>
                  <pic:spPr>
                    <a:xfrm>
                      <a:off x="0" y="0"/>
                      <a:ext cx="5400000" cy="3494117"/>
                    </a:xfrm>
                    <a:prstGeom prst="rect">
                      <a:avLst/>
                    </a:prstGeom>
                  </pic:spPr>
                </pic:pic>
              </a:graphicData>
            </a:graphic>
          </wp:inline>
        </w:drawing>
      </w:r>
    </w:p>
    <w:p>
      <w:pPr>
        <w:pStyle w:val="Normal"/>
        <w:snapToGrid w:val="false"/>
        <w:spacing w:before="60" w:after="120"/>
        <w:jc w:val="center"/>
        <w:rPr>
          <w:sz w:val="18"/>
        </w:rPr>
      </w:pPr>
      <w:r>
        <w:rPr>
          <w:sz w:val="18"/>
          <w:szCs w:val="18"/>
        </w:rPr>
        <w:t xml:space="preserve">图3 中国海上风电主要产业集群空间分布示意图（自北向南排列，非地图）</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4.2 主要产业集群比较</w:t>
      </w:r>
    </w:p>
    <w:p>
      <w:pPr>
        <w:pStyle w:val="Normal"/>
        <w:spacing w:lineRule="exact" w:line="360"/>
        <w:ind w:firstLine="482" w:end="0"/>
        <w:rPr>
          <w:sz w:val="21"/>
          <w:szCs w:val="21"/>
        </w:rPr>
      </w:pPr>
      <w:r>
        <w:rPr>
          <w:sz w:val="21"/>
          <w:szCs w:val="21"/>
        </w:rPr>
        <w:t xml:space="preserve">各主要产业集群的依托海域、主要特征和代表性企业或项目如表3所示。</w:t>
      </w:r>
    </w:p>
    <w:p>
      <w:pPr>
        <w:pStyle w:val="Normal"/>
        <w:keepNext w:val="true"/>
        <w:snapToGrid w:val="false"/>
        <w:spacing w:before="60" w:after="120"/>
        <w:jc w:val="center"/>
        <w:rPr>
          <w:sz w:val="18"/>
        </w:rPr>
      </w:pPr>
      <w:r>
        <w:rPr>
          <w:sz w:val="18"/>
          <w:szCs w:val="18"/>
        </w:rPr>
        <w:t xml:space="preserve">表3 我国主要海上风电产业集群概况</w:t>
      </w:r>
    </w:p>
    <w:tbl>
      <w:tblPr>
        <w:tblW w:w="7937" w:type="dxa"/>
        <w:jc w:val="center"/>
        <w:tblBorders>
          <w:top w:val="nil"/>
          <w:left w:val="nil"/>
          <w:bottom w:val="nil"/>
          <w:right w:val="nil"/>
          <w:insideH w:val="nil"/>
          <w:insideV w:val="nil"/>
        </w:tblBorders>
        <w:tblLayout w:type="fixed"/>
        <w:tblCellMar>
          <w:left w:w="80" w:type="dxa"/>
          <w:right w:w="80" w:type="dxa"/>
        </w:tblCellMar>
        <w:tblLook w:val="0000"/>
      </w:tblPr>
      <w:tblGrid>
        <w:gridCol w:w="1474"/>
        <w:gridCol w:w="1474"/>
        <w:gridCol w:w="2608"/>
        <w:gridCol w:w="2381"/>
      </w:tblGrid>
      <w:tr>
        <w:trPr>
          <w:tblHeader/>
          <w:cantSplit/>
        </w:trPr>
        <w:tc>
          <w:tcPr>
            <w:tcW w:w="1474"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产业集群</w:t>
            </w:r>
          </w:p>
        </w:tc>
        <w:tc>
          <w:tcPr>
            <w:tcW w:w="1474"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依托海域/基地</w:t>
            </w:r>
          </w:p>
        </w:tc>
        <w:tc>
          <w:tcPr>
            <w:tcW w:w="2608"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主要特征</w:t>
            </w:r>
          </w:p>
        </w:tc>
        <w:tc>
          <w:tcPr>
            <w:tcW w:w="2381" w:type="dxa"/>
            <w:tcBorders>
              <w:top w:val="single" w:sz="12" w:space="0" w:color="000000"/>
              <w:bottom w:val="single" w:sz="6" w:space="0" w:color="000000"/>
            </w:tcBorders>
            <w:vAlign w:val="center"/>
          </w:tcPr>
          <w:p>
            <w:pPr>
              <w:pStyle w:val="Normal"/>
              <w:keepNext w:val="true"/>
              <w:snapToGrid w:val="false"/>
              <w:spacing w:before="20" w:after="20" w:line="260" w:lineRule="exact"/>
              <w:jc w:val="center"/>
              <w:rPr>
                <w:sz w:val="18"/>
              </w:rPr>
            </w:pPr>
            <w:r>
              <w:rPr>
                <w:b/>
                <w:bCs/>
                <w:sz w:val="18"/>
                <w:szCs w:val="18"/>
              </w:rPr>
              <w:t xml:space="preserve">代表性企业或项目</w:t>
            </w:r>
          </w:p>
        </w:tc>
      </w:tr>
      <w:tr>
        <w:trPr>
          <w:cantSplit/>
        </w:trPr>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江苏盐城—南通</w:t>
            </w:r>
          </w:p>
        </w:tc>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黄海；长三角基地</w:t>
            </w:r>
          </w:p>
        </w:tc>
        <w:tc>
          <w:tcPr>
            <w:tcW w:w="2608" w:type="dxa"/>
            <w:tcBorders/>
            <w:vAlign w:val="center"/>
          </w:tcPr>
          <w:p>
            <w:pPr>
              <w:pStyle w:val="Normal"/>
              <w:keepNext w:val="true"/>
              <w:snapToGrid w:val="false"/>
              <w:spacing w:before="20" w:after="20" w:line="260" w:lineRule="exact"/>
              <w:jc w:val="start"/>
              <w:rPr>
                <w:sz w:val="18"/>
              </w:rPr>
            </w:pPr>
            <w:r>
              <w:rPr>
                <w:sz w:val="18"/>
                <w:szCs w:val="18"/>
              </w:rPr>
              <w:t xml:space="preserve">开发最早、规模最大，整机产能约占全国40%、叶片约占20%</w:t>
            </w:r>
          </w:p>
        </w:tc>
        <w:tc>
          <w:tcPr>
            <w:tcW w:w="2381" w:type="dxa"/>
            <w:tcBorders/>
            <w:vAlign w:val="center"/>
          </w:tcPr>
          <w:p>
            <w:pPr>
              <w:pStyle w:val="Normal"/>
              <w:keepNext w:val="true"/>
              <w:snapToGrid w:val="false"/>
              <w:spacing w:before="20" w:after="20" w:line="260" w:lineRule="exact"/>
              <w:jc w:val="start"/>
              <w:rPr>
                <w:sz w:val="18"/>
              </w:rPr>
            </w:pPr>
            <w:r>
              <w:rPr>
                <w:sz w:val="18"/>
                <w:szCs w:val="18"/>
              </w:rPr>
              <w:t xml:space="preserve">金风科技、远景能源、中天科技、亨通光电；如东柔直工程</w:t>
            </w:r>
          </w:p>
        </w:tc>
      </w:tr>
      <w:tr>
        <w:trPr>
          <w:cantSplit/>
        </w:trPr>
        <w:tc>
          <w:tcPr>
            <w:tcW w:w="1474" w:type="dxa"/>
            <w:tcBorders/>
            <w:vAlign w:val="center"/>
          </w:tcPr>
          <w:p>
            <w:pPr>
              <w:pStyle w:val="Normal"/>
              <w:keepNext w:val="true"/>
              <w:snapToGrid w:val="false"/>
              <w:spacing w:before="20" w:after="20" w:line="260" w:lineRule="exact"/>
              <w:jc w:val="center"/>
              <w:rPr>
                <w:sz w:val="18"/>
              </w:rPr>
            </w:pPr>
            <w:r>
              <w:rPr>
                <w:sz w:val="18"/>
                <w:szCs w:val="18"/>
              </w:rPr>
              <w:t xml:space="preserve">上海—浙江</w:t>
            </w:r>
          </w:p>
        </w:tc>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东海；长三角基地</w:t>
            </w:r>
          </w:p>
        </w:tc>
        <w:tc>
          <w:tcPr>
            <w:tcW w:w="2608" w:type="dxa"/>
            <w:tcBorders/>
            <w:vAlign w:val="center"/>
          </w:tcPr>
          <w:p>
            <w:pPr>
              <w:pStyle w:val="Normal"/>
              <w:keepNext w:val="true"/>
              <w:snapToGrid w:val="false"/>
              <w:spacing w:before="20" w:after="20" w:line="260" w:lineRule="exact"/>
              <w:jc w:val="start"/>
              <w:rPr>
                <w:sz w:val="18"/>
              </w:rPr>
            </w:pPr>
            <w:r>
              <w:rPr>
                <w:sz w:val="18"/>
                <w:szCs w:val="18"/>
              </w:rPr>
              <w:t xml:space="preserve">研发设计与总部经济，海缆与输电技术示范</w:t>
            </w:r>
          </w:p>
        </w:tc>
        <w:tc>
          <w:tcPr>
            <w:tcW w:w="2381" w:type="dxa"/>
            <w:tcBorders/>
            <w:vAlign w:val="center"/>
          </w:tcPr>
          <w:p>
            <w:pPr>
              <w:pStyle w:val="Normal"/>
              <w:keepNext w:val="true"/>
              <w:snapToGrid w:val="false"/>
              <w:spacing w:before="20" w:after="20" w:line="260" w:lineRule="exact"/>
              <w:jc w:val="start"/>
              <w:rPr>
                <w:sz w:val="18"/>
              </w:rPr>
            </w:pPr>
            <w:r>
              <w:rPr>
                <w:sz w:val="18"/>
                <w:szCs w:val="18"/>
              </w:rPr>
              <w:t xml:space="preserve">电气风电、东方电缆、运达股份；舟山、台州输电示范</w:t>
            </w:r>
          </w:p>
        </w:tc>
      </w:tr>
      <w:tr>
        <w:trPr>
          <w:cantSplit/>
        </w:trPr>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福建福清—漳州</w:t>
            </w:r>
          </w:p>
        </w:tc>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东海；闽南基地</w:t>
            </w:r>
          </w:p>
        </w:tc>
        <w:tc>
          <w:tcPr>
            <w:tcW w:w="2608" w:type="dxa"/>
            <w:tcBorders/>
            <w:vAlign w:val="center"/>
          </w:tcPr>
          <w:p>
            <w:pPr>
              <w:pStyle w:val="Normal"/>
              <w:keepNext w:val="true"/>
              <w:snapToGrid w:val="false"/>
              <w:spacing w:before="20" w:after="20" w:line="260" w:lineRule="exact"/>
              <w:jc w:val="start"/>
              <w:rPr>
                <w:sz w:val="18"/>
              </w:rPr>
            </w:pPr>
            <w:r>
              <w:rPr>
                <w:sz w:val="18"/>
                <w:szCs w:val="18"/>
              </w:rPr>
              <w:t xml:space="preserve">台湾海峡风资源优，大容量机组制造与示范</w:t>
            </w:r>
          </w:p>
        </w:tc>
        <w:tc>
          <w:tcPr>
            <w:tcW w:w="2381" w:type="dxa"/>
            <w:tcBorders/>
            <w:vAlign w:val="center"/>
          </w:tcPr>
          <w:p>
            <w:pPr>
              <w:pStyle w:val="Normal"/>
              <w:keepNext w:val="true"/>
              <w:snapToGrid w:val="false"/>
              <w:spacing w:before="20" w:after="20" w:line="260" w:lineRule="exact"/>
              <w:jc w:val="start"/>
              <w:rPr>
                <w:sz w:val="18"/>
              </w:rPr>
            </w:pPr>
            <w:r>
              <w:rPr>
                <w:sz w:val="18"/>
                <w:szCs w:val="18"/>
              </w:rPr>
              <w:t xml:space="preserve">福建三峡海上风电国际产业园（金风科技、东方电气等）</w:t>
            </w:r>
          </w:p>
        </w:tc>
      </w:tr>
      <w:tr>
        <w:trPr>
          <w:cantSplit/>
        </w:trPr>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广东阳江—粤东</w:t>
            </w:r>
          </w:p>
        </w:tc>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南海；粤东基地及粤西</w:t>
            </w:r>
          </w:p>
        </w:tc>
        <w:tc>
          <w:tcPr>
            <w:tcW w:w="2608" w:type="dxa"/>
            <w:tcBorders/>
            <w:vAlign w:val="center"/>
          </w:tcPr>
          <w:p>
            <w:pPr>
              <w:pStyle w:val="Normal"/>
              <w:keepNext w:val="true"/>
              <w:snapToGrid w:val="false"/>
              <w:spacing w:before="20" w:after="20" w:line="260" w:lineRule="exact"/>
              <w:jc w:val="start"/>
              <w:rPr>
                <w:sz w:val="18"/>
              </w:rPr>
            </w:pPr>
            <w:r>
              <w:rPr>
                <w:sz w:val="18"/>
                <w:szCs w:val="18"/>
              </w:rPr>
              <w:t xml:space="preserve">全产业链集聚，抗台风与漂浮式技术示范</w:t>
            </w:r>
          </w:p>
        </w:tc>
        <w:tc>
          <w:tcPr>
            <w:tcW w:w="2381" w:type="dxa"/>
            <w:tcBorders/>
            <w:vAlign w:val="center"/>
          </w:tcPr>
          <w:p>
            <w:pPr>
              <w:pStyle w:val="Normal"/>
              <w:keepNext w:val="true"/>
              <w:snapToGrid w:val="false"/>
              <w:spacing w:before="20" w:after="20" w:line="260" w:lineRule="exact"/>
              <w:jc w:val="start"/>
              <w:rPr>
                <w:sz w:val="18"/>
              </w:rPr>
            </w:pPr>
            <w:r>
              <w:rPr>
                <w:sz w:val="18"/>
                <w:szCs w:val="18"/>
              </w:rPr>
              <w:t xml:space="preserve">明阳智能、金风科技、东方电缆、中天科技；引领号、领航号</w:t>
            </w:r>
          </w:p>
        </w:tc>
      </w:tr>
      <w:tr>
        <w:trPr>
          <w:cantSplit/>
        </w:trPr>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山东烟台—东营—威海</w:t>
            </w:r>
          </w:p>
        </w:tc>
        <w:tc>
          <w:tcPr>
            <w:tcW w:w="1474" w:type="dxa"/>
            <w:tcBorders/>
            <w:vAlign w:val="center"/>
          </w:tcPr>
          <w:p>
            <w:pPr>
              <w:pStyle w:val="Normal"/>
              <w:keepNext w:val="true"/>
              <w:snapToGrid w:val="false"/>
              <w:spacing w:before="20" w:after="20" w:line="260" w:lineRule="exact"/>
              <w:jc w:val="start"/>
              <w:rPr>
                <w:sz w:val="18"/>
              </w:rPr>
            </w:pPr>
            <w:r>
              <w:rPr>
                <w:sz w:val="18"/>
                <w:szCs w:val="18"/>
              </w:rPr>
              <w:t xml:space="preserve">黄渤海；山东半岛基地</w:t>
            </w:r>
          </w:p>
        </w:tc>
        <w:tc>
          <w:tcPr>
            <w:tcW w:w="2608" w:type="dxa"/>
            <w:tcBorders/>
            <w:vAlign w:val="center"/>
          </w:tcPr>
          <w:p>
            <w:pPr>
              <w:pStyle w:val="Normal"/>
              <w:keepNext w:val="true"/>
              <w:snapToGrid w:val="false"/>
              <w:spacing w:before="20" w:after="20" w:line="260" w:lineRule="exact"/>
              <w:jc w:val="start"/>
              <w:rPr>
                <w:sz w:val="18"/>
              </w:rPr>
            </w:pPr>
            <w:r>
              <w:rPr>
                <w:sz w:val="18"/>
                <w:szCs w:val="18"/>
              </w:rPr>
              <w:t xml:space="preserve">海工装备与重型钢结构优势，“海上风电+”融合</w:t>
            </w:r>
          </w:p>
        </w:tc>
        <w:tc>
          <w:tcPr>
            <w:tcW w:w="2381" w:type="dxa"/>
            <w:tcBorders/>
            <w:vAlign w:val="center"/>
          </w:tcPr>
          <w:p>
            <w:pPr>
              <w:pStyle w:val="Normal"/>
              <w:keepNext w:val="true"/>
              <w:snapToGrid w:val="false"/>
              <w:spacing w:before="20" w:after="20" w:line="260" w:lineRule="exact"/>
              <w:jc w:val="start"/>
              <w:rPr>
                <w:sz w:val="18"/>
              </w:rPr>
            </w:pPr>
            <w:r>
              <w:rPr>
                <w:sz w:val="18"/>
                <w:szCs w:val="18"/>
              </w:rPr>
              <w:t xml:space="preserve">大金重工、中集来福士等</w:t>
            </w:r>
          </w:p>
        </w:tc>
      </w:tr>
      <w:tr>
        <w:trPr>
          <w:cantSplit/>
        </w:trPr>
        <w:tc>
          <w:tcPr>
            <w:tcW w:w="1474" w:type="dxa"/>
            <w:tcBorders>
              <w:bottom w:val="single" w:sz="12" w:space="0" w:color="000000"/>
            </w:tcBorders>
            <w:vAlign w:val="center"/>
          </w:tcPr>
          <w:p>
            <w:pPr>
              <w:pStyle w:val="Normal"/>
              <w:snapToGrid w:val="false"/>
              <w:spacing w:before="20" w:after="20" w:line="260" w:lineRule="exact"/>
              <w:jc w:val="center"/>
              <w:rPr>
                <w:sz w:val="18"/>
              </w:rPr>
            </w:pPr>
            <w:r>
              <w:rPr>
                <w:sz w:val="18"/>
                <w:szCs w:val="18"/>
              </w:rPr>
              <w:t xml:space="preserve">广西—海南</w:t>
            </w:r>
          </w:p>
        </w:tc>
        <w:tc>
          <w:tcPr>
            <w:tcW w:w="1474"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南海；北部湾基地</w:t>
            </w:r>
          </w:p>
        </w:tc>
        <w:tc>
          <w:tcPr>
            <w:tcW w:w="2608"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起步较晚，深远海示范，面向东盟市场</w:t>
            </w:r>
          </w:p>
        </w:tc>
        <w:tc>
          <w:tcPr>
            <w:tcW w:w="2381" w:type="dxa"/>
            <w:tcBorders>
              <w:bottom w:val="single" w:sz="12" w:space="0" w:color="000000"/>
            </w:tcBorders>
            <w:vAlign w:val="center"/>
          </w:tcPr>
          <w:p>
            <w:pPr>
              <w:pStyle w:val="Normal"/>
              <w:snapToGrid w:val="false"/>
              <w:spacing w:before="20" w:after="20" w:line="260" w:lineRule="exact"/>
              <w:jc w:val="start"/>
              <w:rPr>
                <w:sz w:val="18"/>
              </w:rPr>
            </w:pPr>
            <w:r>
              <w:rPr>
                <w:sz w:val="18"/>
                <w:szCs w:val="18"/>
              </w:rPr>
              <w:t xml:space="preserve">观澜号（海南文昌）等</w:t>
            </w:r>
          </w:p>
        </w:tc>
      </w:tr>
    </w:tbl>
    <w:p>
      <w:pPr>
        <w:pStyle w:val="Normal"/>
        <w:spacing w:lineRule="exact" w:line="240"/>
        <w:rPr>
          <w:sz w:val="12"/>
        </w:rPr>
      </w:pPr>
    </w:p>
    <w:p>
      <w:pPr>
        <w:pStyle w:val="Normal"/>
        <w:spacing w:lineRule="exact" w:line="360"/>
        <w:ind w:firstLine="482" w:end="0"/>
        <w:rPr>
          <w:sz w:val="21"/>
          <w:szCs w:val="21"/>
        </w:rPr>
      </w:pPr>
      <w:r>
        <w:rPr>
          <w:sz w:val="21"/>
          <w:szCs w:val="21"/>
        </w:rPr>
        <w:t xml:space="preserve">（1）江苏盐城—南通集群。江苏是我国海上风电的发源地和规模最大的省份。盐城集聚了整机、叶片、塔筒、海缆等全链条企业，海上风电整机产能约占全国40%，叶片产能约占全国20%</w:t>
      </w:r>
      <w:r>
        <w:rPr>
          <w:vertAlign w:val="superscript"/>
          <w:sz w:val="21"/>
          <w:szCs w:val="21"/>
        </w:rPr>
        <w:t xml:space="preserve">[4]</w:t>
      </w:r>
      <w:r>
        <w:rPr>
          <w:sz w:val="21"/>
          <w:szCs w:val="21"/>
        </w:rPr>
        <w:t xml:space="preserve">；南通如东则以海上风电场开发、海工装备制造和柔直送出工程见长。该集群的技术特色是潮间带与近海浅水施工技术成熟、柔性直流送出经验丰富。</w:t>
      </w:r>
    </w:p>
    <w:p>
      <w:pPr>
        <w:pStyle w:val="Normal"/>
        <w:spacing w:lineRule="exact" w:line="360"/>
        <w:ind w:firstLine="482" w:end="0"/>
        <w:rPr>
          <w:sz w:val="21"/>
          <w:szCs w:val="21"/>
        </w:rPr>
      </w:pPr>
      <w:r>
        <w:rPr>
          <w:sz w:val="21"/>
          <w:szCs w:val="21"/>
        </w:rPr>
        <w:t xml:space="preserve">（2）广东阳江—粤东集群。阳江自2017年核准首个海上风电项目起步，用约9年时间成为全国海上风电并网规模第一的地级市；明阳智能、金风科技、东方电缆等40余个核心项目落地，总投资超过400亿元，2025年海上风电装备制造产业链企业产值超过187亿元、同比增长约59%</w:t>
      </w:r>
      <w:r>
        <w:rPr>
          <w:vertAlign w:val="superscript"/>
          <w:sz w:val="21"/>
          <w:szCs w:val="21"/>
        </w:rPr>
        <w:t xml:space="preserve">[5]</w:t>
      </w:r>
      <w:r>
        <w:rPr>
          <w:sz w:val="21"/>
          <w:szCs w:val="21"/>
        </w:rPr>
        <w:t xml:space="preserve">。汕头以整机、叶片、齿轮箱和检测认证为特色，汕尾布局海缆和整机基地。由于南海台风频发、海域水深大，该集群形成了抗台风机组与漂浮式技术的鲜明特色。</w:t>
      </w:r>
    </w:p>
    <w:p>
      <w:pPr>
        <w:pStyle w:val="Normal"/>
        <w:spacing w:lineRule="exact" w:line="360"/>
        <w:ind w:firstLine="482" w:end="0"/>
        <w:rPr>
          <w:sz w:val="21"/>
          <w:szCs w:val="21"/>
        </w:rPr>
      </w:pPr>
      <w:r>
        <w:rPr>
          <w:sz w:val="21"/>
          <w:szCs w:val="21"/>
        </w:rPr>
        <w:t xml:space="preserve">（3）福建福清—漳州集群。台湾海峡“狭管效应”显著，风资源条件居全国前列，适合大容量机组。福清江阴港的福建三峡海上风电国际产业园集聚了整机、发电机、叶片等制造企业，16 MW级机组较早在福建海域投运。但福建海床基岩埋深浅，需采用嵌岩桩或导管架基础，施工难度和成本较高，是该集群面临的主要技术问题。</w:t>
      </w:r>
    </w:p>
    <w:p>
      <w:pPr>
        <w:pStyle w:val="Normal"/>
        <w:spacing w:lineRule="exact" w:line="360"/>
        <w:ind w:firstLine="482" w:end="0"/>
        <w:rPr>
          <w:sz w:val="21"/>
          <w:szCs w:val="21"/>
        </w:rPr>
      </w:pPr>
      <w:r>
        <w:rPr>
          <w:sz w:val="21"/>
          <w:szCs w:val="21"/>
        </w:rPr>
        <w:t xml:space="preserve">（4）山东半岛集群。山东海上风电规模化开发起步于“十四五”时期，烟台蓬莱、东营、威海等港口集聚了塔筒、单桩、导管架和海工平台制造企业，部分单桩产品出口欧洲。渤海海域存在海冰、航道和军事用海等约束，基础需考虑抗冰设计，因此该集群积极探索海上风电与海洋牧场融合发展。</w:t>
      </w:r>
    </w:p>
    <w:p>
      <w:pPr>
        <w:pStyle w:val="Normal"/>
        <w:spacing w:lineRule="exact" w:line="360"/>
        <w:ind w:firstLine="482" w:end="0"/>
        <w:rPr>
          <w:sz w:val="21"/>
          <w:szCs w:val="21"/>
        </w:rPr>
      </w:pPr>
      <w:r>
        <w:rPr>
          <w:sz w:val="21"/>
          <w:szCs w:val="21"/>
        </w:rPr>
        <w:t xml:space="preserve">（5）上海—浙江集群与北部湾集群。上海临港、浙江宁波和舟山以研发设计、整机总部、海缆制造和输电技术示范见长，舟山多端柔直、台州柔性低频交流等工程在此开展；北部湾及海南集群起步较晚，但毗邻南海深远海资源并面向东盟市场，“观澜号”等深远海漂浮式项目使其在深远海技术示范方面具有后发优势。</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4.3 集群布局的形成机制</w:t>
      </w:r>
    </w:p>
    <w:p>
      <w:pPr>
        <w:pStyle w:val="Normal"/>
        <w:spacing w:lineRule="exact" w:line="360"/>
        <w:ind w:firstLine="482" w:end="0"/>
        <w:rPr>
          <w:sz w:val="21"/>
          <w:szCs w:val="21"/>
        </w:rPr>
      </w:pPr>
      <w:r>
        <w:rPr>
          <w:sz w:val="21"/>
          <w:szCs w:val="21"/>
        </w:rPr>
        <w:t xml:space="preserve">（1）大部件物流决定区位。120 m级叶片、数百吨的机舱和2000 t级单桩无法经济地进行陆路运输，整机总装、叶片、塔筒、基础和海缆等大部件制造必须靠近重件码头并实现“下线即装船”，同时要控制到风电场的海上运输距离，这是海上风电产业集群沿海布局的根本技术原因。</w:t>
      </w:r>
    </w:p>
    <w:p>
      <w:pPr>
        <w:pStyle w:val="Normal"/>
        <w:spacing w:lineRule="exact" w:line="360"/>
        <w:ind w:firstLine="482" w:end="0"/>
        <w:rPr>
          <w:sz w:val="21"/>
          <w:szCs w:val="21"/>
        </w:rPr>
      </w:pPr>
      <w:r>
        <w:rPr>
          <w:sz w:val="21"/>
          <w:szCs w:val="21"/>
        </w:rPr>
        <w:t xml:space="preserve">（2）港口与岸线资源构成硬约束。大型化要求码头具有更大的承载力、前沿水深和堆场面积，射阳港、大丰港、阳江港、福清江阴港、蓬莱港等具备重件码头条件的港口成为集群的空间载体。</w:t>
      </w:r>
    </w:p>
    <w:p>
      <w:pPr>
        <w:pStyle w:val="Normal"/>
        <w:spacing w:lineRule="exact" w:line="360"/>
        <w:ind w:firstLine="482" w:end="0"/>
        <w:rPr>
          <w:sz w:val="21"/>
          <w:szCs w:val="21"/>
        </w:rPr>
      </w:pPr>
      <w:r>
        <w:rPr>
          <w:sz w:val="21"/>
          <w:szCs w:val="21"/>
        </w:rPr>
        <w:t xml:space="preserve">（3）地方政策“资源换产业”。部分沿海省份在海上风电资源竞争性配置中将装备制造落地作为重要条件，整机企业为获取项目资源而“跟着项目走”布局，加速了集群形成，但也导致了重复布局。</w:t>
      </w:r>
    </w:p>
    <w:p>
      <w:pPr>
        <w:pStyle w:val="Normal"/>
        <w:spacing w:lineRule="exact" w:line="360"/>
        <w:ind w:firstLine="482" w:end="0"/>
        <w:rPr>
          <w:sz w:val="21"/>
          <w:szCs w:val="21"/>
        </w:rPr>
      </w:pPr>
      <w:r>
        <w:rPr>
          <w:sz w:val="21"/>
          <w:szCs w:val="21"/>
        </w:rPr>
        <w:t xml:space="preserve">（4）龙头企业与创新要素带动。整机企业作为链主带动叶片、塔筒、海缆等配套企业就近集聚，研发设计、检测认证等高端环节则更多布局在上海、深圳、北京等创新资源密集城市。</w:t>
      </w: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5 制约因素分析</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5.1 关键技术与核心部件制约</w:t>
      </w:r>
    </w:p>
    <w:p>
      <w:pPr>
        <w:pStyle w:val="Normal"/>
        <w:spacing w:lineRule="exact" w:line="360"/>
        <w:ind w:firstLine="482" w:end="0"/>
        <w:rPr>
          <w:sz w:val="21"/>
          <w:szCs w:val="21"/>
        </w:rPr>
      </w:pPr>
      <w:r>
        <w:rPr>
          <w:sz w:val="21"/>
          <w:szCs w:val="21"/>
        </w:rPr>
        <w:t xml:space="preserve">（1）核心部件存在“卡脖子”环节。主轴承、高压大功率IGBT、高性能碳纤维、直流海缆超净绝缘料和设计仿真软件对外依存度较高，一旦受到供应限制，将直接影响整机交付和大兆瓦机组的迭代速度。</w:t>
      </w:r>
    </w:p>
    <w:p>
      <w:pPr>
        <w:pStyle w:val="Normal"/>
        <w:spacing w:lineRule="exact" w:line="360"/>
        <w:ind w:firstLine="482" w:end="0"/>
        <w:rPr>
          <w:sz w:val="21"/>
          <w:szCs w:val="21"/>
        </w:rPr>
      </w:pPr>
      <w:r>
        <w:rPr>
          <w:sz w:val="21"/>
          <w:szCs w:val="21"/>
        </w:rPr>
        <w:t xml:space="preserve">（2）大型化带来可靠性挑战。近年海上机组约1～2年更新一代，样机运行验证时间不足，叶片开裂、轴承和齿轮箱失效等质量问题时有发生，而海上更换大部件需动用安装船，代价远高于陆上。同时，国内能覆盖20 MW级以上机组的全尺寸传动链试验台和叶片测试平台仍然有限。</w:t>
      </w:r>
    </w:p>
    <w:p>
      <w:pPr>
        <w:pStyle w:val="Normal"/>
        <w:spacing w:lineRule="exact" w:line="360"/>
        <w:ind w:firstLine="482" w:end="0"/>
        <w:rPr>
          <w:sz w:val="21"/>
          <w:szCs w:val="21"/>
        </w:rPr>
      </w:pPr>
      <w:r>
        <w:rPr>
          <w:sz w:val="21"/>
          <w:szCs w:val="21"/>
        </w:rPr>
        <w:t xml:space="preserve">（3）深远海送出成本高。深远海风电场离岸距离通常超过70 km，需采用柔性直流送出，海上换流平台体积和重量大，建设成本高，多端组网与直流故障隔离等技术仍有待工程验证</w:t>
      </w:r>
      <w:r>
        <w:rPr>
          <w:vertAlign w:val="superscript"/>
          <w:sz w:val="21"/>
          <w:szCs w:val="21"/>
        </w:rPr>
        <w:t xml:space="preserve">[6]</w:t>
      </w:r>
      <w:r>
        <w:rPr>
          <w:sz w:val="21"/>
          <w:szCs w:val="21"/>
        </w:rPr>
        <w:t xml:space="preserve">。</w:t>
      </w:r>
    </w:p>
    <w:p>
      <w:pPr>
        <w:pStyle w:val="Normal"/>
        <w:spacing w:lineRule="exact" w:line="360"/>
        <w:ind w:firstLine="482" w:end="0"/>
        <w:rPr>
          <w:sz w:val="21"/>
          <w:szCs w:val="21"/>
        </w:rPr>
      </w:pPr>
      <w:r>
        <w:rPr>
          <w:sz w:val="21"/>
          <w:szCs w:val="21"/>
        </w:rPr>
        <w:t xml:space="preserve">（4）漂浮式技术尚未具备经济性。目前漂浮式风电单位造价约为固定式的2～3倍，系泊系统与动态海缆疲劳、风浪流耦合动力学与控制等问题尚未完全解决，南海超强台风对漂浮式平台的极端载荷也提出了更高要求，我国漂浮式项目仍处于单机或小规模示范阶段。</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5.2 资源与政策制约</w:t>
      </w:r>
    </w:p>
    <w:p>
      <w:pPr>
        <w:pStyle w:val="Normal"/>
        <w:spacing w:lineRule="exact" w:line="360"/>
        <w:ind w:firstLine="482" w:end="0"/>
        <w:rPr>
          <w:sz w:val="21"/>
          <w:szCs w:val="21"/>
        </w:rPr>
      </w:pPr>
      <w:r>
        <w:rPr>
          <w:sz w:val="21"/>
          <w:szCs w:val="21"/>
        </w:rPr>
        <w:t xml:space="preserve">（1）用海约束趋紧。近海风电场需避让生态保护红线、航道锚地、军事用海和渔业养殖区，可开发的近海资源日益有限；而领海以外的深远海项目在用海审批、海域管辖和环境评价等方面的管理制度仍在完善中，前期工作周期较长。</w:t>
      </w:r>
    </w:p>
    <w:p>
      <w:pPr>
        <w:pStyle w:val="Normal"/>
        <w:spacing w:lineRule="exact" w:line="360"/>
        <w:ind w:firstLine="482" w:end="0"/>
        <w:rPr>
          <w:sz w:val="21"/>
          <w:szCs w:val="21"/>
        </w:rPr>
      </w:pPr>
      <w:r>
        <w:rPr>
          <w:sz w:val="21"/>
          <w:szCs w:val="21"/>
        </w:rPr>
        <w:t xml:space="preserve">（2）收益不确定性上升。平价上网后海上风电失去补贴支持，2025年新能源上网电价市场化改革后电价随市场波动</w:t>
      </w:r>
      <w:r>
        <w:rPr>
          <w:vertAlign w:val="superscript"/>
          <w:sz w:val="21"/>
          <w:szCs w:val="21"/>
        </w:rPr>
        <w:t xml:space="preserve">[10]</w:t>
      </w:r>
      <w:r>
        <w:rPr>
          <w:sz w:val="21"/>
          <w:szCs w:val="21"/>
        </w:rPr>
        <w:t xml:space="preserve">，开发商投资趋于谨慎。如图4所示，海上风电在全国风电新增装机中的比重由2021年的25.9%降至2025年的4.2%</w:t>
      </w:r>
      <w:r>
        <w:rPr>
          <w:vertAlign w:val="superscript"/>
          <w:sz w:val="21"/>
          <w:szCs w:val="21"/>
        </w:rPr>
        <w:t xml:space="preserve">[9]</w:t>
      </w:r>
      <w:r>
        <w:rPr>
          <w:sz w:val="21"/>
          <w:szCs w:val="21"/>
        </w:rPr>
        <w:t xml:space="preserve">，市场需求相对陆上风电明显偏弱。</w:t>
      </w:r>
    </w:p>
    <w:p>
      <w:pPr>
        <w:pStyle w:val="Normal"/>
        <w:keepNext w:val="true"/>
        <w:spacing w:before="120"/>
        <w:jc w:val="center"/>
      </w:pPr>
      <w:r>
        <w:drawing>
          <wp:inline distT="0" distB="0" distL="0" distR="0">
            <wp:extent cx="3780000" cy="1852941"/>
            <wp:effectExtent l="0" t="0" r="0" b="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pic:cNvPicPr>
                      <a:picLocks noChangeAspect="1"/>
                    </pic:cNvPicPr>
                  </pic:nvPicPr>
                  <pic:blipFill>
                    <a:blip r:embed="rIdFig4"/>
                    <a:stretch>
                      <a:fillRect/>
                    </a:stretch>
                  </pic:blipFill>
                  <pic:spPr>
                    <a:xfrm>
                      <a:off x="0" y="0"/>
                      <a:ext cx="3780000" cy="1852941"/>
                    </a:xfrm>
                    <a:prstGeom prst="rect">
                      <a:avLst/>
                    </a:prstGeom>
                  </pic:spPr>
                </pic:pic>
              </a:graphicData>
            </a:graphic>
          </wp:inline>
        </w:drawing>
      </w:r>
    </w:p>
    <w:p>
      <w:pPr>
        <w:pStyle w:val="Normal"/>
        <w:snapToGrid w:val="false"/>
        <w:spacing w:before="60" w:after="120"/>
        <w:jc w:val="center"/>
        <w:rPr>
          <w:sz w:val="18"/>
        </w:rPr>
      </w:pPr>
      <w:r>
        <w:rPr>
          <w:sz w:val="18"/>
          <w:szCs w:val="18"/>
        </w:rPr>
        <w:t xml:space="preserve">图4 2021—2025年海上风电占全国风电新增装机比重（数据来源：CWEA）</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5.3 产业集群层面的制约</w:t>
      </w:r>
    </w:p>
    <w:p>
      <w:pPr>
        <w:pStyle w:val="Normal"/>
        <w:spacing w:lineRule="exact" w:line="360"/>
        <w:ind w:firstLine="482" w:end="0"/>
        <w:rPr>
          <w:sz w:val="21"/>
          <w:szCs w:val="21"/>
        </w:rPr>
      </w:pPr>
      <w:r>
        <w:rPr>
          <w:sz w:val="21"/>
          <w:szCs w:val="21"/>
        </w:rPr>
        <w:t xml:space="preserve">（1）同质化布局与产能过剩。多数沿海省份都在争相引进整机、叶片、塔筒和海缆项目，导致整机等环节的名义产能远超年度需求，引发低价竞争，海上风电机组投标价格较2020年前后降幅超过一半，压缩了企业研发投入空间并带来质量隐患。</w:t>
      </w:r>
    </w:p>
    <w:p>
      <w:pPr>
        <w:pStyle w:val="Normal"/>
        <w:spacing w:lineRule="exact" w:line="360"/>
        <w:ind w:firstLine="482" w:end="0"/>
        <w:rPr>
          <w:sz w:val="21"/>
          <w:szCs w:val="21"/>
        </w:rPr>
      </w:pPr>
      <w:r>
        <w:rPr>
          <w:sz w:val="21"/>
          <w:szCs w:val="21"/>
        </w:rPr>
        <w:t xml:space="preserve">（2）地方保护与市场分割。“资源换产业”使机组选型在一定程度上受制于本地落地条件，而非全生命周期度电成本最优，不利于全国统一大市场建设和优势企业规模化发展。</w:t>
      </w:r>
    </w:p>
    <w:p>
      <w:pPr>
        <w:pStyle w:val="Normal"/>
        <w:spacing w:lineRule="exact" w:line="360"/>
        <w:ind w:firstLine="482" w:end="0"/>
        <w:rPr>
          <w:sz w:val="21"/>
          <w:szCs w:val="21"/>
        </w:rPr>
      </w:pPr>
      <w:r>
        <w:rPr>
          <w:sz w:val="21"/>
          <w:szCs w:val="21"/>
        </w:rPr>
        <w:t xml:space="preserve">（3）港口与施工资源不匹配。机组大型化要求重件码头和安装船同步升级，而运维母港、大部件维修基地等后市场基础设施布局相对滞后。</w:t>
      </w: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6 发展趋势与布局优化建议</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6.1 技术与产业发展趋势</w:t>
      </w:r>
    </w:p>
    <w:p>
      <w:pPr>
        <w:pStyle w:val="Normal"/>
        <w:spacing w:lineRule="exact" w:line="360"/>
        <w:ind w:firstLine="482" w:end="0"/>
        <w:rPr>
          <w:sz w:val="21"/>
          <w:szCs w:val="21"/>
        </w:rPr>
      </w:pPr>
      <w:r>
        <w:rPr>
          <w:sz w:val="21"/>
          <w:szCs w:val="21"/>
        </w:rPr>
        <w:t xml:space="preserve">（1）持续大型化与轻量化。15～20 MW机组将成为主流，25 MW级以上机组和150 m以上叶片进入工程应用，碳纤维主梁、紧凑型中速传动链和模块化设计将进一步降低单位千瓦重量。</w:t>
      </w:r>
    </w:p>
    <w:p>
      <w:pPr>
        <w:pStyle w:val="Normal"/>
        <w:spacing w:lineRule="exact" w:line="360"/>
        <w:ind w:firstLine="482" w:end="0"/>
        <w:rPr>
          <w:sz w:val="21"/>
          <w:szCs w:val="21"/>
        </w:rPr>
      </w:pPr>
      <w:r>
        <w:rPr>
          <w:sz w:val="21"/>
          <w:szCs w:val="21"/>
        </w:rPr>
        <w:t xml:space="preserve">（2）由近海走向深远海。据行业预测，2026—2030年我国海上风电年均新增约1000万千瓦，到2030年累计并网规模有望超过1亿千瓦</w:t>
      </w:r>
      <w:r>
        <w:rPr>
          <w:vertAlign w:val="superscript"/>
          <w:sz w:val="21"/>
          <w:szCs w:val="21"/>
        </w:rPr>
        <w:t xml:space="preserve">[12]</w:t>
      </w:r>
      <w:r>
        <w:rPr>
          <w:sz w:val="21"/>
          <w:szCs w:val="21"/>
        </w:rPr>
        <w:t xml:space="preserve">；漂浮式风电将由单机示范走向规模化示范，并逐步实现商业化。</w:t>
      </w:r>
    </w:p>
    <w:p>
      <w:pPr>
        <w:pStyle w:val="Normal"/>
        <w:spacing w:lineRule="exact" w:line="360"/>
        <w:ind w:firstLine="482" w:end="0"/>
        <w:rPr>
          <w:sz w:val="21"/>
          <w:szCs w:val="21"/>
        </w:rPr>
      </w:pPr>
      <w:r>
        <w:rPr>
          <w:sz w:val="21"/>
          <w:szCs w:val="21"/>
        </w:rPr>
        <w:t xml:space="preserve">（3）送出技术升级。±500 kV级柔性直流、轻型化海上换流平台、多端直流组网、柔性低频交流和66 kV集电系统将成为深远海送出的主要技术方向</w:t>
      </w:r>
      <w:r>
        <w:rPr>
          <w:vertAlign w:val="superscript"/>
          <w:sz w:val="21"/>
          <w:szCs w:val="21"/>
        </w:rPr>
        <w:t xml:space="preserve">[7]</w:t>
      </w:r>
      <w:r>
        <w:rPr>
          <w:sz w:val="21"/>
          <w:szCs w:val="21"/>
        </w:rPr>
        <w:t xml:space="preserve">。</w:t>
      </w:r>
    </w:p>
    <w:p>
      <w:pPr>
        <w:pStyle w:val="Normal"/>
        <w:spacing w:lineRule="exact" w:line="360"/>
        <w:ind w:firstLine="482" w:end="0"/>
        <w:rPr>
          <w:sz w:val="21"/>
          <w:szCs w:val="21"/>
        </w:rPr>
      </w:pPr>
      <w:r>
        <w:rPr>
          <w:sz w:val="21"/>
          <w:szCs w:val="21"/>
        </w:rPr>
        <w:t xml:space="preserve">（4）多能融合与智能化。“海上风电+海洋牧场”“海上风电+制氢”“海上风电+储能”等融合开发模式逐步推广，数字孪生、智能监测和无人化运维提高运行可靠性。</w:t>
      </w:r>
    </w:p>
    <w:p>
      <w:pPr>
        <w:pStyle w:val="Normal"/>
        <w:spacing w:lineRule="exact" w:line="360"/>
        <w:ind w:firstLine="482" w:end="0"/>
        <w:rPr>
          <w:sz w:val="21"/>
          <w:szCs w:val="21"/>
        </w:rPr>
      </w:pPr>
      <w:r>
        <w:rPr>
          <w:sz w:val="21"/>
          <w:szCs w:val="21"/>
        </w:rPr>
        <w:t xml:space="preserve">（5）产业链加快“出海”。我国整机、单桩、海缆等产品已具备国际竞争力，2025年全球新增装机排名前五的整机供应商均来自中国，东南亚、欧洲等海外市场将成为国内产业链的重要增量。</w:t>
      </w:r>
    </w:p>
    <w:p>
      <w:pPr>
        <w:pStyle w:val="Normal"/>
        <w:keepNext w:val="true"/>
        <w:snapToGrid w:val="false"/>
        <w:spacing w:before="120" w:after="60"/>
        <w:ind w:firstLine="0"/>
        <w:rPr>
          <w:b/>
          <w:sz w:val="24"/>
        </w:rPr>
      </w:pPr>
      <w:r>
        <w:rPr>
          <w:rFonts w:ascii="Times New Roman" w:hAnsi="Times New Roman" w:eastAsia="黑体"/>
          <w:b/>
          <w:bCs/>
          <w:sz w:val="24"/>
          <w:szCs w:val="24"/>
        </w:rPr>
        <w:t xml:space="preserve">6.2 产业集群布局优化建议</w:t>
      </w:r>
    </w:p>
    <w:p>
      <w:pPr>
        <w:pStyle w:val="Normal"/>
        <w:spacing w:lineRule="exact" w:line="360"/>
        <w:ind w:firstLine="482" w:end="0"/>
        <w:rPr>
          <w:sz w:val="21"/>
          <w:szCs w:val="21"/>
        </w:rPr>
      </w:pPr>
      <w:r>
        <w:rPr>
          <w:sz w:val="21"/>
          <w:szCs w:val="21"/>
        </w:rPr>
        <w:t xml:space="preserve">（1）按海域统筹构建集群体系。以渤海、黄海、东海、南海四大海域基地为单元，每个海域重点培育1～2个全产业链核心集群，其余城市发展专业化配套节点，避免省际重复建设。</w:t>
      </w:r>
    </w:p>
    <w:p>
      <w:pPr>
        <w:pStyle w:val="Normal"/>
        <w:spacing w:lineRule="exact" w:line="360"/>
        <w:ind w:firstLine="482" w:end="0"/>
        <w:rPr>
          <w:sz w:val="21"/>
          <w:szCs w:val="21"/>
        </w:rPr>
      </w:pPr>
      <w:r>
        <w:rPr>
          <w:sz w:val="21"/>
          <w:szCs w:val="21"/>
        </w:rPr>
        <w:t xml:space="preserve">（2）推动集群差异化分工。江苏侧重大兆瓦整机研发制造、柔直送出与运维服务；上海、浙江侧重研发设计、海缆和电力电子装备；福建侧重强风海域机组与嵌岩基础施工技术；广东侧重抗台风机组、漂浮式与深远海装备及检测认证；山东侧重海工装备、重型钢结构出口和“海上风电+”；北部湾及海南侧重深远海示范和面向东盟的装备出口。</w:t>
      </w:r>
    </w:p>
    <w:p>
      <w:pPr>
        <w:pStyle w:val="Normal"/>
        <w:spacing w:lineRule="exact" w:line="360"/>
        <w:ind w:firstLine="482" w:end="0"/>
        <w:rPr>
          <w:sz w:val="21"/>
          <w:szCs w:val="21"/>
        </w:rPr>
      </w:pPr>
      <w:r>
        <w:rPr>
          <w:sz w:val="21"/>
          <w:szCs w:val="21"/>
        </w:rPr>
        <w:t xml:space="preserve">（3）补链强链攻关核心技术。集中力量攻关主轴承、大功率IGBT、碳纤维、直流海缆绝缘料和设计仿真软件，建设国家级大功率传动链试验台、叶片全尺寸测试平台和漂浮式风电试验场，缩短大型机组验证周期。</w:t>
      </w:r>
    </w:p>
    <w:p>
      <w:pPr>
        <w:pStyle w:val="Normal"/>
        <w:spacing w:lineRule="exact" w:line="360"/>
        <w:ind w:firstLine="482" w:end="0"/>
        <w:rPr>
          <w:sz w:val="21"/>
          <w:szCs w:val="21"/>
        </w:rPr>
      </w:pPr>
      <w:r>
        <w:rPr>
          <w:sz w:val="21"/>
          <w:szCs w:val="21"/>
        </w:rPr>
        <w:t xml:space="preserve">（4）规范“资源换产业”。落实公平竞争审查制度，在资源配置中以技术水平、度电成本和全生命周期可靠性为主要评价标准，引导产能向优势集群集中。</w:t>
      </w:r>
    </w:p>
    <w:p>
      <w:pPr>
        <w:pStyle w:val="Normal"/>
        <w:spacing w:lineRule="exact" w:line="360"/>
        <w:ind w:firstLine="482" w:end="0"/>
        <w:rPr>
          <w:sz w:val="21"/>
          <w:szCs w:val="21"/>
        </w:rPr>
      </w:pPr>
      <w:r>
        <w:rPr>
          <w:sz w:val="21"/>
          <w:szCs w:val="21"/>
        </w:rPr>
        <w:t xml:space="preserve">（5）统筹港口与船机资源。规划建设区域性风电母港和运维基地，推动重件码头、安装船、运维船等资源跨区域共享，提高利用效率。</w:t>
      </w: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结  论</w:t>
      </w:r>
    </w:p>
    <w:p>
      <w:pPr>
        <w:pStyle w:val="Normal"/>
        <w:spacing w:lineRule="exact" w:line="360"/>
        <w:ind w:firstLine="482" w:end="0"/>
        <w:rPr>
          <w:sz w:val="21"/>
          <w:szCs w:val="21"/>
        </w:rPr>
      </w:pPr>
      <w:r>
        <w:rPr>
          <w:sz w:val="21"/>
          <w:szCs w:val="21"/>
        </w:rPr>
        <w:t xml:space="preserve">1）我国海上风电已进入规模化、平价化发展阶段。截至2025年底累计并网容量约4700万千瓦，连续5年居全球首位，单机容量迈入20 MW级，送出技术由高压交流向柔性直流发展，漂浮式技术完成多项示范。</w:t>
      </w:r>
    </w:p>
    <w:p>
      <w:pPr>
        <w:pStyle w:val="Normal"/>
        <w:spacing w:lineRule="exact" w:line="360"/>
        <w:ind w:firstLine="482" w:end="0"/>
        <w:rPr>
          <w:sz w:val="21"/>
          <w:szCs w:val="21"/>
        </w:rPr>
      </w:pPr>
      <w:r>
        <w:rPr>
          <w:sz w:val="21"/>
          <w:szCs w:val="21"/>
        </w:rPr>
        <w:t xml:space="preserve">2）我国已形成完整的海上风电产业链，整机、叶片、海缆、基础等环节具有国际竞争力，短板集中在主轴承、大功率IGBT、高性能复合材料和设计仿真软件等深层次环节。</w:t>
      </w:r>
    </w:p>
    <w:p>
      <w:pPr>
        <w:pStyle w:val="Normal"/>
        <w:spacing w:lineRule="exact" w:line="360"/>
        <w:ind w:firstLine="482" w:end="0"/>
        <w:rPr>
          <w:sz w:val="21"/>
          <w:szCs w:val="21"/>
        </w:rPr>
      </w:pPr>
      <w:r>
        <w:rPr>
          <w:sz w:val="21"/>
          <w:szCs w:val="21"/>
        </w:rPr>
        <w:t xml:space="preserve">3）产业集群受大部件物流、港口条件、地方政策和龙头企业共同驱动，呈沿海带状、依港集聚的格局，江苏盐城—南通、广东阳江—粤东为核心集群，福建、山东、沪浙、北部湾各具特色。</w:t>
      </w:r>
    </w:p>
    <w:p>
      <w:pPr>
        <w:pStyle w:val="Normal"/>
        <w:spacing w:lineRule="exact" w:line="360"/>
        <w:ind w:firstLine="482" w:end="0"/>
        <w:rPr>
          <w:sz w:val="21"/>
          <w:szCs w:val="21"/>
        </w:rPr>
      </w:pPr>
      <w:r>
        <w:rPr>
          <w:sz w:val="21"/>
          <w:szCs w:val="21"/>
        </w:rPr>
        <w:t xml:space="preserve">4）核心部件对外依存、深远海送出与漂浮式成本高、用海约束趋紧、收益不确定性上升和集群同质化是主要制约因素。未来应以大型化和深远海技术为牵引，按海域统筹推进集群差异化分工和补链强链，推动海上风电产业由“规模领先”向“技术领先”转变。</w:t>
      </w:r>
    </w:p>
    <w:p>
      <w:pPr>
        <w:pStyle w:val="Heading1"/>
        <w:keepNext w:val="true"/>
        <w:numPr>
          <w:ilvl w:val="0"/>
          <w:numId w:val="0"/>
        </w:numPr>
        <w:snapToGrid w:val="false"/>
        <w:spacing w:before="240" w:after="120"/>
        <w:ind w:start="0" w:hanging="0"/>
        <w:jc w:val="start"/>
        <w:rPr>
          <w:rFonts w:eastAsia="黑体"/>
          <w:b w:val="false"/>
          <w:sz w:val="28"/>
        </w:rPr>
      </w:pPr>
      <w:r>
        <w:rPr>
          <w:b w:val="false"/>
          <w:rFonts w:ascii="Times New Roman" w:hAnsi="Times New Roman" w:eastAsia="黑体"/>
          <w:sz w:val="28"/>
          <w:szCs w:val="28"/>
        </w:rPr>
        <w:t xml:space="preserve">参考文献</w:t>
      </w:r>
    </w:p>
    <w:p>
      <w:pPr>
        <w:pStyle w:val="Normal"/>
        <w:snapToGrid w:val="false"/>
        <w:spacing w:lineRule="exact" w:line="320"/>
        <w:ind w:start="420" w:hanging="420" w:end="0"/>
        <w:jc w:val="start"/>
        <w:rPr>
          <w:sz w:val="18"/>
        </w:rPr>
      </w:pPr>
      <w:r>
        <w:rPr>
          <w:sz w:val="18"/>
          <w:szCs w:val="18"/>
        </w:rPr>
        <w:t xml:space="preserve">[1] 毕亚雄，赵生校，孙强，等. 海上风电发展研究[M]. 北京：中国水利水电出版社，2017.</w:t>
      </w:r>
    </w:p>
    <w:p>
      <w:pPr>
        <w:pStyle w:val="Normal"/>
        <w:snapToGrid w:val="false"/>
        <w:spacing w:lineRule="exact" w:line="320"/>
        <w:ind w:start="420" w:hanging="420" w:end="0"/>
        <w:jc w:val="start"/>
        <w:rPr>
          <w:sz w:val="18"/>
        </w:rPr>
      </w:pPr>
      <w:r>
        <w:rPr>
          <w:sz w:val="18"/>
          <w:szCs w:val="18"/>
        </w:rPr>
        <w:t xml:space="preserve">[2] 国家能源局. 2025年可再生能源并网运行情况[EB/OL]. (2026-02-12)[2026-10-28]. https://www.nea.gov.cn/20260212/742b8c6a078347b0b39de676c05c5d58/c.html.</w:t>
      </w:r>
    </w:p>
    <w:p>
      <w:pPr>
        <w:pStyle w:val="Normal"/>
        <w:snapToGrid w:val="false"/>
        <w:spacing w:lineRule="exact" w:line="320"/>
        <w:ind w:start="420" w:hanging="420" w:end="0"/>
        <w:jc w:val="start"/>
        <w:rPr>
          <w:sz w:val="18"/>
        </w:rPr>
      </w:pPr>
      <w:r>
        <w:rPr>
          <w:sz w:val="18"/>
          <w:szCs w:val="18"/>
        </w:rPr>
        <w:t xml:space="preserve">[3] Global Wind Energy Council. Global offshore wind report 2025[R]. Brussels：GWEC，2025.</w:t>
      </w:r>
    </w:p>
    <w:p>
      <w:pPr>
        <w:pStyle w:val="Normal"/>
        <w:snapToGrid w:val="false"/>
        <w:spacing w:lineRule="exact" w:line="320"/>
        <w:ind w:start="420" w:hanging="420" w:end="0"/>
        <w:jc w:val="start"/>
        <w:rPr>
          <w:sz w:val="18"/>
        </w:rPr>
      </w:pPr>
      <w:r>
        <w:rPr>
          <w:sz w:val="18"/>
          <w:szCs w:val="18"/>
        </w:rPr>
        <w:t xml:space="preserve">[4] 人民日报海外版. 累计并网装机连续五年全球居首 中国海上风电产业优势不断增强[EB/OL]. (2026-04-10)[2026-10-28]. https://www.nea.gov.cn/20260410/3284832118044e34b93c48e45788ee4f/c.html.</w:t>
      </w:r>
    </w:p>
    <w:p>
      <w:pPr>
        <w:pStyle w:val="Normal"/>
        <w:snapToGrid w:val="false"/>
        <w:spacing w:lineRule="exact" w:line="320"/>
        <w:ind w:start="420" w:hanging="420" w:end="0"/>
        <w:jc w:val="start"/>
        <w:rPr>
          <w:sz w:val="18"/>
        </w:rPr>
      </w:pPr>
      <w:r>
        <w:rPr>
          <w:sz w:val="18"/>
          <w:szCs w:val="18"/>
        </w:rPr>
        <w:t xml:space="preserve">[5] 21世纪经济报道. 粤西滨海小城，九年跃居全国海上风电第一城[EB/OL]. (2026-10-26)[2026-10-28]. https://www.21jingji.com/article/20261026/herald/d8dce52d085b8601fc24bee81633b0ea.html.</w:t>
      </w:r>
    </w:p>
    <w:p>
      <w:pPr>
        <w:pStyle w:val="Normal"/>
        <w:snapToGrid w:val="false"/>
        <w:spacing w:lineRule="exact" w:line="320"/>
        <w:ind w:start="420" w:hanging="420" w:end="0"/>
        <w:jc w:val="start"/>
        <w:rPr>
          <w:sz w:val="18"/>
        </w:rPr>
      </w:pPr>
      <w:r>
        <w:rPr>
          <w:sz w:val="18"/>
          <w:szCs w:val="18"/>
        </w:rPr>
        <w:t xml:space="preserve">[6] 迟永宁，梁伟，张占奎，等. 大规模海上风电输电与并网关键技术研究综述[J]. 中国电机工程学报，2016，36(14)：3758-3770.</w:t>
      </w:r>
    </w:p>
    <w:p>
      <w:pPr>
        <w:pStyle w:val="Normal"/>
        <w:snapToGrid w:val="false"/>
        <w:spacing w:lineRule="exact" w:line="320"/>
        <w:ind w:start="420" w:hanging="420" w:end="0"/>
        <w:jc w:val="start"/>
        <w:rPr>
          <w:sz w:val="18"/>
        </w:rPr>
      </w:pPr>
      <w:r>
        <w:rPr>
          <w:sz w:val="18"/>
          <w:szCs w:val="18"/>
        </w:rPr>
        <w:t xml:space="preserve">[7] 王锡凡，卫晓辉，宁联辉，等. 海上风电并网与输送方案比较[J]. 中国电机工程学报，2014，34(31)：5459-5466.</w:t>
      </w:r>
    </w:p>
    <w:p>
      <w:pPr>
        <w:pStyle w:val="Normal"/>
        <w:snapToGrid w:val="false"/>
        <w:spacing w:lineRule="exact" w:line="320"/>
        <w:ind w:start="420" w:hanging="420" w:end="0"/>
        <w:jc w:val="start"/>
        <w:rPr>
          <w:sz w:val="18"/>
        </w:rPr>
      </w:pPr>
      <w:r>
        <w:rPr>
          <w:sz w:val="18"/>
          <w:szCs w:val="18"/>
        </w:rPr>
        <w:t xml:space="preserve">[8] 黄玲玲，曹家麟，张开华，等. 海上风电机组运行维护现状研究与展望[J]. 中国电机工程学报，2016，36(3)：729-738.</w:t>
      </w:r>
    </w:p>
    <w:p>
      <w:pPr>
        <w:pStyle w:val="Normal"/>
        <w:snapToGrid w:val="false"/>
        <w:spacing w:lineRule="exact" w:line="320"/>
        <w:ind w:start="420" w:hanging="420" w:end="0"/>
        <w:jc w:val="start"/>
        <w:rPr>
          <w:sz w:val="18"/>
        </w:rPr>
      </w:pPr>
      <w:r>
        <w:rPr>
          <w:sz w:val="18"/>
          <w:szCs w:val="18"/>
        </w:rPr>
        <w:t xml:space="preserve">[9] 中国可再生能源学会风能专业委员会. 2025年中国风电吊装容量统计简报[R]. 北京：中国可再生能源学会风能专业委员会，2026.</w:t>
      </w:r>
    </w:p>
    <w:p>
      <w:pPr>
        <w:pStyle w:val="Normal"/>
        <w:snapToGrid w:val="false"/>
        <w:spacing w:lineRule="exact" w:line="320"/>
        <w:ind w:start="420" w:hanging="420" w:end="0"/>
        <w:jc w:val="start"/>
        <w:rPr>
          <w:sz w:val="18"/>
        </w:rPr>
      </w:pPr>
      <w:r>
        <w:rPr>
          <w:sz w:val="18"/>
          <w:szCs w:val="18"/>
        </w:rPr>
        <w:t xml:space="preserve">[10] 国家发展改革委，国家能源局. 关于深化新能源上网电价市场化改革 促进新能源高质量发展的通知：发改价格〔2025〕136号[A]. 北京：国家发展改革委，2025.</w:t>
      </w:r>
    </w:p>
    <w:p>
      <w:pPr>
        <w:pStyle w:val="Normal"/>
        <w:snapToGrid w:val="false"/>
        <w:spacing w:lineRule="exact" w:line="320"/>
        <w:ind w:start="420" w:hanging="420" w:end="0"/>
        <w:jc w:val="start"/>
        <w:rPr>
          <w:sz w:val="18"/>
        </w:rPr>
      </w:pPr>
      <w:r>
        <w:rPr>
          <w:sz w:val="18"/>
          <w:szCs w:val="18"/>
        </w:rPr>
        <w:t xml:space="preserve">[11] 国家发展改革委，国家能源局，财政部，等. “十四五”可再生能源发展规划：发改能源〔2021〕1445号[A]. 北京：国家发展改革委，2022.</w:t>
      </w:r>
    </w:p>
    <w:p>
      <w:pPr>
        <w:pStyle w:val="Normal"/>
        <w:snapToGrid w:val="false"/>
        <w:spacing w:lineRule="exact" w:line="320"/>
        <w:ind w:start="420" w:hanging="420" w:end="0"/>
        <w:jc w:val="start"/>
        <w:rPr>
          <w:sz w:val="18"/>
        </w:rPr>
      </w:pPr>
      <w:r>
        <w:rPr>
          <w:sz w:val="18"/>
          <w:szCs w:val="18"/>
        </w:rPr>
        <w:t xml:space="preserve">[12] 经济日报. 海上风电转向“深蓝”[EB/OL]. (2026-07-10)[2026-10-28]. https://www.nea.gov.cn/20260710/2706be51a7f1446a90658328d1c245d4/c.html.</w:t>
      </w:r>
    </w:p>
    <w:sectPr>
      <w:footerReference w:type="default" r:id="rId8"/>
      <w:type w:val="nextPage"/>
      <w:pgSz w:w="11906" w:h="16838"/>
      <w:pgMar w:left="1247" w:right="1247" w:gutter="284" w:header="0" w:top="1418" w:footer="851" w:bottom="1247"/>
      <w:pgNumType w:start="1" w:fmt="decimal"/>
      <w:formProt w:val="false"/>
      <w:textDirection w:val="lrTb"/>
      <w:docGrid w:type="linesAndChars"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New Roman">
    <w:charset w:val="00" w:characterSet="windows-1252"/>
    <w:family w:val="roman"/>
    <w:pitch w:val="default"/>
  </w:font>
  <w:font w:name="Arial">
    <w:charset w:val="00" w:characterSet="windows-1252"/>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32767" w:firstLine="32767"/>
      </w:pPr>
      <w:rPr>
        <w:sz w:val="28"/>
        <w:i w:val="false"/>
        <w:b/>
        <w:rFonts w:eastAsia="Batang"/>
      </w:rPr>
    </w:lvl>
    <w:lvl w:ilvl="1">
      <w:start w:val="1"/>
      <w:numFmt w:val="decimal"/>
      <w:lvlText w:val="%2."/>
      <w:lvlJc w:val="start"/>
      <w:pPr>
        <w:tabs>
          <w:tab w:val="num" w:pos="0"/>
        </w:tabs>
        <w:ind w:start="992" w:hanging="567"/>
      </w:pPr>
      <w:rPr>
        <w:sz w:val="28"/>
        <w:i w:val="false"/>
        <w:b/>
        <w:rFonts w:eastAsia="宋体"/>
      </w:rPr>
    </w:lvl>
    <w:lvl w:ilvl="2">
      <w:start w:val="1"/>
      <w:numFmt w:val="none"/>
      <w:suff w:val="nothing"/>
      <w:lvlText w:val="2.3.1"/>
      <w:lvlJc w:val="start"/>
      <w:pPr>
        <w:tabs>
          <w:tab w:val="num" w:pos="0"/>
        </w:tabs>
        <w:ind w:start="1418" w:hanging="567"/>
      </w:pPr>
      <w:rPr/>
    </w:lvl>
    <w:lvl w:ilvl="3">
      <w:start w:val="1"/>
      <w:numFmt w:val="none"/>
      <w:suff w:val="nothing"/>
      <w:lvlText w:val="%11.1.1.1"/>
      <w:lvlJc w:val="start"/>
      <w:pPr>
        <w:tabs>
          <w:tab w:val="num" w:pos="0"/>
        </w:tabs>
        <w:ind w:start="1984" w:hanging="708"/>
      </w:pPr>
      <w:rPr/>
    </w:lvl>
    <w:lvl w:ilvl="4">
      <w:start w:val="1"/>
      <w:numFmt w:val="decimal"/>
      <w:lvlText w:val="%11%2..%3.%4.%5"/>
      <w:lvlJc w:val="start"/>
      <w:pPr>
        <w:tabs>
          <w:tab w:val="num" w:pos="0"/>
        </w:tabs>
        <w:ind w:start="2551" w:hanging="850"/>
      </w:pPr>
      <w:rPr/>
    </w:lvl>
    <w:lvl w:ilvl="5">
      <w:start w:val="1"/>
      <w:numFmt w:val="decimal"/>
      <w:lvlText w:val="%1.%2.%3.%4.%5.%6"/>
      <w:lvlJc w:val="start"/>
      <w:pPr>
        <w:tabs>
          <w:tab w:val="num" w:pos="0"/>
        </w:tabs>
        <w:ind w:start="3260" w:hanging="1134"/>
      </w:pPr>
      <w:rPr/>
    </w:lvl>
    <w:lvl w:ilvl="6">
      <w:start w:val="1"/>
      <w:numFmt w:val="decimal"/>
      <w:lvlText w:val="%1.%2.%3.%4.%5.%6.%7"/>
      <w:lvlJc w:val="start"/>
      <w:pPr>
        <w:tabs>
          <w:tab w:val="num" w:pos="0"/>
        </w:tabs>
        <w:ind w:start="3827" w:hanging="1276"/>
      </w:pPr>
      <w:rPr/>
    </w:lvl>
    <w:lvl w:ilvl="7">
      <w:start w:val="1"/>
      <w:numFmt w:val="decimal"/>
      <w:lvlText w:val="%1.%2.%3.%4.%5.%6.%7.%8"/>
      <w:lvlJc w:val="start"/>
      <w:pPr>
        <w:tabs>
          <w:tab w:val="num" w:pos="0"/>
        </w:tabs>
        <w:ind w:start="4394" w:hanging="1418"/>
      </w:pPr>
      <w:rPr/>
    </w:lvl>
    <w:lvl w:ilvl="8">
      <w:start w:val="1"/>
      <w:numFmt w:val="decimal"/>
      <w:lvlText w:val="%1.%2.%3.%4.%5.%6.%7.%8.%9"/>
      <w:lvlJc w:val="start"/>
      <w:pPr>
        <w:tabs>
          <w:tab w:val="num" w:pos="0"/>
        </w:tabs>
        <w:ind w:start="5102" w:hanging="1700"/>
      </w:pPr>
      <w:rPr/>
    </w:lvl>
  </w:abstractNum>
  <w:abstractNum w:abstractNumId="3">
    <w:lvl w:ilvl="0">
      <w:start w:val="1"/>
      <w:numFmt w:val="decimal"/>
      <w:lvlText w:val="%1."/>
      <w:lvlJc w:val="start"/>
      <w:pPr>
        <w:tabs>
          <w:tab w:val="num" w:pos="0"/>
        </w:tabs>
        <w:ind w:start="504" w:hanging="420"/>
      </w:pPr>
    </w:lvl>
    <w:lvl w:ilvl="1">
      <w:start w:val="1"/>
      <w:numFmt w:val="lowerLetter"/>
      <w:lvlText w:val="%2)"/>
      <w:lvlJc w:val="start"/>
      <w:pPr>
        <w:tabs>
          <w:tab w:val="num" w:pos="0"/>
        </w:tabs>
        <w:ind w:start="924" w:hanging="420"/>
      </w:pPr>
    </w:lvl>
    <w:lvl w:ilvl="2">
      <w:start w:val="1"/>
      <w:numFmt w:val="lowerRoman"/>
      <w:lvlText w:val="%3."/>
      <w:lvlJc w:val="end"/>
      <w:pPr>
        <w:tabs>
          <w:tab w:val="num" w:pos="0"/>
        </w:tabs>
        <w:ind w:start="1344" w:hanging="420"/>
      </w:pPr>
    </w:lvl>
    <w:lvl w:ilvl="3">
      <w:start w:val="1"/>
      <w:numFmt w:val="decimal"/>
      <w:lvlText w:val="%4."/>
      <w:lvlJc w:val="start"/>
      <w:pPr>
        <w:tabs>
          <w:tab w:val="num" w:pos="0"/>
        </w:tabs>
        <w:ind w:start="1764" w:hanging="420"/>
      </w:pPr>
    </w:lvl>
    <w:lvl w:ilvl="4">
      <w:start w:val="1"/>
      <w:numFmt w:val="lowerLetter"/>
      <w:lvlText w:val="%5)"/>
      <w:lvlJc w:val="start"/>
      <w:pPr>
        <w:tabs>
          <w:tab w:val="num" w:pos="0"/>
        </w:tabs>
        <w:ind w:start="2184" w:hanging="420"/>
      </w:pPr>
    </w:lvl>
    <w:lvl w:ilvl="5">
      <w:start w:val="1"/>
      <w:numFmt w:val="lowerRoman"/>
      <w:lvlText w:val="%6."/>
      <w:lvlJc w:val="end"/>
      <w:pPr>
        <w:tabs>
          <w:tab w:val="num" w:pos="0"/>
        </w:tabs>
        <w:ind w:start="2604" w:hanging="420"/>
      </w:pPr>
    </w:lvl>
    <w:lvl w:ilvl="6">
      <w:start w:val="1"/>
      <w:numFmt w:val="decimal"/>
      <w:lvlText w:val="%7."/>
      <w:lvlJc w:val="start"/>
      <w:pPr>
        <w:tabs>
          <w:tab w:val="num" w:pos="0"/>
        </w:tabs>
        <w:ind w:start="3024" w:hanging="420"/>
      </w:pPr>
    </w:lvl>
    <w:lvl w:ilvl="7">
      <w:start w:val="1"/>
      <w:numFmt w:val="lowerLetter"/>
      <w:lvlText w:val="%8)"/>
      <w:lvlJc w:val="start"/>
      <w:pPr>
        <w:tabs>
          <w:tab w:val="num" w:pos="0"/>
        </w:tabs>
        <w:ind w:start="3444" w:hanging="420"/>
      </w:pPr>
    </w:lvl>
    <w:lvl w:ilvl="8">
      <w:start w:val="1"/>
      <w:numFmt w:val="lowerRoman"/>
      <w:lvlText w:val="%9."/>
      <w:lvlJc w:val="end"/>
      <w:pPr>
        <w:tabs>
          <w:tab w:val="num" w:pos="0"/>
        </w:tabs>
        <w:ind w:start="3864" w:hanging="42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noLeading/>
    <w:doNotExpandShiftReturn/>
    <w:compatSetting w:name="compatibilityMode" w:uri="http://schemas.microsoft.com/office/word" w:val="11"/>
  </w:compat>
  <w:docVars>
    <w:docVar w:name="commondata" w:val="eyJoZGlkIjoiZjMzOWQ2OTljNDk4NjdlN2NmODViOTk4OGE2YjQ1MzA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4"/>
      <w:szCs w:val="24"/>
      <w:lang w:val="en-US" w:eastAsia="zh-CN" w:bidi="ar-SA"/>
    </w:rPr>
  </w:style>
  <w:style w:type="paragraph" w:styleId="Heading1">
    <w:name w:val="Heading 1"/>
    <w:basedOn w:val="Normal"/>
    <w:next w:val="Normal"/>
    <w:qFormat/>
    <w:pPr>
      <w:keepNext w:val="true"/>
      <w:numPr>
        <w:ilvl w:val="0"/>
        <w:numId w:val="1"/>
      </w:numPr>
      <w:jc w:val="center"/>
      <w:outlineLvl w:val="0"/>
    </w:pPr>
    <w:rPr>
      <w:b/>
      <w:sz w:val="28"/>
    </w:rPr>
  </w:style>
  <w:style w:type="paragraph" w:styleId="Heading2">
    <w:name w:val="Heading 2"/>
    <w:basedOn w:val="Normal"/>
    <w:next w:val="Style12"/>
    <w:qFormat/>
    <w:pPr>
      <w:keepNext w:val="true"/>
      <w:keepLines/>
      <w:numPr>
        <w:ilvl w:val="1"/>
        <w:numId w:val="1"/>
      </w:numPr>
      <w:spacing w:before="120" w:after="120"/>
      <w:outlineLvl w:val="1"/>
    </w:pPr>
    <w:rPr>
      <w:rFonts w:eastAsia="黑体"/>
      <w:b/>
      <w:sz w:val="30"/>
      <w:szCs w:val="20"/>
    </w:rPr>
  </w:style>
  <w:style w:type="paragraph" w:styleId="Heading4">
    <w:name w:val="Heading 4"/>
    <w:basedOn w:val="Normal"/>
    <w:next w:val="Style12"/>
    <w:qFormat/>
    <w:pPr>
      <w:numPr>
        <w:ilvl w:val="3"/>
        <w:numId w:val="1"/>
      </w:numPr>
      <w:outlineLvl w:val="3"/>
    </w:pPr>
    <w:rPr>
      <w:rFonts w:eastAsia="黑体"/>
      <w:b/>
      <w:szCs w:val="20"/>
    </w:rPr>
  </w:style>
  <w:style w:type="character" w:styleId="WW8Num1z0">
    <w:name w:val="WW8Num1z0"/>
    <w:qFormat/>
    <w:rPr>
      <w:rFonts w:eastAsia="Batang"/>
      <w:b/>
      <w:i w:val="false"/>
      <w:sz w:val="28"/>
    </w:rPr>
  </w:style>
  <w:style w:type="character" w:styleId="WW8Num1z1">
    <w:name w:val="WW8Num1z1"/>
    <w:qFormat/>
    <w:rPr>
      <w:rFonts w:eastAsia="宋体"/>
      <w:b/>
      <w:i w:val="false"/>
      <w:sz w:val="28"/>
    </w:rPr>
  </w:style>
  <w:style w:type="character" w:styleId="WW8Num1z2">
    <w:name w:val="WW8Num1z2"/>
    <w:qFormat/>
    <w:rPr/>
  </w:style>
  <w:style w:type="character" w:styleId="Style11">
    <w:name w:val="默认段落字体"/>
    <w:qFormat/>
    <w:rPr/>
  </w:style>
  <w:style w:type="character" w:styleId="Char">
    <w:name w:val="页脚 Char"/>
    <w:qFormat/>
    <w:rPr>
      <w:kern w:val="2"/>
      <w:sz w:val="18"/>
      <w:szCs w:val="18"/>
    </w:rPr>
  </w:style>
  <w:style w:type="character" w:styleId="Strong">
    <w:name w:val="Strong"/>
    <w:qFormat/>
    <w:rPr>
      <w:b/>
      <w:bCs/>
    </w:rPr>
  </w:style>
  <w:style w:type="character" w:styleId="PageNumber">
    <w:name w:val="Page Number"/>
    <w:basedOn w:val="Style11"/>
    <w:rPr/>
  </w:style>
  <w:style w:type="character" w:styleId="apple-converted-space">
    <w:name w:val="apple-converted-space"/>
    <w:basedOn w:val="Style11"/>
    <w:qFormat/>
    <w:rPr/>
  </w:style>
  <w:style w:type="character" w:styleId="Hyperlink">
    <w:name w:val="Hyperlink"/>
    <w:rPr>
      <w:color w:val="000080"/>
      <w:u w:val="single"/>
    </w:rPr>
  </w:style>
  <w:style w:type="paragraph" w:styleId="Heading">
    <w:name w:val="Heading"/>
    <w:basedOn w:val="Normal"/>
    <w:next w:val="BodyText"/>
    <w:qFormat/>
    <w:pPr>
      <w:spacing w:before="240" w:after="60"/>
      <w:jc w:val="center"/>
      <w:outlineLvl w:val="0"/>
    </w:pPr>
    <w:rPr>
      <w:rFonts w:ascii="Arial" w:hAnsi="Arial" w:eastAsia="黑体" w:cs="Arial"/>
      <w:sz w:val="36"/>
      <w:szCs w:val="20"/>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2">
    <w:name w:val="正文首行缩进"/>
    <w:basedOn w:val="Normal"/>
    <w:qFormat/>
    <w:pPr>
      <w:ind w:firstLine="498" w:start="0" w:end="0"/>
    </w:pPr>
    <w:rPr>
      <w:szCs w:val="20"/>
    </w:rPr>
  </w:style>
  <w:style w:type="paragraph" w:styleId="Style13">
    <w:name w:val="文档结构图"/>
    <w:basedOn w:val="Normal"/>
    <w:qFormat/>
    <w:pPr>
      <w:shd w:fill="000080" w:val="clear"/>
    </w:pPr>
    <w:rPr/>
  </w:style>
  <w:style w:type="paragraph" w:styleId="BodyTextIndent">
    <w:name w:val="Body Text Indent"/>
    <w:basedOn w:val="Normal"/>
    <w:pPr>
      <w:spacing w:before="0" w:after="120"/>
      <w:ind w:hanging="0" w:start="420" w:end="0"/>
    </w:pPr>
    <w:rPr>
      <w:szCs w:val="20"/>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Char1">
    <w:name w:val="Char"/>
    <w:basedOn w:val="Heading"/>
    <w:next w:val="Heading"/>
    <w:qFormat/>
    <w:pPr>
      <w:ind w:firstLine="200" w:start="0" w:end="0"/>
    </w:pPr>
    <w:rPr>
      <w:rFonts w:ascii="Times New Roman" w:hAnsi="Times New Roman" w:cs="Times New Roman"/>
      <w:bCs/>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 Id="rIdFig1" Type="http://schemas.openxmlformats.org/officeDocument/2006/relationships/image" Target="media/report_fig1.png"/><Relationship Id="rIdFig2" Type="http://schemas.openxmlformats.org/officeDocument/2006/relationships/image" Target="media/report_fig2.png"/><Relationship Id="rIdFig3" Type="http://schemas.openxmlformats.org/officeDocument/2006/relationships/image" Target="media/report_fig3.png"/><Relationship Id="rIdFig4" Type="http://schemas.openxmlformats.org/officeDocument/2006/relationships/image" Target="media/report_fig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44160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2020-09-30T00:11:00Z</dcterms:created>
  <dc:creator>刘文亮</dc:creator>
  <dc:description/>
  <dc:language>en-US</dc:language>
  <cp:lastModifiedBy>刘洪鹏</cp:lastModifiedBy>
  <dcterms:modified xsi:type="dcterms:W3CDTF">2024-08-29T06:55:44Z</dcterms:modified>
  <cp:revision>20</cp:revision>
  <dc:subject/>
  <dc:title>图像拼接</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286154896AE94009809881E581931375</vt:lpwstr>
  </property>
  <property fmtid="{D5CDD505-2E9C-101B-9397-08002B2CF9AE}" pid="3" name="KSOProductBuildVer">
    <vt:lpwstr>2052-12.1.0.17827</vt:lpwstr>
  </property>
</Properties>
</file>