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30D54" w14:textId="7A79B501" w:rsidR="004D7082" w:rsidRDefault="005B64E3" w:rsidP="005B64E3">
      <w:pPr>
        <w:jc w:val="center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S9/L5</w:t>
      </w:r>
      <w:r>
        <w:rPr>
          <w:b/>
          <w:bCs/>
          <w:color w:val="FF0000"/>
          <w:sz w:val="40"/>
          <w:szCs w:val="40"/>
        </w:rPr>
        <w:br/>
      </w:r>
    </w:p>
    <w:p w14:paraId="6F59330B" w14:textId="2714A9D8" w:rsidR="005B64E3" w:rsidRDefault="005B64E3" w:rsidP="005B64E3">
      <w:pPr>
        <w:rPr>
          <w:b/>
          <w:bCs/>
          <w:color w:val="FF0000"/>
          <w:sz w:val="40"/>
          <w:szCs w:val="40"/>
        </w:rPr>
      </w:pPr>
      <w:proofErr w:type="spellStart"/>
      <w:r w:rsidRPr="005B64E3">
        <w:rPr>
          <w:b/>
          <w:bCs/>
          <w:color w:val="FF0000"/>
          <w:sz w:val="40"/>
          <w:szCs w:val="40"/>
        </w:rPr>
        <w:t>Threat</w:t>
      </w:r>
      <w:proofErr w:type="spellEnd"/>
      <w:r w:rsidRPr="005B64E3">
        <w:rPr>
          <w:b/>
          <w:bCs/>
          <w:color w:val="FF0000"/>
          <w:sz w:val="40"/>
          <w:szCs w:val="40"/>
        </w:rPr>
        <w:t xml:space="preserve"> Intelligence &amp; IOC</w:t>
      </w:r>
    </w:p>
    <w:p w14:paraId="03797FBC" w14:textId="7CDE7141" w:rsidR="00FE052C" w:rsidRDefault="00FE052C" w:rsidP="006C7D9A">
      <w:pPr>
        <w:jc w:val="both"/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6DAB07BF" wp14:editId="7CABCDF6">
            <wp:simplePos x="0" y="0"/>
            <wp:positionH relativeFrom="margin">
              <wp:align>right</wp:align>
            </wp:positionH>
            <wp:positionV relativeFrom="page">
              <wp:posOffset>4476142</wp:posOffset>
            </wp:positionV>
            <wp:extent cx="6114415" cy="2552065"/>
            <wp:effectExtent l="0" t="0" r="635" b="635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6208">
        <w:rPr>
          <w:color w:val="000000" w:themeColor="text1"/>
        </w:rPr>
        <w:t xml:space="preserve">L’obiettivo di oggi è quello di analizzare e comprendere un flusso di traffico rete monitorato dall’applicazione </w:t>
      </w:r>
      <w:proofErr w:type="spellStart"/>
      <w:r w:rsidR="00036208" w:rsidRPr="00A87821">
        <w:rPr>
          <w:b/>
          <w:bCs/>
          <w:color w:val="000000" w:themeColor="text1"/>
        </w:rPr>
        <w:t>Wireshark</w:t>
      </w:r>
      <w:proofErr w:type="spellEnd"/>
      <w:r w:rsidR="00036208">
        <w:rPr>
          <w:color w:val="000000" w:themeColor="text1"/>
        </w:rPr>
        <w:t xml:space="preserve"> tra due indirizzi IP facenti parte della stessa rete. </w:t>
      </w:r>
      <w:r w:rsidR="00036208">
        <w:rPr>
          <w:color w:val="000000" w:themeColor="text1"/>
        </w:rPr>
        <w:br/>
      </w:r>
      <w:r w:rsidR="00036208">
        <w:rPr>
          <w:color w:val="000000" w:themeColor="text1"/>
        </w:rPr>
        <w:br/>
        <w:t xml:space="preserve">Gli </w:t>
      </w:r>
      <w:proofErr w:type="spellStart"/>
      <w:r w:rsidR="00036208">
        <w:rPr>
          <w:color w:val="000000" w:themeColor="text1"/>
        </w:rPr>
        <w:t>host</w:t>
      </w:r>
      <w:proofErr w:type="spellEnd"/>
      <w:r w:rsidR="00036208">
        <w:rPr>
          <w:color w:val="000000" w:themeColor="text1"/>
        </w:rPr>
        <w:t xml:space="preserve"> in questi</w:t>
      </w:r>
      <w:r w:rsidR="00A87821">
        <w:rPr>
          <w:color w:val="000000" w:themeColor="text1"/>
        </w:rPr>
        <w:t>one</w:t>
      </w:r>
      <w:r w:rsidR="00036208">
        <w:rPr>
          <w:color w:val="000000" w:themeColor="text1"/>
        </w:rPr>
        <w:t xml:space="preserve"> sono due: </w:t>
      </w:r>
      <w:r w:rsidR="00036208" w:rsidRPr="00A87821">
        <w:rPr>
          <w:b/>
          <w:bCs/>
          <w:color w:val="000000" w:themeColor="text1"/>
        </w:rPr>
        <w:t>192.168.200.150</w:t>
      </w:r>
      <w:r w:rsidR="00036208">
        <w:rPr>
          <w:color w:val="000000" w:themeColor="text1"/>
        </w:rPr>
        <w:t xml:space="preserve"> </w:t>
      </w:r>
      <w:r w:rsidR="00A87821">
        <w:rPr>
          <w:color w:val="000000" w:themeColor="text1"/>
        </w:rPr>
        <w:t xml:space="preserve">e </w:t>
      </w:r>
      <w:r w:rsidR="00A87821" w:rsidRPr="00A87821">
        <w:rPr>
          <w:b/>
          <w:bCs/>
          <w:color w:val="000000" w:themeColor="text1"/>
        </w:rPr>
        <w:t>192.168.200.100</w:t>
      </w:r>
      <w:r w:rsidR="00A87821">
        <w:rPr>
          <w:color w:val="000000" w:themeColor="text1"/>
        </w:rPr>
        <w:br/>
      </w:r>
      <w:r w:rsidR="00A87821">
        <w:rPr>
          <w:color w:val="000000" w:themeColor="text1"/>
        </w:rPr>
        <w:br/>
      </w:r>
      <w:r w:rsidR="006C7D9A" w:rsidRPr="006C7D9A">
        <w:rPr>
          <w:color w:val="000000" w:themeColor="text1"/>
        </w:rPr>
        <w:t xml:space="preserve">Analizzando il traffico catturato con </w:t>
      </w:r>
      <w:proofErr w:type="spellStart"/>
      <w:r w:rsidR="006C7D9A" w:rsidRPr="006C7D9A">
        <w:rPr>
          <w:color w:val="000000" w:themeColor="text1"/>
        </w:rPr>
        <w:t>Wireshark</w:t>
      </w:r>
      <w:proofErr w:type="spellEnd"/>
      <w:r w:rsidR="006C7D9A" w:rsidRPr="006C7D9A">
        <w:rPr>
          <w:color w:val="000000" w:themeColor="text1"/>
        </w:rPr>
        <w:t xml:space="preserve">, si nota un flusso che punta a una scansione delle porte TCP, effettuata con un tool automatizzato come </w:t>
      </w:r>
      <w:proofErr w:type="spellStart"/>
      <w:r w:rsidR="006C7D9A" w:rsidRPr="006C7D9A">
        <w:rPr>
          <w:color w:val="000000" w:themeColor="text1"/>
        </w:rPr>
        <w:t>Nmap</w:t>
      </w:r>
      <w:proofErr w:type="spellEnd"/>
      <w:r w:rsidR="006C7D9A" w:rsidRPr="006C7D9A">
        <w:rPr>
          <w:color w:val="000000" w:themeColor="text1"/>
        </w:rPr>
        <w:t xml:space="preserve">. Il dialogo si sviluppa tra due indirizzi IP: 192.168.200.150, che funge da </w:t>
      </w:r>
      <w:r w:rsidR="006C7D9A">
        <w:rPr>
          <w:color w:val="000000" w:themeColor="text1"/>
        </w:rPr>
        <w:t>mittente</w:t>
      </w:r>
      <w:r w:rsidR="006C7D9A" w:rsidRPr="006C7D9A">
        <w:rPr>
          <w:color w:val="000000" w:themeColor="text1"/>
        </w:rPr>
        <w:t>, e 192.168.200.100, che riceve i pacchetti. La natura della comunicazione suggerisce un</w:t>
      </w:r>
      <w:r w:rsidR="006C7D9A">
        <w:rPr>
          <w:color w:val="000000" w:themeColor="text1"/>
        </w:rPr>
        <w:t xml:space="preserve">a scansione </w:t>
      </w:r>
      <w:r w:rsidR="006C7D9A" w:rsidRPr="006C7D9A">
        <w:rPr>
          <w:color w:val="000000" w:themeColor="text1"/>
        </w:rPr>
        <w:t xml:space="preserve">volta a verificare lo stato delle porte </w:t>
      </w:r>
      <w:proofErr w:type="spellStart"/>
      <w:r w:rsidR="006C7D9A" w:rsidRPr="006C7D9A">
        <w:rPr>
          <w:color w:val="000000" w:themeColor="text1"/>
        </w:rPr>
        <w:t>sull’host</w:t>
      </w:r>
      <w:proofErr w:type="spellEnd"/>
      <w:r w:rsidR="006C7D9A" w:rsidRPr="006C7D9A">
        <w:rPr>
          <w:color w:val="000000" w:themeColor="text1"/>
        </w:rPr>
        <w:t xml:space="preserve"> di destinazione, senza mai completare una vera connessione.</w:t>
      </w:r>
      <w:r w:rsidRPr="00FE052C">
        <w:rPr>
          <w:noProof/>
          <w:color w:val="000000" w:themeColor="text1"/>
        </w:rPr>
        <w:t xml:space="preserve"> </w:t>
      </w:r>
    </w:p>
    <w:p w14:paraId="0BF25754" w14:textId="77777777" w:rsidR="00FE052C" w:rsidRDefault="00FE052C" w:rsidP="006C7D9A">
      <w:pPr>
        <w:jc w:val="both"/>
        <w:rPr>
          <w:color w:val="000000" w:themeColor="text1"/>
        </w:rPr>
      </w:pPr>
    </w:p>
    <w:p w14:paraId="724E2BC6" w14:textId="6609403D" w:rsidR="006C7D9A" w:rsidRPr="006C7D9A" w:rsidRDefault="006C7D9A" w:rsidP="006C7D9A">
      <w:pPr>
        <w:jc w:val="both"/>
        <w:rPr>
          <w:color w:val="000000" w:themeColor="text1"/>
        </w:rPr>
      </w:pPr>
      <w:r w:rsidRPr="006C7D9A">
        <w:rPr>
          <w:color w:val="000000" w:themeColor="text1"/>
        </w:rPr>
        <w:t xml:space="preserve">I pacchetti SYN inviati </w:t>
      </w:r>
      <w:proofErr w:type="spellStart"/>
      <w:r w:rsidRPr="006C7D9A">
        <w:rPr>
          <w:color w:val="000000" w:themeColor="text1"/>
        </w:rPr>
        <w:t>dall’host</w:t>
      </w:r>
      <w:proofErr w:type="spellEnd"/>
      <w:r w:rsidRPr="006C7D9A">
        <w:rPr>
          <w:color w:val="000000" w:themeColor="text1"/>
        </w:rPr>
        <w:t xml:space="preserve"> sorgente mirano a sondare diverse porte, con risposte che variano tra SYN/ACK (porte aperte), RST (porte chiuse) e, in alcuni casi, l’assenza di risposta, che potrebbe indicare l’intervento di un sistema di filtraggio o firewall. </w:t>
      </w:r>
    </w:p>
    <w:p w14:paraId="123935F8" w14:textId="0D4030EA" w:rsidR="00FE052C" w:rsidRDefault="00FE052C" w:rsidP="006C7D9A">
      <w:pPr>
        <w:jc w:val="both"/>
        <w:rPr>
          <w:color w:val="000000" w:themeColor="text1"/>
        </w:rPr>
      </w:pPr>
    </w:p>
    <w:p w14:paraId="025F568C" w14:textId="77777777" w:rsidR="00FE052C" w:rsidRDefault="00FE052C" w:rsidP="006C7D9A">
      <w:pPr>
        <w:jc w:val="both"/>
        <w:rPr>
          <w:color w:val="000000" w:themeColor="text1"/>
        </w:rPr>
      </w:pPr>
    </w:p>
    <w:p w14:paraId="61B017D3" w14:textId="77777777" w:rsidR="00FE052C" w:rsidRDefault="00FE052C" w:rsidP="006C7D9A">
      <w:pPr>
        <w:jc w:val="both"/>
        <w:rPr>
          <w:color w:val="000000" w:themeColor="text1"/>
        </w:rPr>
      </w:pPr>
    </w:p>
    <w:p w14:paraId="75A148E9" w14:textId="77777777" w:rsidR="00FE052C" w:rsidRDefault="00FE052C" w:rsidP="006C7D9A">
      <w:pPr>
        <w:jc w:val="both"/>
        <w:rPr>
          <w:color w:val="000000" w:themeColor="text1"/>
        </w:rPr>
      </w:pPr>
    </w:p>
    <w:p w14:paraId="3D37CAB9" w14:textId="77777777" w:rsidR="00FE052C" w:rsidRDefault="00FE052C" w:rsidP="006C7D9A">
      <w:pPr>
        <w:jc w:val="both"/>
        <w:rPr>
          <w:color w:val="000000" w:themeColor="text1"/>
        </w:rPr>
      </w:pPr>
    </w:p>
    <w:p w14:paraId="728861D1" w14:textId="77777777" w:rsidR="00FE052C" w:rsidRDefault="00FE052C" w:rsidP="006C7D9A">
      <w:pPr>
        <w:jc w:val="both"/>
        <w:rPr>
          <w:color w:val="000000" w:themeColor="text1"/>
        </w:rPr>
      </w:pPr>
    </w:p>
    <w:p w14:paraId="095F1E4B" w14:textId="18248CFE" w:rsidR="00FE052C" w:rsidRDefault="00FE052C" w:rsidP="006C7D9A">
      <w:pPr>
        <w:jc w:val="both"/>
        <w:rPr>
          <w:color w:val="000000" w:themeColor="text1"/>
        </w:rPr>
      </w:pPr>
    </w:p>
    <w:p w14:paraId="3BF24D4E" w14:textId="0B05BF13" w:rsidR="006C7D9A" w:rsidRPr="006C7D9A" w:rsidRDefault="00FE052C" w:rsidP="006C7D9A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6C4D6E0D" wp14:editId="01091726">
            <wp:simplePos x="0" y="0"/>
            <wp:positionH relativeFrom="margin">
              <wp:align>right</wp:align>
            </wp:positionH>
            <wp:positionV relativeFrom="page">
              <wp:posOffset>205989</wp:posOffset>
            </wp:positionV>
            <wp:extent cx="6114415" cy="2886075"/>
            <wp:effectExtent l="0" t="0" r="635" b="952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7D9A" w:rsidRPr="006C7D9A">
        <w:rPr>
          <w:color w:val="000000" w:themeColor="text1"/>
        </w:rPr>
        <w:t xml:space="preserve">Quello che colpisce è la ripetitività del traffico e l’assenza di contenuti applicativi: non c’è alcun tentativo di stabilire comunicazioni autentiche con i servizi eventualmente attivi, ma solo l’obiettivo di mappare il sistema. Dettagli tecnici, come il supporto per SACK o i valori temporali </w:t>
      </w:r>
      <w:proofErr w:type="spellStart"/>
      <w:r w:rsidR="006C7D9A" w:rsidRPr="006C7D9A">
        <w:rPr>
          <w:color w:val="000000" w:themeColor="text1"/>
        </w:rPr>
        <w:t>TSval</w:t>
      </w:r>
      <w:proofErr w:type="spellEnd"/>
      <w:r w:rsidR="006C7D9A" w:rsidRPr="006C7D9A">
        <w:rPr>
          <w:color w:val="000000" w:themeColor="text1"/>
        </w:rPr>
        <w:t xml:space="preserve"> e </w:t>
      </w:r>
      <w:proofErr w:type="spellStart"/>
      <w:r w:rsidR="006C7D9A" w:rsidRPr="006C7D9A">
        <w:rPr>
          <w:color w:val="000000" w:themeColor="text1"/>
        </w:rPr>
        <w:t>TSecr</w:t>
      </w:r>
      <w:proofErr w:type="spellEnd"/>
      <w:r w:rsidR="006C7D9A" w:rsidRPr="006C7D9A">
        <w:rPr>
          <w:color w:val="000000" w:themeColor="text1"/>
        </w:rPr>
        <w:t>, suggeriscono che il processo sia altamente strutturato e guidato da uno strumento sofisticato, non da un’azione manuale.</w:t>
      </w:r>
    </w:p>
    <w:p w14:paraId="598C8546" w14:textId="767FF465" w:rsidR="006C7D9A" w:rsidRPr="006C7D9A" w:rsidRDefault="00FE052C" w:rsidP="006C7D9A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28D6BA8A" wp14:editId="50F2A0D9">
            <wp:simplePos x="0" y="0"/>
            <wp:positionH relativeFrom="column">
              <wp:posOffset>-36582</wp:posOffset>
            </wp:positionH>
            <wp:positionV relativeFrom="page">
              <wp:posOffset>5804232</wp:posOffset>
            </wp:positionV>
            <wp:extent cx="6114415" cy="2695575"/>
            <wp:effectExtent l="0" t="0" r="635" b="9525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7D9A" w:rsidRPr="006C7D9A">
        <w:rPr>
          <w:color w:val="000000" w:themeColor="text1"/>
        </w:rPr>
        <w:t xml:space="preserve">Ci sono alcune porte che rispondono positivamente con un SYN/ACK, lasciando intendere la presenza di servizi in ascolto. Questi dettagli rappresentano per un attaccante una base preziosa per individuare potenziali vulnerabilità e pianificare eventuali exploit. Allo stesso tempo, la quantità di pacchetti RST conferma che gran parte delle porte </w:t>
      </w:r>
      <w:proofErr w:type="spellStart"/>
      <w:r w:rsidR="006C7D9A" w:rsidRPr="006C7D9A">
        <w:rPr>
          <w:color w:val="000000" w:themeColor="text1"/>
        </w:rPr>
        <w:t>sull’host</w:t>
      </w:r>
      <w:proofErr w:type="spellEnd"/>
      <w:r w:rsidR="006C7D9A" w:rsidRPr="006C7D9A">
        <w:rPr>
          <w:color w:val="000000" w:themeColor="text1"/>
        </w:rPr>
        <w:t xml:space="preserve"> sono chiuse, il che riduce le possibilità di attacco immediato, ma non elimina i rischi.</w:t>
      </w:r>
    </w:p>
    <w:p w14:paraId="2ECED3C9" w14:textId="77777777" w:rsidR="00FE052C" w:rsidRDefault="00FE052C" w:rsidP="006C7D9A">
      <w:pPr>
        <w:jc w:val="both"/>
        <w:rPr>
          <w:color w:val="000000" w:themeColor="text1"/>
        </w:rPr>
      </w:pPr>
    </w:p>
    <w:p w14:paraId="37158B81" w14:textId="77777777" w:rsidR="00FE052C" w:rsidRDefault="00FE052C" w:rsidP="006C7D9A">
      <w:pPr>
        <w:jc w:val="both"/>
        <w:rPr>
          <w:color w:val="000000" w:themeColor="text1"/>
        </w:rPr>
      </w:pPr>
    </w:p>
    <w:p w14:paraId="7EE1A365" w14:textId="4F9F8DF3" w:rsidR="006C7D9A" w:rsidRPr="006C7D9A" w:rsidRDefault="006C7D9A" w:rsidP="006C7D9A">
      <w:pPr>
        <w:jc w:val="both"/>
        <w:rPr>
          <w:color w:val="000000" w:themeColor="text1"/>
        </w:rPr>
      </w:pPr>
      <w:r>
        <w:rPr>
          <w:color w:val="000000" w:themeColor="text1"/>
        </w:rPr>
        <w:t>Per</w:t>
      </w:r>
      <w:r w:rsidRPr="006C7D9A">
        <w:rPr>
          <w:color w:val="000000" w:themeColor="text1"/>
        </w:rPr>
        <w:t xml:space="preserve"> concludere </w:t>
      </w:r>
      <w:r>
        <w:rPr>
          <w:color w:val="000000" w:themeColor="text1"/>
        </w:rPr>
        <w:t>si può confermare che</w:t>
      </w:r>
      <w:r w:rsidRPr="006C7D9A">
        <w:rPr>
          <w:color w:val="000000" w:themeColor="text1"/>
        </w:rPr>
        <w:t xml:space="preserve"> ci troviamo di fronte a un’operazione di </w:t>
      </w:r>
      <w:r>
        <w:rPr>
          <w:color w:val="000000" w:themeColor="text1"/>
        </w:rPr>
        <w:t>controllo</w:t>
      </w:r>
      <w:r w:rsidRPr="006C7D9A">
        <w:rPr>
          <w:color w:val="000000" w:themeColor="text1"/>
        </w:rPr>
        <w:t xml:space="preserve">, probabilmente tramite una scansione SYN eseguita con </w:t>
      </w:r>
      <w:proofErr w:type="spellStart"/>
      <w:r w:rsidRPr="006C7D9A">
        <w:rPr>
          <w:color w:val="000000" w:themeColor="text1"/>
        </w:rPr>
        <w:t>Nmap</w:t>
      </w:r>
      <w:proofErr w:type="spellEnd"/>
      <w:r w:rsidRPr="006C7D9A">
        <w:rPr>
          <w:color w:val="000000" w:themeColor="text1"/>
        </w:rPr>
        <w:t xml:space="preserve">. In un ambiente controllato, come un laboratorio di sicurezza, questo comportamento sarebbe del tutto normale, parte di </w:t>
      </w:r>
      <w:r w:rsidRPr="006C7D9A">
        <w:rPr>
          <w:color w:val="000000" w:themeColor="text1"/>
        </w:rPr>
        <w:lastRenderedPageBreak/>
        <w:t>un esercizio di analisi delle vulnerabilità. In un contesto reale, invece, rappresenterebbe un chiaro segnale di allarme, sintomatico di un tentativo di raccolta informazioni da parte di un soggetto esterno.</w:t>
      </w:r>
    </w:p>
    <w:p w14:paraId="2CB5A810" w14:textId="0047F75A" w:rsidR="005B64E3" w:rsidRPr="005B64E3" w:rsidRDefault="005B64E3" w:rsidP="006C7D9A">
      <w:pPr>
        <w:rPr>
          <w:color w:val="000000" w:themeColor="text1"/>
        </w:rPr>
      </w:pPr>
    </w:p>
    <w:sectPr w:rsidR="005B64E3" w:rsidRPr="005B64E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4E3"/>
    <w:rsid w:val="00036208"/>
    <w:rsid w:val="004D7082"/>
    <w:rsid w:val="005B64E3"/>
    <w:rsid w:val="006C5B71"/>
    <w:rsid w:val="006C7D9A"/>
    <w:rsid w:val="00A87821"/>
    <w:rsid w:val="00AA0E9D"/>
    <w:rsid w:val="00CB0FDF"/>
    <w:rsid w:val="00CE0510"/>
    <w:rsid w:val="00FE0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A578F"/>
  <w15:chartTrackingRefBased/>
  <w15:docId w15:val="{B0F7AD58-D32E-4B26-8C42-C1D6BD76D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B64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B64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B64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B64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B64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5B64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5B64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5B64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5B64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B64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B64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B64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B64E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5B64E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5B64E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5B64E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5B64E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5B64E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5B64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B64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B64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B64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5B64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5B64E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5B64E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5B64E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5B64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5B64E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5B64E3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CE051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5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Giuseppe Cerrone</dc:creator>
  <cp:keywords/>
  <dc:description/>
  <cp:lastModifiedBy>Kevin Giuseppe Cerrone</cp:lastModifiedBy>
  <cp:revision>2</cp:revision>
  <dcterms:created xsi:type="dcterms:W3CDTF">2024-11-29T13:39:00Z</dcterms:created>
  <dcterms:modified xsi:type="dcterms:W3CDTF">2024-11-29T14:46:00Z</dcterms:modified>
</cp:coreProperties>
</file>