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26D7C"/>
          <w:sz w:val="18"/>
          <w:szCs w:val="18"/>
        </w:rPr>
        <w:t xml:space="preserve">MUSCLEUP · VENDING APP</w:t>
      </w:r>
    </w:p>
    <w:p>
      <w:pPr>
        <w:spacing w:after="100"/>
      </w:pPr>
      <w:r>
        <w:rPr>
          <w:b/>
          <w:bCs/>
          <w:color w:val="161A21"/>
          <w:sz w:val="44"/>
          <w:szCs w:val="44"/>
        </w:rPr>
        <w:t xml:space="preserve">Proceso de quejas de usuario final</w:t>
      </w:r>
    </w:p>
    <w:p>
      <w:pPr>
        <w:pBdr>
          <w:bottom w:val="single" w:color="161A21" w:sz="12" w:space="8"/>
        </w:pBdr>
        <w:spacing w:after="320"/>
      </w:pPr>
      <w:r>
        <w:rPr>
          <w:i/>
          <w:iCs/>
          <w:color w:val="626D7C"/>
          <w:sz w:val="21"/>
          <w:szCs w:val="21"/>
        </w:rPr>
        <w:t xml:space="preserve">Cómo quedó el módulo · 5 de septiembre de 2026</w:t>
      </w:r>
    </w:p>
    <w:p>
      <w:pPr>
        <w:spacing w:after="130" w:line="300"/>
      </w:pPr>
      <w:r>
        <w:rPr>
          <w:sz w:val="21"/>
          <w:szCs w:val="21"/>
        </w:rPr>
        <w:t xml:space="preserve">Este documento describe el proceso de quejas tal como quedó construido en la app, no como se planeó. Sustituye la bitácora en Excel que se llevaba desde 2024 (1,864 quejas en 21 meses, $116,674 pagados, ticket promedio de $94). El histórico no se migró: el módulo arrancó limpio con el folio QJA-000001.</w:t>
      </w:r>
    </w:p>
    <w:p>
      <w:pPr>
        <w:spacing w:after="130" w:line="300"/>
      </w:pPr>
      <w:r>
        <w:rPr>
          <w:b/>
          <w:bCs/>
          <w:sz w:val="21"/>
          <w:szCs w:val="21"/>
        </w:rPr>
        <w:t xml:space="preserve">Dónde vive: </w:t>
      </w:r>
      <w:r>
        <w:rPr>
          <w:sz w:val="21"/>
          <w:szCs w:val="21"/>
        </w:rPr>
        <w:t xml:space="preserve">menú </w:t>
      </w:r>
      <w:r>
        <w:rPr>
          <w:b/>
          <w:bCs/>
          <w:sz w:val="21"/>
          <w:szCs w:val="21"/>
        </w:rPr>
        <w:t xml:space="preserve">Operación → Quejas</w:t>
      </w:r>
      <w:r>
        <w:rPr>
          <w:sz w:val="21"/>
          <w:szCs w:val="21"/>
        </w:rPr>
        <w:t xml:space="preserve"> (</w:t>
      </w:r>
      <w:r>
        <w:rPr>
          <w:rFonts w:ascii="Consolas" w:cs="Consolas" w:eastAsia="Consolas" w:hAnsi="Consolas"/>
          <w:sz w:val="19"/>
          <w:szCs w:val="19"/>
        </w:rPr>
        <w:t xml:space="preserve">/admin/quejas</w:t>
      </w:r>
      <w:r>
        <w:rPr>
          <w:sz w:val="21"/>
          <w:szCs w:val="21"/>
        </w:rPr>
        <w:t xml:space="preserve">). Entran dirección, admin y planeación. El operador solo ve y valida las quejas de las máquinas de su ruta.</w:t>
      </w:r>
    </w:p>
    <w:p>
      <w:pPr>
        <w:pStyle w:val="Heading1"/>
        <w:spacing w:after="140" w:before="420"/>
      </w:pPr>
      <w:r>
        <w:rPr>
          <w:b/>
          <w:bCs/>
          <w:color w:val="161A21"/>
          <w:sz w:val="28"/>
          <w:szCs w:val="28"/>
        </w:rPr>
        <w:t xml:space="preserve">1. Qué cambia respecto al Excel</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3000"/>
        <w:gridCol w:w="3180"/>
        <w:gridCol w:w="3180"/>
      </w:tblGrid>
      <w:tr>
        <w:trPr>
          <w:tblHeader/>
        </w:trPr>
        <w:tc>
          <w:tcPr>
            <w:tcW w:type="dxa" w:w="3000"/>
            <w:shd w:fill="EDF1F5" w:color="auto" w:val="clear"/>
            <w:tcMar>
              <w:top w:type="dxa" w:w="80"/>
              <w:left w:type="dxa" w:w="110"/>
              <w:bottom w:type="dxa" w:w="80"/>
              <w:right w:type="dxa" w:w="110"/>
            </w:tcMar>
          </w:tcPr>
          <w:p>
            <w:pPr>
              <w:spacing w:after="0"/>
              <w:jc w:val="left"/>
            </w:pPr>
            <w:r>
              <w:rPr>
                <w:b/>
                <w:bCs/>
                <w:color w:val="626D7C"/>
                <w:sz w:val="16"/>
                <w:szCs w:val="16"/>
              </w:rPr>
              <w:t xml:space="preserve"/>
            </w:r>
          </w:p>
        </w:tc>
        <w:tc>
          <w:tcPr>
            <w:tcW w:type="dxa" w:w="3180"/>
            <w:shd w:fill="EDF1F5" w:color="auto" w:val="clear"/>
            <w:tcMar>
              <w:top w:type="dxa" w:w="80"/>
              <w:left w:type="dxa" w:w="110"/>
              <w:bottom w:type="dxa" w:w="80"/>
              <w:right w:type="dxa" w:w="110"/>
            </w:tcMar>
          </w:tcPr>
          <w:p>
            <w:pPr>
              <w:spacing w:after="0"/>
              <w:jc w:val="left"/>
            </w:pPr>
            <w:r>
              <w:rPr>
                <w:b/>
                <w:bCs/>
                <w:color w:val="626D7C"/>
                <w:sz w:val="16"/>
                <w:szCs w:val="16"/>
              </w:rPr>
              <w:t xml:space="preserve">Antes (Excel)</w:t>
            </w:r>
          </w:p>
        </w:tc>
        <w:tc>
          <w:tcPr>
            <w:tcW w:type="dxa" w:w="3180"/>
            <w:shd w:fill="EDF1F5" w:color="auto" w:val="clear"/>
            <w:tcMar>
              <w:top w:type="dxa" w:w="80"/>
              <w:left w:type="dxa" w:w="110"/>
              <w:bottom w:type="dxa" w:w="80"/>
              <w:right w:type="dxa" w:w="110"/>
            </w:tcMar>
          </w:tcPr>
          <w:p>
            <w:pPr>
              <w:spacing w:after="0"/>
              <w:jc w:val="left"/>
            </w:pPr>
            <w:r>
              <w:rPr>
                <w:b/>
                <w:bCs/>
                <w:color w:val="626D7C"/>
                <w:sz w:val="16"/>
                <w:szCs w:val="16"/>
              </w:rPr>
              <w:t xml:space="preserve">Ahora (app)</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Captura del operador</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A mano: aparecían “GUILLEMRO”, “JONTAHAN”</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Se deduce solo de la ruta activa de la máquina</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Tipos de queja</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Texto libre, con tipos de efectivo que ya no existen</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13 tipos cerrados, todos cashless</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Seguimiento</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Una columna de comentarios</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Bitácora de toques con fecha, canal y resultado</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Antigüedad</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Se revisaba a ojo</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Tablero de 4 cubos: hoy · 1 día · 2 días · 3+ en rojo</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Comprobante de pago</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Opcional en la práctica</w:t>
            </w:r>
          </w:p>
        </w:tc>
        <w:tc>
          <w:tcPr>
            <w:tcW w:type="dxa" w:w="3180"/>
            <w:tcMar>
              <w:top w:type="dxa" w:w="80"/>
              <w:left w:type="dxa" w:w="110"/>
              <w:bottom w:type="dxa" w:w="80"/>
              <w:right w:type="dxa" w:w="110"/>
            </w:tcMar>
          </w:tcPr>
          <w:p>
            <w:pPr>
              <w:spacing w:after="0"/>
              <w:jc w:val="left"/>
            </w:pPr>
            <w:r>
              <w:rPr>
                <w:b/>
                <w:bCs/>
                <w:color w:val="A5364A"/>
                <w:sz w:val="19"/>
                <w:szCs w:val="19"/>
              </w:rPr>
              <w:t xml:space="preserve">La app no deja marcar pagada sin comprobante</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Cierre sin respuesta</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Sin evidencia que enseñar</w:t>
            </w:r>
          </w:p>
        </w:tc>
        <w:tc>
          <w:tcPr>
            <w:tcW w:type="dxa" w:w="3180"/>
            <w:tcMar>
              <w:top w:type="dxa" w:w="80"/>
              <w:left w:type="dxa" w:w="110"/>
              <w:bottom w:type="dxa" w:w="80"/>
              <w:right w:type="dxa" w:w="110"/>
            </w:tcMar>
          </w:tcPr>
          <w:p>
            <w:pPr>
              <w:spacing w:after="0"/>
              <w:jc w:val="left"/>
            </w:pPr>
            <w:r>
              <w:rPr>
                <w:b/>
                <w:bCs/>
                <w:color w:val="A5364A"/>
                <w:sz w:val="19"/>
                <w:szCs w:val="19"/>
              </w:rPr>
              <w:t xml:space="preserve">Exige bitácora: sin toques, no cierra</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Reincidencia</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No se podía medir</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Dos reportes: sin respaldo de venta y repetición por WhatsApp</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Teléfono del usuario</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Últimos 4 dígitos</w:t>
            </w:r>
          </w:p>
        </w:tc>
        <w:tc>
          <w:tcPr>
            <w:tcW w:type="dxa" w:w="3180"/>
            <w:tcMar>
              <w:top w:type="dxa" w:w="80"/>
              <w:left w:type="dxa" w:w="110"/>
              <w:bottom w:type="dxa" w:w="80"/>
              <w:right w:type="dxa" w:w="110"/>
            </w:tcMar>
          </w:tcPr>
          <w:p>
            <w:pPr>
              <w:spacing w:after="0"/>
              <w:jc w:val="left"/>
            </w:pPr>
            <w:r>
              <w:rPr>
                <w:b w:val="false"/>
                <w:bCs w:val="false"/>
                <w:color w:val="161A21"/>
                <w:sz w:val="19"/>
                <w:szCs w:val="19"/>
              </w:rPr>
              <w:t xml:space="preserve">Se captura completo, se guarda hasheado + últimos 4</w:t>
            </w:r>
          </w:p>
        </w:tc>
      </w:tr>
    </w:tbl>
    <w:p>
      <w:pPr>
        <w:spacing w:after="180"/>
      </w:pPr>
    </w:p>
    <w:p>
      <w:pPr>
        <w:spacing w:after="130" w:line="300"/>
      </w:pPr>
      <w:r>
        <w:rPr>
          <w:b/>
          <w:bCs/>
          <w:sz w:val="21"/>
          <w:szCs w:val="21"/>
        </w:rPr>
        <w:t xml:space="preserve">Un cambio de fondo: el catálogo es cashless. </w:t>
      </w:r>
      <w:r>
        <w:rPr>
          <w:sz w:val="21"/>
          <w:szCs w:val="21"/>
        </w:rPr>
        <w:t xml:space="preserve">En el Excel, 334 de las 1,280 quejas tipificadas (26%) eran de efectivo —cambio incompleto, billete atorado, se come el billete, monedas atoradas—. Con la máquina 100% cashless esas quejas ya no pueden ocurrir, y su equivalente moderno, el más grave de todos, es </w:t>
      </w:r>
      <w:r>
        <w:rPr>
          <w:b/>
          <w:bCs/>
          <w:sz w:val="21"/>
          <w:szCs w:val="21"/>
        </w:rPr>
        <w:t xml:space="preserve">“cobró y no salió producto”</w:t>
      </w:r>
      <w:r>
        <w:rPr>
          <w:sz w:val="21"/>
          <w:szCs w:val="21"/>
        </w:rPr>
        <w:t xml:space="preserve">.</w:t>
      </w:r>
    </w:p>
    <w:p>
      <w:pPr>
        <w:pStyle w:val="Heading1"/>
        <w:spacing w:after="140" w:before="420"/>
      </w:pPr>
      <w:r>
        <w:rPr>
          <w:b/>
          <w:bCs/>
          <w:color w:val="161A21"/>
          <w:sz w:val="28"/>
          <w:szCs w:val="28"/>
        </w:rPr>
        <w:t xml:space="preserve">2. El ciclo de una queja</w:t>
      </w:r>
    </w:p>
    <w:p>
      <w:pPr>
        <w:shd w:fill="F4F6F9" w:color="auto" w:val="clear"/>
        <w:spacing w:after="160" w:line="280"/>
      </w:pPr>
      <w:r>
        <w:rPr>
          <w:rFonts w:ascii="Consolas" w:cs="Consolas" w:eastAsia="Consolas" w:hAnsi="Consolas"/>
          <w:color w:val="161A21"/>
          <w:sz w:val="18"/>
          <w:szCs w:val="18"/>
        </w:rPr>
        <w:t xml:space="preserve">  Llega el WhatsApp  →  Mariana captura           (abierta)
        ↓
  Toques día 1, 2 y 3  +  toque final a los 7 días  (bitácora)
        ↓
  El operador valida en campo               (procede / no procede)
        ↓
  Mariana autoriza el monto                 (puede diferir del reclamado)
        ↓
  Se transfiere y se captura el comprobante        (pagada)
        ↓
  El operador recupera el dinero de la máquina     (recuperado)
        ↓
  Cierre:  resuelta   |   sin respuesta (con evidencia)</w:t>
      </w:r>
    </w:p>
    <w:p>
      <w:pPr>
        <w:spacing w:after="120" w:before="320"/>
      </w:pPr>
      <w:r>
        <w:rPr>
          <w:b/>
          <w:bCs/>
          <w:color w:val="2A4C7D"/>
          <w:sz w:val="24"/>
          <w:szCs w:val="24"/>
        </w:rPr>
        <w:t xml:space="preserve">Los ocho estados</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2400"/>
        <w:gridCol w:w="6960"/>
      </w:tblGrid>
      <w:tr>
        <w:trPr>
          <w:tblHeader/>
        </w:trPr>
        <w:tc>
          <w:tcPr>
            <w:tcW w:type="dxa" w:w="2400"/>
            <w:shd w:fill="EDF1F5" w:color="auto" w:val="clear"/>
            <w:tcMar>
              <w:top w:type="dxa" w:w="80"/>
              <w:left w:type="dxa" w:w="110"/>
              <w:bottom w:type="dxa" w:w="80"/>
              <w:right w:type="dxa" w:w="110"/>
            </w:tcMar>
          </w:tcPr>
          <w:p>
            <w:pPr>
              <w:spacing w:after="0"/>
              <w:jc w:val="left"/>
            </w:pPr>
            <w:r>
              <w:rPr>
                <w:b/>
                <w:bCs/>
                <w:color w:val="626D7C"/>
                <w:sz w:val="16"/>
                <w:szCs w:val="16"/>
              </w:rPr>
              <w:t xml:space="preserve">Estado</w:t>
            </w:r>
          </w:p>
        </w:tc>
        <w:tc>
          <w:tcPr>
            <w:tcW w:type="dxa" w:w="6960"/>
            <w:shd w:fill="EDF1F5" w:color="auto" w:val="clear"/>
            <w:tcMar>
              <w:top w:type="dxa" w:w="80"/>
              <w:left w:type="dxa" w:w="110"/>
              <w:bottom w:type="dxa" w:w="80"/>
              <w:right w:type="dxa" w:w="110"/>
            </w:tcMar>
          </w:tcPr>
          <w:p>
            <w:pPr>
              <w:spacing w:after="0"/>
              <w:jc w:val="left"/>
            </w:pPr>
            <w:r>
              <w:rPr>
                <w:b/>
                <w:bCs/>
                <w:color w:val="626D7C"/>
                <w:sz w:val="16"/>
                <w:szCs w:val="16"/>
              </w:rPr>
              <w:t xml:space="preserve">Qué significa</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Abierta</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Capturada. Nadie la ha validado todavía.</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Con el operador</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Enviada a campo para que diga si procede.</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Esperando al cliente</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Se contactó al usuario y falta que mande algo (foto, datos, CLABE). La pelota está de su lado, no del nuestro.</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Procede · por pagar</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Validada. Falta autorizar monto y transferir.</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No procede</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Se descartó. Exige motivo escrito.</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Pagada</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Se transfirió y hay comprobante.</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Cerrada</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Confirmada con el usuario.</w:t>
            </w:r>
          </w:p>
        </w:tc>
      </w:tr>
      <w:tr>
        <w:tc>
          <w:tcPr>
            <w:tcW w:type="dxa" w:w="2400"/>
            <w:tcMar>
              <w:top w:type="dxa" w:w="80"/>
              <w:left w:type="dxa" w:w="110"/>
              <w:bottom w:type="dxa" w:w="80"/>
              <w:right w:type="dxa" w:w="110"/>
            </w:tcMar>
          </w:tcPr>
          <w:p>
            <w:pPr>
              <w:spacing w:after="0"/>
              <w:jc w:val="left"/>
            </w:pPr>
            <w:r>
              <w:rPr>
                <w:b w:val="false"/>
                <w:bCs w:val="false"/>
                <w:color w:val="161A21"/>
                <w:sz w:val="19"/>
                <w:szCs w:val="19"/>
              </w:rPr>
              <w:t xml:space="preserve">Cerrada sin respuesta</w:t>
            </w:r>
          </w:p>
        </w:tc>
        <w:tc>
          <w:tcPr>
            <w:tcW w:type="dxa" w:w="6960"/>
            <w:tcMar>
              <w:top w:type="dxa" w:w="80"/>
              <w:left w:type="dxa" w:w="110"/>
              <w:bottom w:type="dxa" w:w="80"/>
              <w:right w:type="dxa" w:w="110"/>
            </w:tcMar>
          </w:tcPr>
          <w:p>
            <w:pPr>
              <w:spacing w:after="0"/>
              <w:jc w:val="left"/>
            </w:pPr>
            <w:r>
              <w:rPr>
                <w:b w:val="false"/>
                <w:bCs w:val="false"/>
                <w:color w:val="161A21"/>
                <w:sz w:val="19"/>
                <w:szCs w:val="19"/>
              </w:rPr>
              <w:t xml:space="preserve">Se agotaron los toques. Solo se permite con bitácora.</w:t>
            </w:r>
          </w:p>
        </w:tc>
      </w:tr>
    </w:tbl>
    <w:p>
      <w:pPr>
        <w:spacing w:after="180"/>
      </w:pPr>
    </w:p>
    <w:p>
      <w:pPr>
        <w:spacing w:after="130" w:line="300"/>
      </w:pPr>
      <w:r>
        <w:rPr>
          <w:b/>
          <w:bCs/>
          <w:sz w:val="21"/>
          <w:szCs w:val="21"/>
        </w:rPr>
        <w:t xml:space="preserve">Por qué importa “esperando al cliente”: </w:t>
      </w:r>
      <w:r>
        <w:rPr>
          <w:sz w:val="21"/>
          <w:szCs w:val="21"/>
        </w:rPr>
        <w:t xml:space="preserve">es la diferencia entre una queja que nos está esperando y una que está esperando al usuario. En el Excel las dos se veían igual y la de arriba envejecía sin que nadie lo notara.</w:t>
      </w:r>
    </w:p>
    <w:p>
      <w:pPr>
        <w:pStyle w:val="Heading1"/>
        <w:spacing w:after="140" w:before="420"/>
      </w:pPr>
      <w:r>
        <w:rPr>
          <w:b/>
          <w:bCs/>
          <w:color w:val="161A21"/>
          <w:sz w:val="28"/>
          <w:szCs w:val="28"/>
        </w:rPr>
        <w:t xml:space="preserve">3. Paso 1 — Captura (Mariana)</w:t>
      </w:r>
    </w:p>
    <w:p>
      <w:pPr>
        <w:spacing w:after="130" w:line="300"/>
      </w:pPr>
      <w:r>
        <w:rPr>
          <w:sz w:val="21"/>
          <w:szCs w:val="21"/>
        </w:rPr>
        <w:t xml:space="preserve">Botón «Registrar queja». Cuatro datos:</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2200"/>
        <w:gridCol w:w="7160"/>
      </w:tblGrid>
      <w:tr>
        <w:trPr>
          <w:tblHeader/>
        </w:trPr>
        <w:tc>
          <w:tcPr>
            <w:tcW w:type="dxa" w:w="2200"/>
            <w:shd w:fill="EDF1F5" w:color="auto" w:val="clear"/>
            <w:tcMar>
              <w:top w:type="dxa" w:w="80"/>
              <w:left w:type="dxa" w:w="110"/>
              <w:bottom w:type="dxa" w:w="80"/>
              <w:right w:type="dxa" w:w="110"/>
            </w:tcMar>
          </w:tcPr>
          <w:p>
            <w:pPr>
              <w:spacing w:after="0"/>
              <w:jc w:val="left"/>
            </w:pPr>
            <w:r>
              <w:rPr>
                <w:b/>
                <w:bCs/>
                <w:color w:val="626D7C"/>
                <w:sz w:val="16"/>
                <w:szCs w:val="16"/>
              </w:rPr>
              <w:t xml:space="preserve">Campo</w:t>
            </w:r>
          </w:p>
        </w:tc>
        <w:tc>
          <w:tcPr>
            <w:tcW w:type="dxa" w:w="7160"/>
            <w:shd w:fill="EDF1F5" w:color="auto" w:val="clear"/>
            <w:tcMar>
              <w:top w:type="dxa" w:w="80"/>
              <w:left w:type="dxa" w:w="110"/>
              <w:bottom w:type="dxa" w:w="80"/>
              <w:right w:type="dxa" w:w="110"/>
            </w:tcMar>
          </w:tcPr>
          <w:p>
            <w:pPr>
              <w:spacing w:after="0"/>
              <w:jc w:val="left"/>
            </w:pPr>
            <w:r>
              <w:rPr>
                <w:b/>
                <w:bCs/>
                <w:color w:val="626D7C"/>
                <w:sz w:val="16"/>
                <w:szCs w:val="16"/>
              </w:rPr>
              <w:t xml:space="preserve">Regla</w:t>
            </w:r>
          </w:p>
        </w:tc>
      </w:tr>
      <w:tr>
        <w:tc>
          <w:tcPr>
            <w:tcW w:type="dxa" w:w="2200"/>
            <w:tcMar>
              <w:top w:type="dxa" w:w="80"/>
              <w:left w:type="dxa" w:w="110"/>
              <w:bottom w:type="dxa" w:w="80"/>
              <w:right w:type="dxa" w:w="110"/>
            </w:tcMar>
          </w:tcPr>
          <w:p>
            <w:pPr>
              <w:spacing w:after="0"/>
              <w:jc w:val="left"/>
            </w:pPr>
            <w:r>
              <w:rPr>
                <w:b w:val="false"/>
                <w:bCs w:val="false"/>
                <w:color w:val="161A21"/>
                <w:sz w:val="19"/>
                <w:szCs w:val="19"/>
              </w:rPr>
              <w:t xml:space="preserve">WhatsApp</w:t>
            </w:r>
          </w:p>
        </w:tc>
        <w:tc>
          <w:tcPr>
            <w:tcW w:type="dxa" w:w="7160"/>
            <w:tcMar>
              <w:top w:type="dxa" w:w="80"/>
              <w:left w:type="dxa" w:w="110"/>
              <w:bottom w:type="dxa" w:w="80"/>
              <w:right w:type="dxa" w:w="110"/>
            </w:tcMar>
          </w:tcPr>
          <w:p>
            <w:pPr>
              <w:spacing w:after="0"/>
              <w:jc w:val="left"/>
            </w:pPr>
            <w:r>
              <w:rPr>
                <w:b w:val="false"/>
                <w:bCs w:val="false"/>
                <w:color w:val="161A21"/>
                <w:sz w:val="19"/>
                <w:szCs w:val="19"/>
              </w:rPr>
              <w:t xml:space="preserve">Lada +52 fija en pantalla y 10 dígitos. Con contador 0/10; si se pega un número con espacios, guiones o +521, la pantalla lo limpia sola. Sin 10 dígitos no guarda.</w:t>
            </w:r>
          </w:p>
        </w:tc>
      </w:tr>
      <w:tr>
        <w:tc>
          <w:tcPr>
            <w:tcW w:type="dxa" w:w="2200"/>
            <w:tcMar>
              <w:top w:type="dxa" w:w="80"/>
              <w:left w:type="dxa" w:w="110"/>
              <w:bottom w:type="dxa" w:w="80"/>
              <w:right w:type="dxa" w:w="110"/>
            </w:tcMar>
          </w:tcPr>
          <w:p>
            <w:pPr>
              <w:spacing w:after="0"/>
              <w:jc w:val="left"/>
            </w:pPr>
            <w:r>
              <w:rPr>
                <w:b w:val="false"/>
                <w:bCs w:val="false"/>
                <w:color w:val="161A21"/>
                <w:sz w:val="19"/>
                <w:szCs w:val="19"/>
              </w:rPr>
              <w:t xml:space="preserve">Máquina</w:t>
            </w:r>
          </w:p>
        </w:tc>
        <w:tc>
          <w:tcPr>
            <w:tcW w:type="dxa" w:w="7160"/>
            <w:tcMar>
              <w:top w:type="dxa" w:w="80"/>
              <w:left w:type="dxa" w:w="110"/>
              <w:bottom w:type="dxa" w:w="80"/>
              <w:right w:type="dxa" w:w="110"/>
            </w:tcMar>
          </w:tcPr>
          <w:p>
            <w:pPr>
              <w:spacing w:after="0"/>
              <w:jc w:val="left"/>
            </w:pPr>
            <w:r>
              <w:rPr>
                <w:b w:val="false"/>
                <w:bCs w:val="false"/>
                <w:color w:val="161A21"/>
                <w:sz w:val="19"/>
                <w:szCs w:val="19"/>
              </w:rPr>
              <w:t xml:space="preserve">De la lista de máquinas activas. De aquí sale el operador responsable.</w:t>
            </w:r>
          </w:p>
        </w:tc>
      </w:tr>
      <w:tr>
        <w:tc>
          <w:tcPr>
            <w:tcW w:type="dxa" w:w="2200"/>
            <w:tcMar>
              <w:top w:type="dxa" w:w="80"/>
              <w:left w:type="dxa" w:w="110"/>
              <w:bottom w:type="dxa" w:w="80"/>
              <w:right w:type="dxa" w:w="110"/>
            </w:tcMar>
          </w:tcPr>
          <w:p>
            <w:pPr>
              <w:spacing w:after="0"/>
              <w:jc w:val="left"/>
            </w:pPr>
            <w:r>
              <w:rPr>
                <w:b w:val="false"/>
                <w:bCs w:val="false"/>
                <w:color w:val="161A21"/>
                <w:sz w:val="19"/>
                <w:szCs w:val="19"/>
              </w:rPr>
              <w:t xml:space="preserve">Tipo</w:t>
            </w:r>
          </w:p>
        </w:tc>
        <w:tc>
          <w:tcPr>
            <w:tcW w:type="dxa" w:w="7160"/>
            <w:tcMar>
              <w:top w:type="dxa" w:w="80"/>
              <w:left w:type="dxa" w:w="110"/>
              <w:bottom w:type="dxa" w:w="80"/>
              <w:right w:type="dxa" w:w="110"/>
            </w:tcMar>
          </w:tcPr>
          <w:p>
            <w:pPr>
              <w:spacing w:after="0"/>
              <w:jc w:val="left"/>
            </w:pPr>
            <w:r>
              <w:rPr>
                <w:b w:val="false"/>
                <w:bCs w:val="false"/>
                <w:color w:val="161A21"/>
                <w:sz w:val="19"/>
                <w:szCs w:val="19"/>
              </w:rPr>
              <w:t xml:space="preserve">Uno de los 13 del catálogo, agrupados en Cobro · Producto · Máquina · Otro.</w:t>
            </w:r>
          </w:p>
        </w:tc>
      </w:tr>
      <w:tr>
        <w:tc>
          <w:tcPr>
            <w:tcW w:type="dxa" w:w="2200"/>
            <w:tcMar>
              <w:top w:type="dxa" w:w="80"/>
              <w:left w:type="dxa" w:w="110"/>
              <w:bottom w:type="dxa" w:w="80"/>
              <w:right w:type="dxa" w:w="110"/>
            </w:tcMar>
          </w:tcPr>
          <w:p>
            <w:pPr>
              <w:spacing w:after="0"/>
              <w:jc w:val="left"/>
            </w:pPr>
            <w:r>
              <w:rPr>
                <w:b w:val="false"/>
                <w:bCs w:val="false"/>
                <w:color w:val="161A21"/>
                <w:sz w:val="19"/>
                <w:szCs w:val="19"/>
              </w:rPr>
              <w:t xml:space="preserve">Monto reclamado</w:t>
            </w:r>
          </w:p>
        </w:tc>
        <w:tc>
          <w:tcPr>
            <w:tcW w:type="dxa" w:w="7160"/>
            <w:tcMar>
              <w:top w:type="dxa" w:w="80"/>
              <w:left w:type="dxa" w:w="110"/>
              <w:bottom w:type="dxa" w:w="80"/>
              <w:right w:type="dxa" w:w="110"/>
            </w:tcMar>
          </w:tcPr>
          <w:p>
            <w:pPr>
              <w:spacing w:after="0"/>
              <w:jc w:val="left"/>
            </w:pPr>
            <w:r>
              <w:rPr>
                <w:b w:val="false"/>
                <w:bCs w:val="false"/>
                <w:color w:val="161A21"/>
                <w:sz w:val="19"/>
                <w:szCs w:val="19"/>
              </w:rPr>
              <w:t xml:space="preserve">Lo que dice el usuario. Es referencia, no compromiso.</w:t>
            </w:r>
          </w:p>
        </w:tc>
      </w:tr>
      <w:tr>
        <w:tc>
          <w:tcPr>
            <w:tcW w:type="dxa" w:w="2200"/>
            <w:tcMar>
              <w:top w:type="dxa" w:w="80"/>
              <w:left w:type="dxa" w:w="110"/>
              <w:bottom w:type="dxa" w:w="80"/>
              <w:right w:type="dxa" w:w="110"/>
            </w:tcMar>
          </w:tcPr>
          <w:p>
            <w:pPr>
              <w:spacing w:after="0"/>
              <w:jc w:val="left"/>
            </w:pPr>
            <w:r>
              <w:rPr>
                <w:b w:val="false"/>
                <w:bCs w:val="false"/>
                <w:color w:val="161A21"/>
                <w:sz w:val="19"/>
                <w:szCs w:val="19"/>
              </w:rPr>
              <w:t xml:space="preserve">Descripción</w:t>
            </w:r>
          </w:p>
        </w:tc>
        <w:tc>
          <w:tcPr>
            <w:tcW w:type="dxa" w:w="7160"/>
            <w:tcMar>
              <w:top w:type="dxa" w:w="80"/>
              <w:left w:type="dxa" w:w="110"/>
              <w:bottom w:type="dxa" w:w="80"/>
              <w:right w:type="dxa" w:w="110"/>
            </w:tcMar>
          </w:tcPr>
          <w:p>
            <w:pPr>
              <w:spacing w:after="0"/>
              <w:jc w:val="left"/>
            </w:pPr>
            <w:r>
              <w:rPr>
                <w:b w:val="false"/>
                <w:bCs w:val="false"/>
                <w:color w:val="161A21"/>
                <w:sz w:val="19"/>
                <w:szCs w:val="19"/>
              </w:rPr>
              <w:t xml:space="preserve">Obligatoria solo cuando el tipo es «Otro».</w:t>
            </w:r>
          </w:p>
        </w:tc>
      </w:tr>
    </w:tbl>
    <w:p>
      <w:pPr>
        <w:spacing w:after="180"/>
      </w:pPr>
    </w:p>
    <w:p>
      <w:pPr>
        <w:spacing w:after="130" w:line="300"/>
      </w:pPr>
      <w:r>
        <w:rPr>
          <w:b/>
          <w:bCs/>
          <w:sz w:val="21"/>
          <w:szCs w:val="21"/>
        </w:rPr>
        <w:t xml:space="preserve">El operador no se teclea. </w:t>
      </w:r>
      <w:r>
        <w:rPr>
          <w:sz w:val="21"/>
          <w:szCs w:val="21"/>
        </w:rPr>
        <w:t xml:space="preserve">La app lo saca de la ruta activa de esa máquina. Es de donde salían los nombres mal escritos del Excel, y sin operador confiable no se puede medir a nadie.</w:t>
      </w:r>
    </w:p>
    <w:p>
      <w:pPr>
        <w:spacing w:after="120" w:before="320"/>
      </w:pPr>
      <w:r>
        <w:rPr>
          <w:b/>
          <w:bCs/>
          <w:color w:val="2A4C7D"/>
          <w:sz w:val="24"/>
          <w:szCs w:val="24"/>
        </w:rPr>
        <w:t xml:space="preserve">Los 13 tipos</w:t>
      </w:r>
      <w:r>
        <w:rPr>
          <w:color w:val="626D7C"/>
          <w:sz w:val="18"/>
          <w:szCs w:val="18"/>
        </w:rPr>
        <w:t xml:space="preserve">   todos cashless</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1700"/>
        <w:gridCol w:w="3400"/>
        <w:gridCol w:w="4260"/>
      </w:tblGrid>
      <w:tr>
        <w:trPr>
          <w:tblHeader/>
        </w:trPr>
        <w:tc>
          <w:tcPr>
            <w:tcW w:type="dxa" w:w="1700"/>
            <w:shd w:fill="EDF1F5" w:color="auto" w:val="clear"/>
            <w:tcMar>
              <w:top w:type="dxa" w:w="80"/>
              <w:left w:type="dxa" w:w="110"/>
              <w:bottom w:type="dxa" w:w="80"/>
              <w:right w:type="dxa" w:w="110"/>
            </w:tcMar>
          </w:tcPr>
          <w:p>
            <w:pPr>
              <w:spacing w:after="0"/>
              <w:jc w:val="left"/>
            </w:pPr>
            <w:r>
              <w:rPr>
                <w:b/>
                <w:bCs/>
                <w:color w:val="626D7C"/>
                <w:sz w:val="16"/>
                <w:szCs w:val="16"/>
              </w:rPr>
              <w:t xml:space="preserve">Grupo</w:t>
            </w:r>
          </w:p>
        </w:tc>
        <w:tc>
          <w:tcPr>
            <w:tcW w:type="dxa" w:w="3400"/>
            <w:shd w:fill="EDF1F5" w:color="auto" w:val="clear"/>
            <w:tcMar>
              <w:top w:type="dxa" w:w="80"/>
              <w:left w:type="dxa" w:w="110"/>
              <w:bottom w:type="dxa" w:w="80"/>
              <w:right w:type="dxa" w:w="110"/>
            </w:tcMar>
          </w:tcPr>
          <w:p>
            <w:pPr>
              <w:spacing w:after="0"/>
              <w:jc w:val="left"/>
            </w:pPr>
            <w:r>
              <w:rPr>
                <w:b/>
                <w:bCs/>
                <w:color w:val="626D7C"/>
                <w:sz w:val="16"/>
                <w:szCs w:val="16"/>
              </w:rPr>
              <w:t xml:space="preserve">Tipo</w:t>
            </w:r>
          </w:p>
        </w:tc>
        <w:tc>
          <w:tcPr>
            <w:tcW w:type="dxa" w:w="4260"/>
            <w:shd w:fill="EDF1F5" w:color="auto" w:val="clear"/>
            <w:tcMar>
              <w:top w:type="dxa" w:w="80"/>
              <w:left w:type="dxa" w:w="110"/>
              <w:bottom w:type="dxa" w:w="80"/>
              <w:right w:type="dxa" w:w="110"/>
            </w:tcMar>
          </w:tcPr>
          <w:p>
            <w:pPr>
              <w:spacing w:after="0"/>
              <w:jc w:val="left"/>
            </w:pPr>
            <w:r>
              <w:rPr>
                <w:b/>
                <w:bCs/>
                <w:color w:val="626D7C"/>
                <w:sz w:val="16"/>
                <w:szCs w:val="16"/>
              </w:rPr>
              <w:t xml:space="preserve">Cuándo se usa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Cobro</w:t>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Cobró y no salió producto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El caso más grave: hay cargo a la tarjeta sin producto.</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Cobro duplicado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Se cobró dos veces la misma compra.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Producto</w:t>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Máquina da agua</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Salió agua sin polvo.</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Bebida incompleta</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Salió menos producto del debido.</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Vaso vacío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Cayó el vaso sin bebida.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Producto en mal estado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Sabor, textura, grumos.</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Mal olor</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Olor en la máquina o en la bebida.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Máquina</w:t>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Vaso atorado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El vaso no cayó.</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Vaso atrapado en la puerta</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El vaso se quedó dentro de la puerta.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Terminal no pasa</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El lector rechaza la tarjeta.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Touchscreen no sirve</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La pantalla no responde.</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Máquina en error</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Pantalla trabada, no opera.</w:t>
            </w:r>
          </w:p>
        </w:tc>
      </w:tr>
      <w:tr>
        <w:tc>
          <w:tcPr>
            <w:tcW w:type="dxa" w:w="1700"/>
            <w:tcMar>
              <w:top w:type="dxa" w:w="80"/>
              <w:left w:type="dxa" w:w="110"/>
              <w:bottom w:type="dxa" w:w="80"/>
              <w:right w:type="dxa" w:w="110"/>
            </w:tcMar>
          </w:tcPr>
          <w:p>
            <w:pPr>
              <w:spacing w:after="0"/>
              <w:jc w:val="left"/>
            </w:pPr>
            <w:r>
              <w:rPr>
                <w:b w:val="false"/>
                <w:bCs w:val="false"/>
                <w:color w:val="161A21"/>
                <w:sz w:val="19"/>
                <w:szCs w:val="19"/>
              </w:rPr>
              <w:t xml:space="preserve">Otro</w:t>
            </w:r>
          </w:p>
        </w:tc>
        <w:tc>
          <w:tcPr>
            <w:tcW w:type="dxa" w:w="3400"/>
            <w:tcMar>
              <w:top w:type="dxa" w:w="80"/>
              <w:left w:type="dxa" w:w="110"/>
              <w:bottom w:type="dxa" w:w="80"/>
              <w:right w:type="dxa" w:w="110"/>
            </w:tcMar>
          </w:tcPr>
          <w:p>
            <w:pPr>
              <w:spacing w:after="0"/>
              <w:jc w:val="left"/>
            </w:pPr>
            <w:r>
              <w:rPr>
                <w:b w:val="false"/>
                <w:bCs w:val="false"/>
                <w:color w:val="161A21"/>
                <w:sz w:val="19"/>
                <w:szCs w:val="19"/>
              </w:rPr>
              <w:t xml:space="preserve">Otro</w:t>
            </w:r>
          </w:p>
        </w:tc>
        <w:tc>
          <w:tcPr>
            <w:tcW w:type="dxa" w:w="4260"/>
            <w:tcMar>
              <w:top w:type="dxa" w:w="80"/>
              <w:left w:type="dxa" w:w="110"/>
              <w:bottom w:type="dxa" w:w="80"/>
              <w:right w:type="dxa" w:w="110"/>
            </w:tcMar>
          </w:tcPr>
          <w:p>
            <w:pPr>
              <w:spacing w:after="0"/>
              <w:jc w:val="left"/>
            </w:pPr>
            <w:r>
              <w:rPr>
                <w:b w:val="false"/>
                <w:bCs w:val="false"/>
                <w:color w:val="161A21"/>
                <w:sz w:val="19"/>
                <w:szCs w:val="19"/>
              </w:rPr>
              <w:t xml:space="preserve">Exige descripción escrita.</w:t>
            </w:r>
          </w:p>
        </w:tc>
      </w:tr>
    </w:tbl>
    <w:p>
      <w:pPr>
        <w:spacing w:after="180"/>
      </w:pPr>
    </w:p>
    <w:p>
      <w:pPr>
        <w:pStyle w:val="Heading1"/>
        <w:spacing w:after="140" w:before="420"/>
      </w:pPr>
      <w:r>
        <w:rPr>
          <w:b/>
          <w:bCs/>
          <w:color w:val="161A21"/>
          <w:sz w:val="28"/>
          <w:szCs w:val="28"/>
        </w:rPr>
        <w:t xml:space="preserve">4. Paso 2 — Seguimiento y toques</w:t>
      </w:r>
    </w:p>
    <w:p>
      <w:pPr>
        <w:spacing w:after="130" w:line="300"/>
      </w:pPr>
      <w:r>
        <w:rPr>
          <w:sz w:val="21"/>
          <w:szCs w:val="21"/>
        </w:rPr>
        <w:t xml:space="preserve">Cada intento de contacto se registra: fecha, canal (WhatsApp, llamada, correo, presencial), resultado (contestó, no contestó, quedó de mandar algo) y una nota. La cadencia acordada:</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1500"/>
        <w:gridCol w:w="3000"/>
        <w:gridCol w:w="4860"/>
      </w:tblGrid>
      <w:tr>
        <w:trPr>
          <w:tblHeader/>
        </w:trPr>
        <w:tc>
          <w:tcPr>
            <w:tcW w:type="dxa" w:w="1500"/>
            <w:shd w:fill="EDF1F5" w:color="auto" w:val="clear"/>
            <w:tcMar>
              <w:top w:type="dxa" w:w="80"/>
              <w:left w:type="dxa" w:w="110"/>
              <w:bottom w:type="dxa" w:w="80"/>
              <w:right w:type="dxa" w:w="110"/>
            </w:tcMar>
          </w:tcPr>
          <w:p>
            <w:pPr>
              <w:spacing w:after="0"/>
              <w:jc w:val="left"/>
            </w:pPr>
            <w:r>
              <w:rPr>
                <w:b/>
                <w:bCs/>
                <w:color w:val="626D7C"/>
                <w:sz w:val="16"/>
                <w:szCs w:val="16"/>
              </w:rPr>
              <w:t xml:space="preserve">Momento</w:t>
            </w:r>
          </w:p>
        </w:tc>
        <w:tc>
          <w:tcPr>
            <w:tcW w:type="dxa" w:w="3000"/>
            <w:shd w:fill="EDF1F5" w:color="auto" w:val="clear"/>
            <w:tcMar>
              <w:top w:type="dxa" w:w="80"/>
              <w:left w:type="dxa" w:w="110"/>
              <w:bottom w:type="dxa" w:w="80"/>
              <w:right w:type="dxa" w:w="110"/>
            </w:tcMar>
          </w:tcPr>
          <w:p>
            <w:pPr>
              <w:spacing w:after="0"/>
              <w:jc w:val="left"/>
            </w:pPr>
            <w:r>
              <w:rPr>
                <w:b/>
                <w:bCs/>
                <w:color w:val="626D7C"/>
                <w:sz w:val="16"/>
                <w:szCs w:val="16"/>
              </w:rPr>
              <w:t xml:space="preserve">Acción</w:t>
            </w:r>
          </w:p>
        </w:tc>
        <w:tc>
          <w:tcPr>
            <w:tcW w:type="dxa" w:w="4860"/>
            <w:shd w:fill="EDF1F5" w:color="auto" w:val="clear"/>
            <w:tcMar>
              <w:top w:type="dxa" w:w="80"/>
              <w:left w:type="dxa" w:w="110"/>
              <w:bottom w:type="dxa" w:w="80"/>
              <w:right w:type="dxa" w:w="110"/>
            </w:tcMar>
          </w:tcPr>
          <w:p>
            <w:pPr>
              <w:spacing w:after="0"/>
              <w:jc w:val="left"/>
            </w:pPr>
            <w:r>
              <w:rPr>
                <w:b/>
                <w:bCs/>
                <w:color w:val="626D7C"/>
                <w:sz w:val="16"/>
                <w:szCs w:val="16"/>
              </w:rPr>
              <w:t xml:space="preserve">Para qué</w:t>
            </w:r>
          </w:p>
        </w:tc>
      </w:tr>
      <w:tr>
        <w:tc>
          <w:tcPr>
            <w:tcW w:type="dxa" w:w="1500"/>
            <w:tcMar>
              <w:top w:type="dxa" w:w="80"/>
              <w:left w:type="dxa" w:w="110"/>
              <w:bottom w:type="dxa" w:w="80"/>
              <w:right w:type="dxa" w:w="110"/>
            </w:tcMar>
          </w:tcPr>
          <w:p>
            <w:pPr>
              <w:spacing w:after="0"/>
              <w:jc w:val="left"/>
            </w:pPr>
            <w:r>
              <w:rPr>
                <w:b w:val="false"/>
                <w:bCs w:val="false"/>
                <w:color w:val="161A21"/>
                <w:sz w:val="19"/>
                <w:szCs w:val="19"/>
              </w:rPr>
              <w:t xml:space="preserve">Día 1</w:t>
            </w:r>
          </w:p>
        </w:tc>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Primer toque</w:t>
            </w:r>
          </w:p>
        </w:tc>
        <w:tc>
          <w:tcPr>
            <w:tcW w:type="dxa" w:w="4860"/>
            <w:tcMar>
              <w:top w:type="dxa" w:w="80"/>
              <w:left w:type="dxa" w:w="110"/>
              <w:bottom w:type="dxa" w:w="80"/>
              <w:right w:type="dxa" w:w="110"/>
            </w:tcMar>
          </w:tcPr>
          <w:p>
            <w:pPr>
              <w:spacing w:after="0"/>
              <w:jc w:val="left"/>
            </w:pPr>
            <w:r>
              <w:rPr>
                <w:b w:val="false"/>
                <w:bCs w:val="false"/>
                <w:color w:val="161A21"/>
                <w:sz w:val="19"/>
                <w:szCs w:val="19"/>
              </w:rPr>
              <w:t xml:space="preserve">Confirmar el caso y pedir lo que falte.</w:t>
            </w:r>
          </w:p>
        </w:tc>
      </w:tr>
      <w:tr>
        <w:tc>
          <w:tcPr>
            <w:tcW w:type="dxa" w:w="1500"/>
            <w:tcMar>
              <w:top w:type="dxa" w:w="80"/>
              <w:left w:type="dxa" w:w="110"/>
              <w:bottom w:type="dxa" w:w="80"/>
              <w:right w:type="dxa" w:w="110"/>
            </w:tcMar>
          </w:tcPr>
          <w:p>
            <w:pPr>
              <w:spacing w:after="0"/>
              <w:jc w:val="left"/>
            </w:pPr>
            <w:r>
              <w:rPr>
                <w:b w:val="false"/>
                <w:bCs w:val="false"/>
                <w:color w:val="161A21"/>
                <w:sz w:val="19"/>
                <w:szCs w:val="19"/>
              </w:rPr>
              <w:t xml:space="preserve">Día 2</w:t>
            </w:r>
          </w:p>
        </w:tc>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Segundo toque</w:t>
            </w:r>
          </w:p>
        </w:tc>
        <w:tc>
          <w:tcPr>
            <w:tcW w:type="dxa" w:w="4860"/>
            <w:tcMar>
              <w:top w:type="dxa" w:w="80"/>
              <w:left w:type="dxa" w:w="110"/>
              <w:bottom w:type="dxa" w:w="80"/>
              <w:right w:type="dxa" w:w="110"/>
            </w:tcMar>
          </w:tcPr>
          <w:p>
            <w:pPr>
              <w:spacing w:after="0"/>
              <w:jc w:val="left"/>
            </w:pPr>
            <w:r>
              <w:rPr>
                <w:b w:val="false"/>
                <w:bCs w:val="false"/>
                <w:color w:val="161A21"/>
                <w:sz w:val="19"/>
                <w:szCs w:val="19"/>
              </w:rPr>
              <w:t xml:space="preserve">Si no contestó.</w:t>
            </w:r>
          </w:p>
        </w:tc>
      </w:tr>
      <w:tr>
        <w:tc>
          <w:tcPr>
            <w:tcW w:type="dxa" w:w="1500"/>
            <w:tcMar>
              <w:top w:type="dxa" w:w="80"/>
              <w:left w:type="dxa" w:w="110"/>
              <w:bottom w:type="dxa" w:w="80"/>
              <w:right w:type="dxa" w:w="110"/>
            </w:tcMar>
          </w:tcPr>
          <w:p>
            <w:pPr>
              <w:spacing w:after="0"/>
              <w:jc w:val="left"/>
            </w:pPr>
            <w:r>
              <w:rPr>
                <w:b w:val="false"/>
                <w:bCs w:val="false"/>
                <w:color w:val="161A21"/>
                <w:sz w:val="19"/>
                <w:szCs w:val="19"/>
              </w:rPr>
              <w:t xml:space="preserve">Día 3</w:t>
            </w:r>
          </w:p>
        </w:tc>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Tercer toque</w:t>
            </w:r>
          </w:p>
        </w:tc>
        <w:tc>
          <w:tcPr>
            <w:tcW w:type="dxa" w:w="4860"/>
            <w:tcMar>
              <w:top w:type="dxa" w:w="80"/>
              <w:left w:type="dxa" w:w="110"/>
              <w:bottom w:type="dxa" w:w="80"/>
              <w:right w:type="dxa" w:w="110"/>
            </w:tcMar>
          </w:tcPr>
          <w:p>
            <w:pPr>
              <w:spacing w:after="0"/>
              <w:jc w:val="left"/>
            </w:pPr>
            <w:r>
              <w:rPr>
                <w:b w:val="false"/>
                <w:bCs w:val="false"/>
                <w:color w:val="161A21"/>
                <w:sz w:val="19"/>
                <w:szCs w:val="19"/>
              </w:rPr>
              <w:t xml:space="preserve">A partir de aquí la queja se pinta en rojo en el tablero.</w:t>
            </w:r>
          </w:p>
        </w:tc>
      </w:tr>
      <w:tr>
        <w:tc>
          <w:tcPr>
            <w:tcW w:type="dxa" w:w="1500"/>
            <w:tcMar>
              <w:top w:type="dxa" w:w="80"/>
              <w:left w:type="dxa" w:w="110"/>
              <w:bottom w:type="dxa" w:w="80"/>
              <w:right w:type="dxa" w:w="110"/>
            </w:tcMar>
          </w:tcPr>
          <w:p>
            <w:pPr>
              <w:spacing w:after="0"/>
              <w:jc w:val="left"/>
            </w:pPr>
            <w:r>
              <w:rPr>
                <w:b w:val="false"/>
                <w:bCs w:val="false"/>
                <w:color w:val="161A21"/>
                <w:sz w:val="19"/>
                <w:szCs w:val="19"/>
              </w:rPr>
              <w:t xml:space="preserve">Día 10</w:t>
            </w:r>
          </w:p>
        </w:tc>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Toque final</w:t>
            </w:r>
          </w:p>
        </w:tc>
        <w:tc>
          <w:tcPr>
            <w:tcW w:type="dxa" w:w="4860"/>
            <w:tcMar>
              <w:top w:type="dxa" w:w="80"/>
              <w:left w:type="dxa" w:w="110"/>
              <w:bottom w:type="dxa" w:w="80"/>
              <w:right w:type="dxa" w:w="110"/>
            </w:tcMar>
          </w:tcPr>
          <w:p>
            <w:pPr>
              <w:spacing w:after="0"/>
              <w:jc w:val="left"/>
            </w:pPr>
            <w:r>
              <w:rPr>
                <w:b w:val="false"/>
                <w:bCs w:val="false"/>
                <w:color w:val="161A21"/>
                <w:sz w:val="19"/>
                <w:szCs w:val="19"/>
              </w:rPr>
              <w:t xml:space="preserve">Una semana después del tercero. Es el último.</w:t>
            </w:r>
          </w:p>
        </w:tc>
      </w:tr>
      <w:tr>
        <w:tc>
          <w:tcPr>
            <w:tcW w:type="dxa" w:w="1500"/>
            <w:tcMar>
              <w:top w:type="dxa" w:w="80"/>
              <w:left w:type="dxa" w:w="110"/>
              <w:bottom w:type="dxa" w:w="80"/>
              <w:right w:type="dxa" w:w="110"/>
            </w:tcMar>
          </w:tcPr>
          <w:p>
            <w:pPr>
              <w:spacing w:after="0"/>
              <w:jc w:val="left"/>
            </w:pPr>
            <w:r>
              <w:rPr>
                <w:b w:val="false"/>
                <w:bCs w:val="false"/>
                <w:color w:val="161A21"/>
                <w:sz w:val="19"/>
                <w:szCs w:val="19"/>
              </w:rPr>
              <w:t xml:space="preserve">Después</w:t>
            </w:r>
          </w:p>
        </w:tc>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Cierre sin respuesta</w:t>
            </w:r>
          </w:p>
        </w:tc>
        <w:tc>
          <w:tcPr>
            <w:tcW w:type="dxa" w:w="4860"/>
            <w:tcMar>
              <w:top w:type="dxa" w:w="80"/>
              <w:left w:type="dxa" w:w="110"/>
              <w:bottom w:type="dxa" w:w="80"/>
              <w:right w:type="dxa" w:w="110"/>
            </w:tcMar>
          </w:tcPr>
          <w:p>
            <w:pPr>
              <w:spacing w:after="0"/>
              <w:jc w:val="left"/>
            </w:pPr>
            <w:r>
              <w:rPr>
                <w:b w:val="false"/>
                <w:bCs w:val="false"/>
                <w:color w:val="161A21"/>
                <w:sz w:val="19"/>
                <w:szCs w:val="19"/>
              </w:rPr>
              <w:t xml:space="preserve">Solo si la bitácora tiene con qué sostenerlo.</w:t>
            </w:r>
          </w:p>
        </w:tc>
      </w:tr>
    </w:tbl>
    <w:p>
      <w:pPr>
        <w:spacing w:after="180"/>
      </w:pPr>
    </w:p>
    <w:p>
      <w:pPr>
        <w:spacing w:after="130" w:line="300"/>
      </w:pPr>
      <w:r>
        <w:rPr>
          <w:b/>
          <w:bCs/>
          <w:sz w:val="21"/>
          <w:szCs w:val="21"/>
        </w:rPr>
        <w:t xml:space="preserve">La bitácora es la evidencia. </w:t>
      </w:r>
      <w:r>
        <w:rPr>
          <w:sz w:val="21"/>
          <w:szCs w:val="21"/>
        </w:rPr>
        <w:t xml:space="preserve">No es burocracia: es lo que se le enseña al cliente —Smart Fit, Planet Fitness— y a dirección cuando alguien pregunta por qué se cerró una queja sin pagarla. Por eso la app rechaza el cierre por falta de respuesta si no hay ni un toque registrado.</w:t>
      </w:r>
    </w:p>
    <w:p>
      <w:pPr>
        <w:pStyle w:val="Heading1"/>
        <w:spacing w:after="140" w:before="420"/>
      </w:pPr>
      <w:r>
        <w:rPr>
          <w:b/>
          <w:bCs/>
          <w:color w:val="161A21"/>
          <w:sz w:val="28"/>
          <w:szCs w:val="28"/>
        </w:rPr>
        <w:t xml:space="preserve">5. Paso 3 — Validación del operador</w:t>
      </w:r>
    </w:p>
    <w:p>
      <w:pPr>
        <w:spacing w:after="130" w:line="300"/>
      </w:pPr>
      <w:r>
        <w:rPr>
          <w:sz w:val="21"/>
          <w:szCs w:val="21"/>
        </w:rPr>
        <w:t xml:space="preserve">El operador de la ruta dice si la queja procede. Si dice que no, tiene que escribir el motivo; la app no acepta un «no procede» en blanco. El operador puede tocar únicamente las quejas de sus máquinas, y únicamente el veredicto: el monto y el pago no están a su alcance ni siquiera si intentara llamarlos por fuera de la pantalla.</w:t>
      </w:r>
    </w:p>
    <w:p>
      <w:pPr>
        <w:pStyle w:val="Heading1"/>
        <w:spacing w:after="140" w:before="420"/>
      </w:pPr>
      <w:r>
        <w:rPr>
          <w:b/>
          <w:bCs/>
          <w:color w:val="161A21"/>
          <w:sz w:val="28"/>
          <w:szCs w:val="28"/>
        </w:rPr>
        <w:t xml:space="preserve">6. Pasos 4 y 5 — Monto y pago</w:t>
      </w:r>
    </w:p>
    <w:p>
      <w:pPr>
        <w:spacing w:after="130" w:line="300"/>
      </w:pPr>
      <w:r>
        <w:rPr>
          <w:b/>
          <w:bCs/>
          <w:sz w:val="21"/>
          <w:szCs w:val="21"/>
        </w:rPr>
        <w:t xml:space="preserve">El monto lo decide Mariana</w:t>
      </w:r>
      <w:r>
        <w:rPr>
          <w:sz w:val="21"/>
          <w:szCs w:val="21"/>
        </w:rPr>
        <w:t xml:space="preserve">, no el usuario. La pantalla muestra lado a lado lo reclamado y lo autorizado, que pueden ser distintos. La base de datos impide autorizar un monto en una queja que no procede: no hay forma de pagar algo que se descartó.</w:t>
      </w:r>
    </w:p>
    <w:p>
      <w:pPr>
        <w:spacing w:after="130" w:line="300"/>
      </w:pPr>
      <w:r>
        <w:rPr>
          <w:b/>
          <w:bCs/>
          <w:sz w:val="21"/>
          <w:szCs w:val="21"/>
        </w:rPr>
        <w:t xml:space="preserve">No hay pago sin comprobante. </w:t>
      </w:r>
      <w:r>
        <w:rPr>
          <w:sz w:val="21"/>
          <w:szCs w:val="21"/>
        </w:rPr>
        <w:t xml:space="preserve">El estado «pagada» exige la referencia del comprobante de transferencia. Es una restricción de la base, no una validación de pantalla: no se puede saltar.</w:t>
      </w:r>
    </w:p>
    <w:p>
      <w:pPr>
        <w:spacing w:after="130" w:line="300"/>
      </w:pPr>
      <w:r>
        <w:rPr>
          <w:b/>
          <w:bCs/>
          <w:sz w:val="21"/>
          <w:szCs w:val="21"/>
        </w:rPr>
        <w:t xml:space="preserve">Recuperación del dinero. </w:t>
      </w:r>
      <w:r>
        <w:rPr>
          <w:sz w:val="21"/>
          <w:szCs w:val="21"/>
        </w:rPr>
        <w:t xml:space="preserve">Cuando el operador entrega en CEDIS el efectivo o el ajuste correspondiente a lo que se le devolvió al usuario, se marca en la queja con su fecha. Cierra el circuito del dinero: se pagó, y se recuperó.</w:t>
      </w:r>
    </w:p>
    <w:p>
      <w:pPr>
        <w:pStyle w:val="Heading1"/>
        <w:spacing w:after="140" w:before="420"/>
      </w:pPr>
      <w:r>
        <w:rPr>
          <w:b/>
          <w:bCs/>
          <w:color w:val="161A21"/>
          <w:sz w:val="28"/>
          <w:szCs w:val="28"/>
        </w:rPr>
        <w:t xml:space="preserve">7. Paso 6 — Cierre</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2600"/>
        <w:gridCol w:w="6760"/>
      </w:tblGrid>
      <w:tr>
        <w:trPr>
          <w:tblHeader/>
        </w:trPr>
        <w:tc>
          <w:tcPr>
            <w:tcW w:type="dxa" w:w="2600"/>
            <w:shd w:fill="EDF1F5" w:color="auto" w:val="clear"/>
            <w:tcMar>
              <w:top w:type="dxa" w:w="80"/>
              <w:left w:type="dxa" w:w="110"/>
              <w:bottom w:type="dxa" w:w="80"/>
              <w:right w:type="dxa" w:w="110"/>
            </w:tcMar>
          </w:tcPr>
          <w:p>
            <w:pPr>
              <w:spacing w:after="0"/>
              <w:jc w:val="left"/>
            </w:pPr>
            <w:r>
              <w:rPr>
                <w:b/>
                <w:bCs/>
                <w:color w:val="626D7C"/>
                <w:sz w:val="16"/>
                <w:szCs w:val="16"/>
              </w:rPr>
              <w:t xml:space="preserve">Tipo de cierre</w:t>
            </w:r>
          </w:p>
        </w:tc>
        <w:tc>
          <w:tcPr>
            <w:tcW w:type="dxa" w:w="6760"/>
            <w:shd w:fill="EDF1F5" w:color="auto" w:val="clear"/>
            <w:tcMar>
              <w:top w:type="dxa" w:w="80"/>
              <w:left w:type="dxa" w:w="110"/>
              <w:bottom w:type="dxa" w:w="80"/>
              <w:right w:type="dxa" w:w="110"/>
            </w:tcMar>
          </w:tcPr>
          <w:p>
            <w:pPr>
              <w:spacing w:after="0"/>
              <w:jc w:val="left"/>
            </w:pPr>
            <w:r>
              <w:rPr>
                <w:b/>
                <w:bCs/>
                <w:color w:val="626D7C"/>
                <w:sz w:val="16"/>
                <w:szCs w:val="16"/>
              </w:rPr>
              <w:t xml:space="preserve">Requisitos</w:t>
            </w:r>
          </w:p>
        </w:tc>
      </w:tr>
      <w:tr>
        <w:tc>
          <w:tcPr>
            <w:tcW w:type="dxa" w:w="2600"/>
            <w:tcMar>
              <w:top w:type="dxa" w:w="80"/>
              <w:left w:type="dxa" w:w="110"/>
              <w:bottom w:type="dxa" w:w="80"/>
              <w:right w:type="dxa" w:w="110"/>
            </w:tcMar>
          </w:tcPr>
          <w:p>
            <w:pPr>
              <w:spacing w:after="0"/>
              <w:jc w:val="left"/>
            </w:pPr>
            <w:r>
              <w:rPr>
                <w:b w:val="false"/>
                <w:bCs w:val="false"/>
                <w:color w:val="161A21"/>
                <w:sz w:val="19"/>
                <w:szCs w:val="19"/>
              </w:rPr>
              <w:t xml:space="preserve">Cerrada (resuelta)</w:t>
            </w:r>
          </w:p>
        </w:tc>
        <w:tc>
          <w:tcPr>
            <w:tcW w:type="dxa" w:w="6760"/>
            <w:tcMar>
              <w:top w:type="dxa" w:w="80"/>
              <w:left w:type="dxa" w:w="110"/>
              <w:bottom w:type="dxa" w:w="80"/>
              <w:right w:type="dxa" w:w="110"/>
            </w:tcMar>
          </w:tcPr>
          <w:p>
            <w:pPr>
              <w:spacing w:after="0"/>
              <w:jc w:val="left"/>
            </w:pPr>
            <w:r>
              <w:rPr>
                <w:b w:val="false"/>
                <w:bCs w:val="false"/>
                <w:color w:val="161A21"/>
                <w:sz w:val="19"/>
                <w:szCs w:val="19"/>
              </w:rPr>
              <w:t xml:space="preserve">El usuario confirmó. Se puede dejar nota de cierre.</w:t>
            </w:r>
          </w:p>
        </w:tc>
      </w:tr>
      <w:tr>
        <w:tc>
          <w:tcPr>
            <w:tcW w:type="dxa" w:w="2600"/>
            <w:tcMar>
              <w:top w:type="dxa" w:w="80"/>
              <w:left w:type="dxa" w:w="110"/>
              <w:bottom w:type="dxa" w:w="80"/>
              <w:right w:type="dxa" w:w="110"/>
            </w:tcMar>
          </w:tcPr>
          <w:p>
            <w:pPr>
              <w:spacing w:after="0"/>
              <w:jc w:val="left"/>
            </w:pPr>
            <w:r>
              <w:rPr>
                <w:b w:val="false"/>
                <w:bCs w:val="false"/>
                <w:color w:val="161A21"/>
                <w:sz w:val="19"/>
                <w:szCs w:val="19"/>
              </w:rPr>
              <w:t xml:space="preserve">Cerrada sin respuesta</w:t>
            </w:r>
          </w:p>
        </w:tc>
        <w:tc>
          <w:tcPr>
            <w:tcW w:type="dxa" w:w="6760"/>
            <w:tcMar>
              <w:top w:type="dxa" w:w="80"/>
              <w:left w:type="dxa" w:w="110"/>
              <w:bottom w:type="dxa" w:w="80"/>
              <w:right w:type="dxa" w:w="110"/>
            </w:tcMar>
          </w:tcPr>
          <w:p>
            <w:pPr>
              <w:spacing w:after="0"/>
              <w:jc w:val="left"/>
            </w:pPr>
            <w:r>
              <w:rPr>
                <w:b/>
                <w:bCs/>
                <w:color w:val="A5364A"/>
                <w:sz w:val="19"/>
                <w:szCs w:val="19"/>
              </w:rPr>
              <w:t xml:space="preserve">Exige al menos un toque en la bitácora. Sin evidencia, la app la rechaza.</w:t>
            </w:r>
          </w:p>
        </w:tc>
      </w:tr>
    </w:tbl>
    <w:p>
      <w:pPr>
        <w:spacing w:after="180"/>
      </w:pPr>
    </w:p>
    <w:p>
      <w:pPr>
        <w:pStyle w:val="Heading1"/>
        <w:spacing w:after="140" w:before="420"/>
      </w:pPr>
      <w:r>
        <w:rPr>
          <w:b/>
          <w:bCs/>
          <w:color w:val="161A21"/>
          <w:sz w:val="28"/>
          <w:szCs w:val="28"/>
        </w:rPr>
        <w:t xml:space="preserve">8. El tablero de Mariana</w:t>
      </w:r>
    </w:p>
    <w:p>
      <w:pPr>
        <w:spacing w:after="130" w:line="300"/>
      </w:pPr>
      <w:r>
        <w:rPr>
          <w:sz w:val="21"/>
          <w:szCs w:val="21"/>
        </w:rPr>
        <w:t xml:space="preserve">La pantalla principal es una lista de trabajo del día, no un reporte. Arriba, cuatro cubos por antigüedad; abajo, la lista, ordenada de la más vieja a la más nueva.</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1800"/>
        <w:gridCol w:w="7560"/>
      </w:tblGrid>
      <w:tr>
        <w:trPr>
          <w:tblHeader/>
        </w:trPr>
        <w:tc>
          <w:tcPr>
            <w:tcW w:type="dxa" w:w="1800"/>
            <w:shd w:fill="EDF1F5" w:color="auto" w:val="clear"/>
            <w:tcMar>
              <w:top w:type="dxa" w:w="80"/>
              <w:left w:type="dxa" w:w="110"/>
              <w:bottom w:type="dxa" w:w="80"/>
              <w:right w:type="dxa" w:w="110"/>
            </w:tcMar>
          </w:tcPr>
          <w:p>
            <w:pPr>
              <w:spacing w:after="0"/>
              <w:jc w:val="left"/>
            </w:pPr>
            <w:r>
              <w:rPr>
                <w:b/>
                <w:bCs/>
                <w:color w:val="626D7C"/>
                <w:sz w:val="16"/>
                <w:szCs w:val="16"/>
              </w:rPr>
              <w:t xml:space="preserve">Cubo</w:t>
            </w:r>
          </w:p>
        </w:tc>
        <w:tc>
          <w:tcPr>
            <w:tcW w:type="dxa" w:w="7560"/>
            <w:shd w:fill="EDF1F5" w:color="auto" w:val="clear"/>
            <w:tcMar>
              <w:top w:type="dxa" w:w="80"/>
              <w:left w:type="dxa" w:w="110"/>
              <w:bottom w:type="dxa" w:w="80"/>
              <w:right w:type="dxa" w:w="110"/>
            </w:tcMar>
          </w:tcPr>
          <w:p>
            <w:pPr>
              <w:spacing w:after="0"/>
              <w:jc w:val="left"/>
            </w:pPr>
            <w:r>
              <w:rPr>
                <w:b/>
                <w:bCs/>
                <w:color w:val="626D7C"/>
                <w:sz w:val="16"/>
                <w:szCs w:val="16"/>
              </w:rPr>
              <w:t xml:space="preserve">Qué junta</w:t>
            </w:r>
          </w:p>
        </w:tc>
      </w:tr>
      <w:tr>
        <w:tc>
          <w:tcPr>
            <w:tcW w:type="dxa" w:w="1800"/>
            <w:tcMar>
              <w:top w:type="dxa" w:w="80"/>
              <w:left w:type="dxa" w:w="110"/>
              <w:bottom w:type="dxa" w:w="80"/>
              <w:right w:type="dxa" w:w="110"/>
            </w:tcMar>
          </w:tcPr>
          <w:p>
            <w:pPr>
              <w:spacing w:after="0"/>
              <w:jc w:val="left"/>
            </w:pPr>
            <w:r>
              <w:rPr>
                <w:b w:val="false"/>
                <w:bCs w:val="false"/>
                <w:color w:val="161A21"/>
                <w:sz w:val="19"/>
                <w:szCs w:val="19"/>
              </w:rPr>
              <w:t xml:space="preserve">Hoy</w:t>
            </w:r>
          </w:p>
        </w:tc>
        <w:tc>
          <w:tcPr>
            <w:tcW w:type="dxa" w:w="7560"/>
            <w:tcMar>
              <w:top w:type="dxa" w:w="80"/>
              <w:left w:type="dxa" w:w="110"/>
              <w:bottom w:type="dxa" w:w="80"/>
              <w:right w:type="dxa" w:w="110"/>
            </w:tcMar>
          </w:tcPr>
          <w:p>
            <w:pPr>
              <w:spacing w:after="0"/>
              <w:jc w:val="left"/>
            </w:pPr>
            <w:r>
              <w:rPr>
                <w:b w:val="false"/>
                <w:bCs w:val="false"/>
                <w:color w:val="161A21"/>
                <w:sz w:val="19"/>
                <w:szCs w:val="19"/>
              </w:rPr>
              <w:t xml:space="preserve">Capturadas el mismo día.</w:t>
            </w:r>
          </w:p>
        </w:tc>
      </w:tr>
      <w:tr>
        <w:tc>
          <w:tcPr>
            <w:tcW w:type="dxa" w:w="1800"/>
            <w:tcMar>
              <w:top w:type="dxa" w:w="80"/>
              <w:left w:type="dxa" w:w="110"/>
              <w:bottom w:type="dxa" w:w="80"/>
              <w:right w:type="dxa" w:w="110"/>
            </w:tcMar>
          </w:tcPr>
          <w:p>
            <w:pPr>
              <w:spacing w:after="0"/>
              <w:jc w:val="left"/>
            </w:pPr>
            <w:r>
              <w:rPr>
                <w:b w:val="false"/>
                <w:bCs w:val="false"/>
                <w:color w:val="161A21"/>
                <w:sz w:val="19"/>
                <w:szCs w:val="19"/>
              </w:rPr>
              <w:t xml:space="preserve">1 día</w:t>
            </w:r>
          </w:p>
        </w:tc>
        <w:tc>
          <w:tcPr>
            <w:tcW w:type="dxa" w:w="7560"/>
            <w:tcMar>
              <w:top w:type="dxa" w:w="80"/>
              <w:left w:type="dxa" w:w="110"/>
              <w:bottom w:type="dxa" w:w="80"/>
              <w:right w:type="dxa" w:w="110"/>
            </w:tcMar>
          </w:tcPr>
          <w:p>
            <w:pPr>
              <w:spacing w:after="0"/>
              <w:jc w:val="left"/>
            </w:pPr>
            <w:r>
              <w:rPr>
                <w:b w:val="false"/>
                <w:bCs w:val="false"/>
                <w:color w:val="161A21"/>
                <w:sz w:val="19"/>
                <w:szCs w:val="19"/>
              </w:rPr>
              <w:t xml:space="preserve">Van para el segundo toque.</w:t>
            </w:r>
          </w:p>
        </w:tc>
      </w:tr>
      <w:tr>
        <w:tc>
          <w:tcPr>
            <w:tcW w:type="dxa" w:w="1800"/>
            <w:tcMar>
              <w:top w:type="dxa" w:w="80"/>
              <w:left w:type="dxa" w:w="110"/>
              <w:bottom w:type="dxa" w:w="80"/>
              <w:right w:type="dxa" w:w="110"/>
            </w:tcMar>
          </w:tcPr>
          <w:p>
            <w:pPr>
              <w:spacing w:after="0"/>
              <w:jc w:val="left"/>
            </w:pPr>
            <w:r>
              <w:rPr>
                <w:b w:val="false"/>
                <w:bCs w:val="false"/>
                <w:color w:val="161A21"/>
                <w:sz w:val="19"/>
                <w:szCs w:val="19"/>
              </w:rPr>
              <w:t xml:space="preserve">2 días</w:t>
            </w:r>
          </w:p>
        </w:tc>
        <w:tc>
          <w:tcPr>
            <w:tcW w:type="dxa" w:w="7560"/>
            <w:tcMar>
              <w:top w:type="dxa" w:w="80"/>
              <w:left w:type="dxa" w:w="110"/>
              <w:bottom w:type="dxa" w:w="80"/>
              <w:right w:type="dxa" w:w="110"/>
            </w:tcMar>
          </w:tcPr>
          <w:p>
            <w:pPr>
              <w:spacing w:after="0"/>
              <w:jc w:val="left"/>
            </w:pPr>
            <w:r>
              <w:rPr>
                <w:b w:val="false"/>
                <w:bCs w:val="false"/>
                <w:color w:val="161A21"/>
                <w:sz w:val="19"/>
                <w:szCs w:val="19"/>
              </w:rPr>
              <w:t xml:space="preserve">Van para el tercero.</w:t>
            </w:r>
          </w:p>
        </w:tc>
      </w:tr>
      <w:tr>
        <w:tc>
          <w:tcPr>
            <w:tcW w:type="dxa" w:w="1800"/>
            <w:tcMar>
              <w:top w:type="dxa" w:w="80"/>
              <w:left w:type="dxa" w:w="110"/>
              <w:bottom w:type="dxa" w:w="80"/>
              <w:right w:type="dxa" w:w="110"/>
            </w:tcMar>
          </w:tcPr>
          <w:p>
            <w:pPr>
              <w:spacing w:after="0"/>
              <w:jc w:val="left"/>
            </w:pPr>
            <w:r>
              <w:rPr>
                <w:b w:val="false"/>
                <w:bCs w:val="false"/>
                <w:color w:val="161A21"/>
                <w:sz w:val="19"/>
                <w:szCs w:val="19"/>
              </w:rPr>
              <w:t xml:space="preserve">3+ días</w:t>
            </w:r>
          </w:p>
        </w:tc>
        <w:tc>
          <w:tcPr>
            <w:tcW w:type="dxa" w:w="7560"/>
            <w:tcMar>
              <w:top w:type="dxa" w:w="80"/>
              <w:left w:type="dxa" w:w="110"/>
              <w:bottom w:type="dxa" w:w="80"/>
              <w:right w:type="dxa" w:w="110"/>
            </w:tcMar>
          </w:tcPr>
          <w:p>
            <w:pPr>
              <w:spacing w:after="0"/>
              <w:jc w:val="left"/>
            </w:pPr>
            <w:r>
              <w:rPr>
                <w:b/>
                <w:bCs/>
                <w:color w:val="A5364A"/>
                <w:sz w:val="19"/>
                <w:szCs w:val="19"/>
              </w:rPr>
              <w:t xml:space="preserve">En rojo. Ya pasaron el umbral acordado de queja vieja.</w:t>
            </w:r>
          </w:p>
        </w:tc>
      </w:tr>
    </w:tbl>
    <w:p>
      <w:pPr>
        <w:spacing w:after="180"/>
      </w:pPr>
    </w:p>
    <w:p>
      <w:pPr>
        <w:pStyle w:val="ListParagraph"/>
        <w:numPr>
          <w:ilvl w:val="0"/>
          <w:numId w:val="2"/>
        </w:numPr>
        <w:spacing w:after="90" w:line="290"/>
      </w:pPr>
      <w:r>
        <w:rPr>
          <w:b/>
          <w:bCs/>
          <w:sz w:val="21"/>
          <w:szCs w:val="21"/>
        </w:rPr>
        <w:t xml:space="preserve">Drill-down: </w:t>
      </w:r>
      <w:r>
        <w:rPr>
          <w:sz w:val="21"/>
          <w:szCs w:val="21"/>
        </w:rPr>
        <w:t xml:space="preserve">al hacer clic en un cubo la lista se filtra a ese corte. Otro clic la devuelve completa.</w:t>
      </w:r>
    </w:p>
    <w:p>
      <w:pPr>
        <w:pStyle w:val="ListParagraph"/>
        <w:numPr>
          <w:ilvl w:val="0"/>
          <w:numId w:val="2"/>
        </w:numPr>
        <w:spacing w:after="90" w:line="290"/>
      </w:pPr>
      <w:r>
        <w:rPr>
          <w:b/>
          <w:bCs/>
          <w:sz w:val="21"/>
          <w:szCs w:val="21"/>
        </w:rPr>
        <w:t xml:space="preserve">Columna «último toque»: </w:t>
      </w:r>
      <w:r>
        <w:rPr>
          <w:sz w:val="21"/>
          <w:szCs w:val="21"/>
        </w:rPr>
        <w:t xml:space="preserve">dice hace cuántos días se habló con esa persona. Si nunca se le ha hablado, aparece </w:t>
      </w:r>
      <w:r>
        <w:rPr>
          <w:b/>
          <w:bCs/>
          <w:color w:val="A5364A"/>
          <w:sz w:val="21"/>
          <w:szCs w:val="21"/>
        </w:rPr>
        <w:t xml:space="preserve">«sin toques» en rojo</w:t>
      </w:r>
      <w:r>
        <w:rPr>
          <w:sz w:val="21"/>
          <w:szCs w:val="21"/>
        </w:rPr>
        <w:t xml:space="preserve">. Esa columna es la lista de a quién marcarle hoy.</w:t>
      </w:r>
    </w:p>
    <w:p>
      <w:pPr>
        <w:pStyle w:val="ListParagraph"/>
        <w:numPr>
          <w:ilvl w:val="0"/>
          <w:numId w:val="2"/>
        </w:numPr>
        <w:spacing w:after="90" w:line="290"/>
      </w:pPr>
      <w:r>
        <w:rPr>
          <w:b/>
          <w:bCs/>
          <w:sz w:val="21"/>
          <w:szCs w:val="21"/>
        </w:rPr>
        <w:t xml:space="preserve">Solo quejas vivas: </w:t>
      </w:r>
      <w:r>
        <w:rPr>
          <w:sz w:val="21"/>
          <w:szCs w:val="21"/>
        </w:rPr>
        <w:t xml:space="preserve">las cerradas y las que no procedieron salen del tablero. Siguen consultables por folio.</w:t>
      </w:r>
    </w:p>
    <w:p>
      <w:pPr>
        <w:pStyle w:val="Heading1"/>
        <w:spacing w:after="140" w:before="420"/>
      </w:pPr>
      <w:r>
        <w:rPr>
          <w:b/>
          <w:bCs/>
          <w:color w:val="161A21"/>
          <w:sz w:val="28"/>
          <w:szCs w:val="28"/>
        </w:rPr>
        <w:t xml:space="preserve">9. Reincidencia y fraude</w:t>
      </w:r>
    </w:p>
    <w:p>
      <w:pPr>
        <w:spacing w:after="130" w:line="300"/>
      </w:pPr>
      <w:r>
        <w:rPr>
          <w:sz w:val="21"/>
          <w:szCs w:val="21"/>
        </w:rPr>
        <w:t xml:space="preserve">El botón «Reincidencia» abre dos reportes distintos, y el orden en que aparecen es deliberado.</w:t>
      </w:r>
    </w:p>
    <w:p>
      <w:pPr>
        <w:spacing w:after="120" w:before="320"/>
      </w:pPr>
      <w:r>
        <w:rPr>
          <w:b/>
          <w:bCs/>
          <w:color w:val="2A4C7D"/>
          <w:sz w:val="24"/>
          <w:szCs w:val="24"/>
        </w:rPr>
        <w:t xml:space="preserve">Reporte 1 — Reclama un cargo que no existe</w:t>
      </w:r>
      <w:r>
        <w:rPr>
          <w:color w:val="626D7C"/>
          <w:sz w:val="18"/>
          <w:szCs w:val="18"/>
        </w:rPr>
        <w:t xml:space="preserve">   la señal objetiva</w:t>
      </w:r>
    </w:p>
    <w:p>
      <w:pPr>
        <w:spacing w:after="130" w:line="300"/>
      </w:pPr>
      <w:r>
        <w:rPr>
          <w:sz w:val="21"/>
          <w:szCs w:val="21"/>
        </w:rPr>
        <w:t xml:space="preserve">Toma las quejas que afirman un cobro y busca en Nayax si hubo alguna venta de esa máquina en ±2 horas alrededor de lo reportado (margen amplio porque el usuario rara vez recuerda la hora exacta). Si no hubo ninguna venta, no hubo cargo. No depende de saber quién es la persona: es aritmética contra el sistema de cobro.</w:t>
      </w:r>
    </w:p>
    <w:p>
      <w:pPr>
        <w:spacing w:after="120" w:before="320"/>
      </w:pPr>
      <w:r>
        <w:rPr>
          <w:b/>
          <w:bCs/>
          <w:color w:val="2A4C7D"/>
          <w:sz w:val="24"/>
          <w:szCs w:val="24"/>
        </w:rPr>
        <w:t xml:space="preserve">Reporte 2 — WhatsApp con más de una queja en 90 días</w:t>
      </w:r>
      <w:r>
        <w:rPr>
          <w:color w:val="626D7C"/>
          <w:sz w:val="18"/>
          <w:szCs w:val="18"/>
        </w:rPr>
        <w:t xml:space="preserve">   la señal indiciaria</w:t>
      </w:r>
    </w:p>
    <w:p>
      <w:pPr>
        <w:spacing w:after="130" w:line="300"/>
      </w:pPr>
      <w:r>
        <w:rPr>
          <w:b/>
          <w:bCs/>
          <w:sz w:val="21"/>
          <w:szCs w:val="21"/>
        </w:rPr>
        <w:t xml:space="preserve">Reincidir no es defraudar. </w:t>
      </w:r>
      <w:r>
        <w:rPr>
          <w:sz w:val="21"/>
          <w:szCs w:val="21"/>
        </w:rPr>
        <w:t xml:space="preserve">Quien compra todos los días en una máquina descompuesta se va a quejar legítimamente cinco veces. La columna que discrimina es </w:t>
      </w:r>
      <w:r>
        <w:rPr>
          <w:b/>
          <w:bCs/>
          <w:sz w:val="21"/>
          <w:szCs w:val="21"/>
        </w:rPr>
        <w:t xml:space="preserve">«máquinas distintas»</w:t>
      </w:r>
      <w:r>
        <w:rPr>
          <w:sz w:val="21"/>
          <w:szCs w:val="21"/>
        </w:rPr>
        <w:t xml:space="preserve">: cinco quejas de la misma máquina acusan a la máquina; cinco quejas de cinco máquinas distintas acusan a la persona. El reporte marca en ámbar a partir de tres máquinas distintas, y muestra también cuánto se le ha pagado y qué porcentaje de sus quejas no procedió.</w:t>
      </w:r>
    </w:p>
    <w:p>
      <w:pPr>
        <w:spacing w:after="130" w:line="300"/>
      </w:pPr>
      <w:r>
        <w:rPr>
          <w:sz w:val="21"/>
          <w:szCs w:val="21"/>
        </w:rPr>
        <w:t xml:space="preserve">El umbral configurado (3 quejas en 90 días) no bloquea nada: obliga a mirar el caso antes de autorizar el pago. La decisión sigue siendo de Mariana.</w:t>
      </w:r>
    </w:p>
    <w:p>
      <w:pPr>
        <w:pStyle w:val="Heading1"/>
        <w:spacing w:after="140" w:before="420"/>
      </w:pPr>
      <w:r>
        <w:rPr>
          <w:b/>
          <w:bCs/>
          <w:color w:val="161A21"/>
          <w:sz w:val="28"/>
          <w:szCs w:val="28"/>
        </w:rPr>
        <w:t xml:space="preserve">10. El teléfono: por qué se pide completo y qué se guarda</w:t>
      </w:r>
    </w:p>
    <w:p>
      <w:pPr>
        <w:spacing w:after="130" w:line="300"/>
      </w:pPr>
      <w:r>
        <w:rPr>
          <w:sz w:val="21"/>
          <w:szCs w:val="21"/>
        </w:rPr>
        <w:t xml:space="preserve">Para poder decir «este WhatsApp ya se quejó antes» hace falta comparar el número completo. Con cuatro dígitos no alcanza: son 10,000 combinaciones y, con unas 100 quejas al mes, la probabilidad de que dos personas distintas coincidan en los mismos cuatro dígitos dentro del mes es del 39%. Al año la coincidencia es segura. Un tablero de reincidencia armado sobre cuatro dígitos acusaría a gente inocente.</w:t>
      </w:r>
    </w:p>
    <w:p>
      <w:pPr>
        <w:spacing w:after="130" w:line="300"/>
      </w:pPr>
      <w:r>
        <w:rPr>
          <w:sz w:val="21"/>
          <w:szCs w:val="21"/>
        </w:rPr>
        <w:t xml:space="preserve">La solución que quedó:</w:t>
      </w:r>
    </w:p>
    <w:p>
      <w:pPr>
        <w:pStyle w:val="ListParagraph"/>
        <w:numPr>
          <w:ilvl w:val="0"/>
          <w:numId w:val="2"/>
        </w:numPr>
        <w:spacing w:after="90" w:line="290"/>
      </w:pPr>
      <w:r>
        <w:rPr>
          <w:sz w:val="21"/>
          <w:szCs w:val="21"/>
        </w:rPr>
        <w:t xml:space="preserve">Mariana captura el número completo (+52 y 10 dígitos).</w:t>
      </w:r>
    </w:p>
    <w:p>
      <w:pPr>
        <w:pStyle w:val="ListParagraph"/>
        <w:numPr>
          <w:ilvl w:val="0"/>
          <w:numId w:val="2"/>
        </w:numPr>
        <w:spacing w:after="90" w:line="290"/>
      </w:pPr>
      <w:r>
        <w:rPr>
          <w:sz w:val="21"/>
          <w:szCs w:val="21"/>
        </w:rPr>
        <w:t xml:space="preserve">La app lo normaliza, le aplica una huella criptográfica irreversible (SHA-256 con una sal secreta) y guarda esa huella.</w:t>
      </w:r>
    </w:p>
    <w:p>
      <w:pPr>
        <w:pStyle w:val="ListParagraph"/>
        <w:numPr>
          <w:ilvl w:val="0"/>
          <w:numId w:val="2"/>
        </w:numPr>
        <w:spacing w:after="90" w:line="290"/>
      </w:pPr>
      <w:r>
        <w:rPr>
          <w:b/>
          <w:bCs/>
          <w:sz w:val="21"/>
          <w:szCs w:val="21"/>
        </w:rPr>
        <w:t xml:space="preserve">El número completo nunca se guarda</w:t>
      </w:r>
      <w:r>
        <w:rPr>
          <w:sz w:val="21"/>
          <w:szCs w:val="21"/>
        </w:rPr>
        <w:t xml:space="preserve"> ni queda en bitácoras. En pantalla solo se ven los últimos 4 dígitos.</w:t>
      </w:r>
    </w:p>
    <w:p>
      <w:pPr>
        <w:pStyle w:val="ListParagraph"/>
        <w:numPr>
          <w:ilvl w:val="0"/>
          <w:numId w:val="2"/>
        </w:numPr>
        <w:spacing w:after="90" w:line="290"/>
      </w:pPr>
      <w:r>
        <w:rPr>
          <w:sz w:val="21"/>
          <w:szCs w:val="21"/>
        </w:rPr>
        <w:t xml:space="preserve">Dos quejas del mismo teléfono producen la misma huella, así que la reincidencia se detecta exacto — pero de la huella no se puede volver al número.</w:t>
      </w:r>
    </w:p>
    <w:p>
      <w:pPr>
        <w:spacing w:after="130" w:line="300"/>
      </w:pPr>
      <w:r>
        <w:rPr>
          <w:b/>
          <w:bCs/>
          <w:color w:val="A5364A"/>
          <w:sz w:val="21"/>
          <w:szCs w:val="21"/>
        </w:rPr>
        <w:t xml:space="preserve">Advertencia operativa: </w:t>
      </w:r>
      <w:r>
        <w:rPr>
          <w:sz w:val="21"/>
          <w:szCs w:val="21"/>
        </w:rPr>
        <w:t xml:space="preserve">la sal (la variable </w:t>
      </w:r>
      <w:r>
        <w:rPr>
          <w:rFonts w:ascii="Consolas" w:cs="Consolas" w:eastAsia="Consolas" w:hAnsi="Consolas"/>
          <w:sz w:val="19"/>
          <w:szCs w:val="19"/>
        </w:rPr>
        <w:t xml:space="preserve">QUEJAS_TELEFONO_SALT</w:t>
      </w:r>
      <w:r>
        <w:rPr>
          <w:sz w:val="21"/>
          <w:szCs w:val="21"/>
        </w:rPr>
        <w:t xml:space="preserve">) no se rota. Si se cambia, las huellas viejas dejan de empatar con las nuevas y se pierde todo el histórico de reincidencia acumulado.</w:t>
      </w:r>
    </w:p>
    <w:p>
      <w:pPr>
        <w:pStyle w:val="Heading1"/>
        <w:spacing w:after="140" w:before="420"/>
      </w:pPr>
      <w:r>
        <w:rPr>
          <w:b/>
          <w:bCs/>
          <w:color w:val="161A21"/>
          <w:sz w:val="28"/>
          <w:szCs w:val="28"/>
        </w:rPr>
        <w:t xml:space="preserve">11. Reglas que la app no deja romper</w:t>
      </w:r>
    </w:p>
    <w:p>
      <w:pPr>
        <w:spacing w:after="130" w:line="300"/>
      </w:pPr>
      <w:r>
        <w:rPr>
          <w:sz w:val="21"/>
          <w:szCs w:val="21"/>
        </w:rPr>
        <w:t xml:space="preserve">No son avisos en pantalla: son restricciones de la base de datos y del servidor. No hay forma de saltárselas.</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4400"/>
        <w:gridCol w:w="4960"/>
      </w:tblGrid>
      <w:tr>
        <w:trPr>
          <w:tblHeader/>
        </w:trPr>
        <w:tc>
          <w:tcPr>
            <w:tcW w:type="dxa" w:w="4400"/>
            <w:shd w:fill="EDF1F5" w:color="auto" w:val="clear"/>
            <w:tcMar>
              <w:top w:type="dxa" w:w="80"/>
              <w:left w:type="dxa" w:w="110"/>
              <w:bottom w:type="dxa" w:w="80"/>
              <w:right w:type="dxa" w:w="110"/>
            </w:tcMar>
          </w:tcPr>
          <w:p>
            <w:pPr>
              <w:spacing w:after="0"/>
              <w:jc w:val="left"/>
            </w:pPr>
            <w:r>
              <w:rPr>
                <w:b/>
                <w:bCs/>
                <w:color w:val="626D7C"/>
                <w:sz w:val="16"/>
                <w:szCs w:val="16"/>
              </w:rPr>
              <w:t xml:space="preserve">Regla</w:t>
            </w:r>
          </w:p>
        </w:tc>
        <w:tc>
          <w:tcPr>
            <w:tcW w:type="dxa" w:w="4960"/>
            <w:shd w:fill="EDF1F5" w:color="auto" w:val="clear"/>
            <w:tcMar>
              <w:top w:type="dxa" w:w="80"/>
              <w:left w:type="dxa" w:w="110"/>
              <w:bottom w:type="dxa" w:w="80"/>
              <w:right w:type="dxa" w:w="110"/>
            </w:tcMar>
          </w:tcPr>
          <w:p>
            <w:pPr>
              <w:spacing w:after="0"/>
              <w:jc w:val="left"/>
            </w:pPr>
            <w:r>
              <w:rPr>
                <w:b/>
                <w:bCs/>
                <w:color w:val="626D7C"/>
                <w:sz w:val="16"/>
                <w:szCs w:val="16"/>
              </w:rPr>
              <w:t xml:space="preserve">Efecto</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No hay monto autorizado sin que la queja proceda</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base de datos</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No se marca pagada sin comprobante</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base de datos</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No se cierra por falta de respuesta sin bitácora</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el servidor</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«No procede» exige motivo escrito</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el servidor</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«Otro» exige descripción</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el servidor</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El teléfono debe traer 10 dígitos</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Rechazo en captura</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El operador solo toca sus quejas, y solo el veredicto</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Política de seguridad en base de datos</w:t>
            </w:r>
          </w:p>
        </w:tc>
      </w:tr>
      <w:tr>
        <w:tc>
          <w:tcPr>
            <w:tcW w:type="dxa" w:w="4400"/>
            <w:tcMar>
              <w:top w:type="dxa" w:w="80"/>
              <w:left w:type="dxa" w:w="110"/>
              <w:bottom w:type="dxa" w:w="80"/>
              <w:right w:type="dxa" w:w="110"/>
            </w:tcMar>
          </w:tcPr>
          <w:p>
            <w:pPr>
              <w:spacing w:after="0"/>
              <w:jc w:val="left"/>
            </w:pPr>
            <w:r>
              <w:rPr>
                <w:b w:val="false"/>
                <w:bCs w:val="false"/>
                <w:color w:val="161A21"/>
                <w:sz w:val="19"/>
                <w:szCs w:val="19"/>
              </w:rPr>
              <w:t xml:space="preserve">El cliente (Smart Fit) no ve quejas</w:t>
            </w:r>
          </w:p>
        </w:tc>
        <w:tc>
          <w:tcPr>
            <w:tcW w:type="dxa" w:w="4960"/>
            <w:tcMar>
              <w:top w:type="dxa" w:w="80"/>
              <w:left w:type="dxa" w:w="110"/>
              <w:bottom w:type="dxa" w:w="80"/>
              <w:right w:type="dxa" w:w="110"/>
            </w:tcMar>
          </w:tcPr>
          <w:p>
            <w:pPr>
              <w:spacing w:after="0"/>
              <w:jc w:val="left"/>
            </w:pPr>
            <w:r>
              <w:rPr>
                <w:b w:val="false"/>
                <w:bCs w:val="false"/>
                <w:color w:val="161A21"/>
                <w:sz w:val="19"/>
                <w:szCs w:val="19"/>
              </w:rPr>
              <w:t xml:space="preserve">Política de seguridad en base de datos</w:t>
            </w:r>
          </w:p>
        </w:tc>
      </w:tr>
    </w:tbl>
    <w:p>
      <w:pPr>
        <w:spacing w:after="180"/>
      </w:pPr>
    </w:p>
    <w:p>
      <w:pPr>
        <w:pStyle w:val="Heading1"/>
        <w:spacing w:after="140" w:before="420"/>
      </w:pPr>
      <w:r>
        <w:rPr>
          <w:b/>
          <w:bCs/>
          <w:color w:val="161A21"/>
          <w:sz w:val="28"/>
          <w:szCs w:val="28"/>
        </w:rPr>
        <w:t xml:space="preserve">12. Lo que este módulo le da al agente de ruteo</w:t>
      </w:r>
    </w:p>
    <w:p>
      <w:pPr>
        <w:spacing w:after="130" w:line="300"/>
      </w:pPr>
      <w:r>
        <w:rPr>
          <w:sz w:val="21"/>
          <w:szCs w:val="21"/>
        </w:rPr>
        <w:t xml:space="preserve">El prompt del agente de planeación ya tenía escrito el criterio «queja de cliente abierta» y hasta hoy recibía vacío, porque las quejas vivían en Excel. Ahora el agente lee, por máquina:</w:t>
      </w:r>
    </w:p>
    <w:tbl>
      <w:tblPr>
        <w:tblW w:type="dxa" w:w="9360"/>
        <w:tblBorders>
          <w:top w:val="single" w:color="D9E0E8" w:sz="2"/>
          <w:left w:val="none" w:color="FFFFFF" w:sz="0"/>
          <w:bottom w:val="single" w:color="D9E0E8" w:sz="2"/>
          <w:right w:val="none" w:color="FFFFFF" w:sz="0"/>
          <w:insideH w:val="single" w:color="D9E0E8" w:sz="2"/>
          <w:insideV w:val="none" w:color="FFFFFF" w:sz="0"/>
        </w:tblBorders>
      </w:tblPr>
      <w:tblGrid>
        <w:gridCol w:w="3000"/>
        <w:gridCol w:w="6360"/>
      </w:tblGrid>
      <w:tr>
        <w:trPr>
          <w:tblHeader/>
        </w:trPr>
        <w:tc>
          <w:tcPr>
            <w:tcW w:type="dxa" w:w="3000"/>
            <w:shd w:fill="EDF1F5" w:color="auto" w:val="clear"/>
            <w:tcMar>
              <w:top w:type="dxa" w:w="80"/>
              <w:left w:type="dxa" w:w="110"/>
              <w:bottom w:type="dxa" w:w="80"/>
              <w:right w:type="dxa" w:w="110"/>
            </w:tcMar>
          </w:tcPr>
          <w:p>
            <w:pPr>
              <w:spacing w:after="0"/>
              <w:jc w:val="left"/>
            </w:pPr>
            <w:r>
              <w:rPr>
                <w:b/>
                <w:bCs/>
                <w:color w:val="626D7C"/>
                <w:sz w:val="16"/>
                <w:szCs w:val="16"/>
              </w:rPr>
              <w:t xml:space="preserve">Señal</w:t>
            </w:r>
          </w:p>
        </w:tc>
        <w:tc>
          <w:tcPr>
            <w:tcW w:type="dxa" w:w="6360"/>
            <w:shd w:fill="EDF1F5" w:color="auto" w:val="clear"/>
            <w:tcMar>
              <w:top w:type="dxa" w:w="80"/>
              <w:left w:type="dxa" w:w="110"/>
              <w:bottom w:type="dxa" w:w="80"/>
              <w:right w:type="dxa" w:w="110"/>
            </w:tcMar>
          </w:tcPr>
          <w:p>
            <w:pPr>
              <w:spacing w:after="0"/>
              <w:jc w:val="left"/>
            </w:pPr>
            <w:r>
              <w:rPr>
                <w:b/>
                <w:bCs/>
                <w:color w:val="626D7C"/>
                <w:sz w:val="16"/>
                <w:szCs w:val="16"/>
              </w:rPr>
              <w:t xml:space="preserve">Para qué la usa</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Quejas abiertas</w:t>
            </w:r>
          </w:p>
        </w:tc>
        <w:tc>
          <w:tcPr>
            <w:tcW w:type="dxa" w:w="6360"/>
            <w:tcMar>
              <w:top w:type="dxa" w:w="80"/>
              <w:left w:type="dxa" w:w="110"/>
              <w:bottom w:type="dxa" w:w="80"/>
              <w:right w:type="dxa" w:w="110"/>
            </w:tcMar>
          </w:tcPr>
          <w:p>
            <w:pPr>
              <w:spacing w:after="0"/>
              <w:jc w:val="left"/>
            </w:pPr>
            <w:r>
              <w:rPr>
                <w:b w:val="false"/>
                <w:bCs w:val="false"/>
                <w:color w:val="161A21"/>
                <w:sz w:val="19"/>
                <w:szCs w:val="19"/>
              </w:rPr>
              <w:t xml:space="preserve">Sube la prioridad de la máquina en la ruta del día.</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Quejas de los últimos 30 días</w:t>
            </w:r>
          </w:p>
        </w:tc>
        <w:tc>
          <w:tcPr>
            <w:tcW w:type="dxa" w:w="6360"/>
            <w:tcMar>
              <w:top w:type="dxa" w:w="80"/>
              <w:left w:type="dxa" w:w="110"/>
              <w:bottom w:type="dxa" w:w="80"/>
              <w:right w:type="dxa" w:w="110"/>
            </w:tcMar>
          </w:tcPr>
          <w:p>
            <w:pPr>
              <w:spacing w:after="0"/>
              <w:jc w:val="left"/>
            </w:pPr>
            <w:r>
              <w:rPr>
                <w:b w:val="false"/>
                <w:bCs w:val="false"/>
                <w:color w:val="161A21"/>
                <w:sz w:val="19"/>
                <w:szCs w:val="19"/>
              </w:rPr>
              <w:t xml:space="preserve">Distingue un caso aislado de un patrón.</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Quejas técnicas de 30 días</w:t>
            </w:r>
          </w:p>
        </w:tc>
        <w:tc>
          <w:tcPr>
            <w:tcW w:type="dxa" w:w="6360"/>
            <w:tcMar>
              <w:top w:type="dxa" w:w="80"/>
              <w:left w:type="dxa" w:w="110"/>
              <w:bottom w:type="dxa" w:w="80"/>
              <w:right w:type="dxa" w:w="110"/>
            </w:tcMar>
          </w:tcPr>
          <w:p>
            <w:pPr>
              <w:spacing w:after="0"/>
              <w:jc w:val="left"/>
            </w:pPr>
            <w:r>
              <w:rPr>
                <w:b w:val="false"/>
                <w:bCs w:val="false"/>
                <w:color w:val="161A21"/>
                <w:sz w:val="19"/>
                <w:szCs w:val="19"/>
              </w:rPr>
              <w:t xml:space="preserve">Cobro, terminal, touchscreen, máquina en error. Es la señal de escalamiento: tres cobros sin producto en la misma máquina no son tres quejas, son un lector descompuesto.</w:t>
            </w:r>
          </w:p>
        </w:tc>
      </w:tr>
      <w:tr>
        <w:tc>
          <w:tcPr>
            <w:tcW w:type="dxa" w:w="3000"/>
            <w:tcMar>
              <w:top w:type="dxa" w:w="80"/>
              <w:left w:type="dxa" w:w="110"/>
              <w:bottom w:type="dxa" w:w="80"/>
              <w:right w:type="dxa" w:w="110"/>
            </w:tcMar>
          </w:tcPr>
          <w:p>
            <w:pPr>
              <w:spacing w:after="0"/>
              <w:jc w:val="left"/>
            </w:pPr>
            <w:r>
              <w:rPr>
                <w:b w:val="false"/>
                <w:bCs w:val="false"/>
                <w:color w:val="161A21"/>
                <w:sz w:val="19"/>
                <w:szCs w:val="19"/>
              </w:rPr>
              <w:t xml:space="preserve">Pagado en 30 días</w:t>
            </w:r>
          </w:p>
        </w:tc>
        <w:tc>
          <w:tcPr>
            <w:tcW w:type="dxa" w:w="6360"/>
            <w:tcMar>
              <w:top w:type="dxa" w:w="80"/>
              <w:left w:type="dxa" w:w="110"/>
              <w:bottom w:type="dxa" w:w="80"/>
              <w:right w:type="dxa" w:w="110"/>
            </w:tcMar>
          </w:tcPr>
          <w:p>
            <w:pPr>
              <w:spacing w:after="0"/>
              <w:jc w:val="left"/>
            </w:pPr>
            <w:r>
              <w:rPr>
                <w:b w:val="false"/>
                <w:bCs w:val="false"/>
                <w:color w:val="161A21"/>
                <w:sz w:val="19"/>
                <w:szCs w:val="19"/>
              </w:rPr>
              <w:t xml:space="preserve">Cuánto está costando esa máquina en devoluciones.</w:t>
            </w:r>
          </w:p>
        </w:tc>
      </w:tr>
    </w:tbl>
    <w:p>
      <w:pPr>
        <w:spacing w:after="180"/>
      </w:pPr>
    </w:p>
    <w:p>
      <w:pPr>
        <w:spacing w:after="130" w:line="300"/>
      </w:pPr>
      <w:r>
        <w:rPr>
          <w:sz w:val="21"/>
          <w:szCs w:val="21"/>
        </w:rPr>
        <w:t xml:space="preserve">Cuando una queja destapa una falla técnica, se liga con la incidencia correspondiente. Así el problema se atiende una vez, arreglando la máquina, en lugar de pagar la misma falla veinte veces.</w:t>
      </w:r>
    </w:p>
    <w:p>
      <w:pPr>
        <w:pStyle w:val="Heading1"/>
        <w:spacing w:after="140" w:before="420"/>
      </w:pPr>
      <w:r>
        <w:rPr>
          <w:b/>
          <w:bCs/>
          <w:color w:val="161A21"/>
          <w:sz w:val="28"/>
          <w:szCs w:val="28"/>
        </w:rPr>
        <w:t xml:space="preserve">13. Estado actual y pendientes</w:t>
      </w:r>
    </w:p>
    <w:p>
      <w:pPr>
        <w:spacing w:after="130" w:line="300"/>
      </w:pPr>
      <w:r>
        <w:rPr>
          <w:b/>
          <w:bCs/>
          <w:sz w:val="21"/>
          <w:szCs w:val="21"/>
        </w:rPr>
        <w:t xml:space="preserve">En producción desde el 5 de septiembre de 2026. </w:t>
      </w:r>
      <w:r>
        <w:rPr>
          <w:sz w:val="21"/>
          <w:szCs w:val="21"/>
        </w:rPr>
        <w:t xml:space="preserve">Las dos tablas, las tres vistas y las políticas de seguridad están aplicadas, y ya se capturó la primera queja real desde la pantalla.</w:t>
      </w:r>
    </w:p>
    <w:p>
      <w:pPr>
        <w:spacing w:after="130" w:line="300"/>
      </w:pPr>
      <w:r>
        <w:rPr>
          <w:b/>
          <w:bCs/>
          <w:sz w:val="21"/>
          <w:szCs w:val="21"/>
        </w:rPr>
        <w:t xml:space="preserve">Lo que quedó fuera a propósito, y conviene decidir después:</w:t>
      </w:r>
    </w:p>
    <w:p>
      <w:pPr>
        <w:pStyle w:val="ListParagraph"/>
        <w:numPr>
          <w:ilvl w:val="0"/>
          <w:numId w:val="2"/>
        </w:numPr>
        <w:spacing w:after="90" w:line="290"/>
      </w:pPr>
      <w:r>
        <w:rPr>
          <w:b/>
          <w:bCs/>
          <w:sz w:val="21"/>
          <w:szCs w:val="21"/>
        </w:rPr>
        <w:t xml:space="preserve">El comprobante se captura como referencia de texto, no como archivo. </w:t>
      </w:r>
      <w:r>
        <w:rPr>
          <w:sz w:val="21"/>
          <w:szCs w:val="21"/>
        </w:rPr>
        <w:t xml:space="preserve">Subirlo al Storage —como ya se hace con las evidencias de campo— es el siguiente paso natural si dirección quiere el PDF a la mano.</w:t>
      </w:r>
    </w:p>
    <w:p>
      <w:pPr>
        <w:pStyle w:val="ListParagraph"/>
        <w:numPr>
          <w:ilvl w:val="0"/>
          <w:numId w:val="2"/>
        </w:numPr>
        <w:spacing w:after="90" w:line="290"/>
      </w:pPr>
      <w:r>
        <w:rPr>
          <w:b/>
          <w:bCs/>
          <w:sz w:val="21"/>
          <w:szCs w:val="21"/>
        </w:rPr>
        <w:t xml:space="preserve">La validación del operador se hace desde la pantalla web, no desde la PWA. </w:t>
      </w:r>
      <w:r>
        <w:rPr>
          <w:sz w:val="21"/>
          <w:szCs w:val="21"/>
        </w:rPr>
        <w:t xml:space="preserve">Los permisos ya están puestos; falta la pantalla en el celular.</w:t>
      </w:r>
    </w:p>
    <w:p>
      <w:pPr>
        <w:pStyle w:val="ListParagraph"/>
        <w:numPr>
          <w:ilvl w:val="0"/>
          <w:numId w:val="2"/>
        </w:numPr>
        <w:spacing w:after="90" w:line="290"/>
      </w:pPr>
      <w:r>
        <w:rPr>
          <w:b/>
          <w:bCs/>
          <w:sz w:val="21"/>
          <w:szCs w:val="21"/>
        </w:rPr>
        <w:t xml:space="preserve">No se migró el histórico del Excel. </w:t>
      </w:r>
      <w:r>
        <w:rPr>
          <w:sz w:val="21"/>
          <w:szCs w:val="21"/>
        </w:rPr>
        <w:t xml:space="preserve">Fue decisión explícita: el archivo sigue disponible como consulta y el módulo arranca limpio.</w:t>
      </w:r>
    </w:p>
    <w:p>
      <w:pPr>
        <w:pStyle w:val="ListParagraph"/>
        <w:numPr>
          <w:ilvl w:val="0"/>
          <w:numId w:val="2"/>
        </w:numPr>
        <w:spacing w:after="90" w:line="290"/>
      </w:pPr>
      <w:r>
        <w:rPr>
          <w:b/>
          <w:bCs/>
          <w:sz w:val="21"/>
          <w:szCs w:val="21"/>
        </w:rPr>
        <w:t xml:space="preserve">No hay notificación automática al operador </w:t>
      </w:r>
      <w:r>
        <w:rPr>
          <w:sz w:val="21"/>
          <w:szCs w:val="21"/>
        </w:rPr>
        <w:t xml:space="preserve">cuando le cae una queja para validar. Hoy Mariana se lo avisa.</w:t>
      </w:r>
    </w:p>
    <w:p>
      <w:pPr>
        <w:pBdr>
          <w:top w:val="single" w:color="161A21" w:sz="12" w:space="10"/>
        </w:pBdr>
        <w:spacing w:after="0" w:before="380"/>
      </w:pPr>
      <w:r>
        <w:rPr>
          <w:i/>
          <w:iCs/>
          <w:color w:val="626D7C"/>
          <w:sz w:val="17"/>
          <w:szCs w:val="17"/>
        </w:rPr>
        <w:t xml:space="preserve">Documento del proceso tal como quedó implementado. La documentación técnica correspondiente vive en docs/modulos_app.md §7 y docs/muscleup_modelo_datos.md §6.</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A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quejas de usuario final</dc:title>
  <dc:creator>MuscleUp · VendingApp</dc:creator>
  <cp:lastModifiedBy>Un-named</cp:lastModifiedBy>
  <cp:revision>1</cp:revision>
  <dcterms:created xsi:type="dcterms:W3CDTF">2026-09-05T18:35:09.771Z</dcterms:created>
  <dcterms:modified xsi:type="dcterms:W3CDTF">2026-09-05T18:35:09.791Z</dcterms:modified>
</cp:coreProperties>
</file>

<file path=docProps/custom.xml><?xml version="1.0" encoding="utf-8"?>
<Properties xmlns="http://schemas.openxmlformats.org/officeDocument/2006/custom-properties" xmlns:vt="http://schemas.openxmlformats.org/officeDocument/2006/docPropsVTypes"/>
</file>