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45" w:rsidRDefault="00F72B45"/>
    <w:tbl>
      <w:tblPr>
        <w:tblStyle w:val="TablaWeb3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98"/>
        <w:gridCol w:w="5108"/>
        <w:gridCol w:w="1742"/>
      </w:tblGrid>
      <w:tr w:rsidR="00F72B45" w:rsidTr="00250C4F">
        <w:trPr>
          <w:cnfStyle w:val="100000000000"/>
        </w:trPr>
        <w:tc>
          <w:tcPr>
            <w:tcW w:w="2138" w:type="dxa"/>
          </w:tcPr>
          <w:p w:rsidR="00F72B45" w:rsidRPr="007F1C8A" w:rsidRDefault="00F72B45" w:rsidP="00250C4F">
            <w:pPr>
              <w:rPr>
                <w:sz w:val="8"/>
                <w:szCs w:val="8"/>
              </w:rPr>
            </w:pPr>
          </w:p>
          <w:p w:rsidR="00F72B45" w:rsidRDefault="00F72B45" w:rsidP="00250C4F">
            <w:r>
              <w:rPr>
                <w:noProof/>
              </w:rPr>
              <w:drawing>
                <wp:inline distT="0" distB="0" distL="0" distR="0">
                  <wp:extent cx="1207135" cy="609600"/>
                  <wp:effectExtent l="19050" t="0" r="0" b="0"/>
                  <wp:docPr id="1" name="Imagen 1" descr="9F4156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F4156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:rsidR="00F72B45" w:rsidRPr="00B3748A" w:rsidRDefault="00F72B45" w:rsidP="00250C4F">
            <w:pPr>
              <w:rPr>
                <w:rFonts w:ascii="Arial" w:hAnsi="Arial" w:cs="Arial"/>
                <w:b/>
              </w:rPr>
            </w:pPr>
            <w:r w:rsidRPr="00B3748A">
              <w:rPr>
                <w:rFonts w:ascii="Arial" w:hAnsi="Arial" w:cs="Arial"/>
                <w:b/>
              </w:rPr>
              <w:t>Secretaría de Gobierno</w:t>
            </w:r>
          </w:p>
          <w:p w:rsidR="00F72B45" w:rsidRPr="00B3748A" w:rsidRDefault="00F72B45" w:rsidP="00250C4F">
            <w:pPr>
              <w:rPr>
                <w:sz w:val="22"/>
                <w:szCs w:val="22"/>
              </w:rPr>
            </w:pPr>
            <w:r w:rsidRPr="00B3748A">
              <w:rPr>
                <w:sz w:val="22"/>
                <w:szCs w:val="22"/>
              </w:rPr>
              <w:t>Despacho General y Digesto</w:t>
            </w:r>
          </w:p>
          <w:p w:rsidR="00F72B45" w:rsidRPr="0019587D" w:rsidRDefault="00F72B45" w:rsidP="00250C4F">
            <w:pPr>
              <w:rPr>
                <w:sz w:val="16"/>
                <w:szCs w:val="16"/>
              </w:rPr>
            </w:pPr>
          </w:p>
          <w:p w:rsidR="00F72B45" w:rsidRPr="003768DC" w:rsidRDefault="00F72B45" w:rsidP="00250C4F">
            <w:pPr>
              <w:jc w:val="center"/>
              <w:rPr>
                <w:rFonts w:ascii="Arial Black" w:hAnsi="Arial Black"/>
                <w:color w:val="0000FF"/>
                <w:sz w:val="32"/>
                <w:szCs w:val="32"/>
              </w:rPr>
            </w:pPr>
            <w:r w:rsidRPr="003768DC">
              <w:rPr>
                <w:rFonts w:ascii="Arial Black" w:hAnsi="Arial Black" w:cs="Arial"/>
                <w:color w:val="0000FF"/>
                <w:sz w:val="32"/>
                <w:szCs w:val="32"/>
              </w:rPr>
              <w:t xml:space="preserve">DECRETO </w:t>
            </w:r>
            <w:r>
              <w:rPr>
                <w:rFonts w:ascii="Arial Black" w:hAnsi="Arial Black" w:cs="Arial"/>
                <w:color w:val="0000FF"/>
                <w:sz w:val="32"/>
                <w:szCs w:val="32"/>
              </w:rPr>
              <w:t>170/14</w:t>
            </w:r>
          </w:p>
        </w:tc>
        <w:tc>
          <w:tcPr>
            <w:tcW w:w="1682" w:type="dxa"/>
          </w:tcPr>
          <w:p w:rsidR="00F72B45" w:rsidRPr="0019587D" w:rsidRDefault="00F72B45" w:rsidP="00250C4F">
            <w:pPr>
              <w:pStyle w:val="Ttulo1"/>
              <w:jc w:val="center"/>
              <w:outlineLvl w:val="0"/>
              <w:rPr>
                <w:b w:val="0"/>
                <w:sz w:val="56"/>
                <w:szCs w:val="56"/>
              </w:rPr>
            </w:pPr>
            <w:r>
              <w:rPr>
                <w:rFonts w:ascii="Arial Black" w:hAnsi="Arial Black"/>
                <w:color w:val="0000FF"/>
                <w:sz w:val="56"/>
                <w:szCs w:val="56"/>
              </w:rPr>
              <w:t>O6</w:t>
            </w:r>
          </w:p>
          <w:p w:rsidR="00F72B45" w:rsidRPr="001A2D52" w:rsidRDefault="00F72B45" w:rsidP="00250C4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OBRAS PARTICULARES</w:t>
            </w:r>
          </w:p>
        </w:tc>
      </w:tr>
    </w:tbl>
    <w:p w:rsidR="00F72B45" w:rsidRDefault="00F72B45" w:rsidP="00F72B45">
      <w:pPr>
        <w:jc w:val="center"/>
        <w:rPr>
          <w:sz w:val="16"/>
        </w:rPr>
      </w:pPr>
      <w:r>
        <w:rPr>
          <w:sz w:val="16"/>
        </w:rPr>
        <w:t>Copia para información pública. Válida para trámites sólo en caso de ser autenticada por la Dirección de Despacho General y Digesto</w:t>
      </w:r>
    </w:p>
    <w:p w:rsidR="00F72B45" w:rsidRDefault="00F72B45" w:rsidP="00F72B45"/>
    <w:p w:rsidR="00F72B45" w:rsidRPr="00C50E97" w:rsidRDefault="00F72B45" w:rsidP="00F72B45">
      <w:pPr>
        <w:pBdr>
          <w:bottom w:val="single" w:sz="6" w:space="1" w:color="auto"/>
        </w:pBdr>
        <w:jc w:val="center"/>
        <w:rPr>
          <w:bCs/>
        </w:rPr>
      </w:pPr>
      <w:proofErr w:type="spellStart"/>
      <w:r w:rsidRPr="00C50E97">
        <w:rPr>
          <w:bCs/>
        </w:rPr>
        <w:t>Cpde</w:t>
      </w:r>
      <w:proofErr w:type="spellEnd"/>
      <w:r w:rsidRPr="00C50E97">
        <w:rPr>
          <w:bCs/>
        </w:rPr>
        <w:t>. Expediente 4112-</w:t>
      </w:r>
      <w:r>
        <w:rPr>
          <w:bCs/>
        </w:rPr>
        <w:t>13965/14</w:t>
      </w:r>
    </w:p>
    <w:p w:rsidR="00F72B45" w:rsidRDefault="00F72B45" w:rsidP="00F72B45">
      <w:pPr>
        <w:jc w:val="center"/>
        <w:rPr>
          <w:b/>
          <w:bCs/>
        </w:rPr>
      </w:pPr>
    </w:p>
    <w:p w:rsidR="00F72B45" w:rsidRPr="00073C8C" w:rsidRDefault="00F72B45" w:rsidP="00F72B45">
      <w:pPr>
        <w:jc w:val="center"/>
        <w:rPr>
          <w:b/>
          <w:bCs/>
        </w:rPr>
      </w:pPr>
      <w:r w:rsidRPr="00073C8C">
        <w:rPr>
          <w:b/>
          <w:bCs/>
        </w:rPr>
        <w:t xml:space="preserve">TIGRE, </w:t>
      </w:r>
      <w:r>
        <w:rPr>
          <w:b/>
          <w:bCs/>
        </w:rPr>
        <w:t>26 de febrero de 2014.</w:t>
      </w:r>
    </w:p>
    <w:p w:rsidR="00F72B45" w:rsidRPr="00073C8C" w:rsidRDefault="00F72B45" w:rsidP="00F72B45"/>
    <w:p w:rsidR="00F72B45" w:rsidRPr="00073C8C" w:rsidRDefault="00F72B45" w:rsidP="00F72B45">
      <w:pPr>
        <w:rPr>
          <w:b/>
          <w:bCs/>
        </w:rPr>
      </w:pPr>
      <w:r w:rsidRPr="00073C8C">
        <w:rPr>
          <w:b/>
          <w:bCs/>
        </w:rPr>
        <w:t>VISTO:</w:t>
      </w:r>
    </w:p>
    <w:p w:rsidR="00F72B45" w:rsidRPr="00073C8C" w:rsidRDefault="00F72B45" w:rsidP="00F72B45">
      <w:pPr>
        <w:ind w:firstLine="1701"/>
      </w:pPr>
    </w:p>
    <w:p w:rsidR="00F72B45" w:rsidRDefault="00F72B45" w:rsidP="00F72B45">
      <w:pPr>
        <w:ind w:firstLine="1701"/>
        <w:jc w:val="both"/>
      </w:pPr>
      <w:r>
        <w:t>El</w:t>
      </w:r>
      <w:r w:rsidRPr="00073C8C">
        <w:t xml:space="preserve"> Decreto 372/92 </w:t>
      </w:r>
      <w:r>
        <w:t>con la modificación introducida por Decreto 1017/04 que reglamenta el trámite de presentación de obras a construir, el Decreto 1842/01 que reglamenta dicho trámite con relación a profesionales precalificados y el Decreto 312/97 que reglamenta el Art. 3º del Decreto 1765/92 fijando los requisitos mínimos de un trámite por ante la “Comisión de Interpretación y Análisis del Código de Zonificación del Partido de Tigre”, y,</w:t>
      </w:r>
    </w:p>
    <w:p w:rsidR="00F72B45" w:rsidRPr="00073C8C" w:rsidRDefault="00F72B45" w:rsidP="00F72B45">
      <w:pPr>
        <w:ind w:firstLine="1701"/>
        <w:jc w:val="both"/>
      </w:pPr>
    </w:p>
    <w:p w:rsidR="00F72B45" w:rsidRPr="00073C8C" w:rsidRDefault="00F72B45" w:rsidP="00F72B45">
      <w:pPr>
        <w:jc w:val="both"/>
        <w:rPr>
          <w:b/>
          <w:bCs/>
        </w:rPr>
      </w:pPr>
      <w:r w:rsidRPr="00073C8C">
        <w:rPr>
          <w:b/>
          <w:bCs/>
        </w:rPr>
        <w:t>CONSIDERANDO:</w:t>
      </w:r>
    </w:p>
    <w:p w:rsidR="00F72B45" w:rsidRPr="00073C8C" w:rsidRDefault="00F72B45" w:rsidP="00F72B45">
      <w:pPr>
        <w:jc w:val="both"/>
      </w:pPr>
    </w:p>
    <w:p w:rsidR="00F72B45" w:rsidRDefault="00F72B45" w:rsidP="00F72B45">
      <w:pPr>
        <w:autoSpaceDE w:val="0"/>
        <w:autoSpaceDN w:val="0"/>
        <w:adjustRightInd w:val="0"/>
        <w:jc w:val="both"/>
        <w:rPr>
          <w:lang w:val="es-ES"/>
        </w:rPr>
      </w:pPr>
      <w:r w:rsidRPr="00073C8C">
        <w:t xml:space="preserve">                            Que </w:t>
      </w:r>
      <w:r>
        <w:t xml:space="preserve">este Departamento Ejecutivo comparte en un todo el proyecto elaborado por la Subsecretaría de Planeamiento Urbano fijando un nuevo sistema para presentación de planos de obras a construir y a regularizar por “subsistencia”, con el objeto de eliminar aspectos conflictivos y migrar hacia una </w:t>
      </w:r>
      <w:r>
        <w:rPr>
          <w:lang w:val="es-ES"/>
        </w:rPr>
        <w:t>gradual digitalización del proceso.</w:t>
      </w:r>
    </w:p>
    <w:p w:rsidR="00F72B45" w:rsidRPr="00E148BF" w:rsidRDefault="00F72B45" w:rsidP="00F72B45">
      <w:pPr>
        <w:ind w:firstLine="1701"/>
        <w:jc w:val="both"/>
        <w:rPr>
          <w:lang w:val="es-ES"/>
        </w:rPr>
      </w:pPr>
    </w:p>
    <w:p w:rsidR="00F72B45" w:rsidRPr="00073C8C" w:rsidRDefault="00F72B45" w:rsidP="00F72B45">
      <w:pPr>
        <w:ind w:firstLine="1701"/>
        <w:jc w:val="both"/>
      </w:pPr>
      <w:r w:rsidRPr="00073C8C">
        <w:t>Por ello, el Intendente Municipal del Partido de Tigre en uso de sus atribuciones</w:t>
      </w:r>
    </w:p>
    <w:p w:rsidR="00F72B45" w:rsidRPr="007533F8" w:rsidRDefault="00F72B45" w:rsidP="00F72B45">
      <w:pPr>
        <w:ind w:firstLine="1701"/>
        <w:jc w:val="both"/>
        <w:rPr>
          <w:color w:val="FF0000"/>
        </w:rPr>
      </w:pPr>
    </w:p>
    <w:p w:rsidR="00F72B45" w:rsidRPr="00073C8C" w:rsidRDefault="00F72B45" w:rsidP="00F72B45">
      <w:pPr>
        <w:jc w:val="center"/>
        <w:rPr>
          <w:b/>
          <w:bCs/>
          <w:sz w:val="28"/>
          <w:szCs w:val="28"/>
        </w:rPr>
      </w:pPr>
      <w:r w:rsidRPr="00073C8C">
        <w:rPr>
          <w:b/>
          <w:bCs/>
          <w:sz w:val="28"/>
          <w:szCs w:val="28"/>
        </w:rPr>
        <w:t>D E C R E T A</w:t>
      </w:r>
    </w:p>
    <w:p w:rsidR="00F72B45" w:rsidRPr="007533F8" w:rsidRDefault="00F72B45" w:rsidP="00F72B45">
      <w:pPr>
        <w:jc w:val="both"/>
        <w:rPr>
          <w:color w:val="FF0000"/>
        </w:rPr>
      </w:pPr>
    </w:p>
    <w:p w:rsidR="00F72B45" w:rsidRPr="00F11853" w:rsidRDefault="00F72B45" w:rsidP="00F72B45">
      <w:pPr>
        <w:jc w:val="both"/>
      </w:pPr>
      <w:r w:rsidRPr="00A80624">
        <w:rPr>
          <w:b/>
          <w:u w:val="single"/>
        </w:rPr>
        <w:lastRenderedPageBreak/>
        <w:t>ARTICULO 1.-</w:t>
      </w:r>
      <w:r>
        <w:t xml:space="preserve"> </w:t>
      </w:r>
      <w:proofErr w:type="spellStart"/>
      <w:r>
        <w:t>Apruébase</w:t>
      </w:r>
      <w:proofErr w:type="spellEnd"/>
      <w:r>
        <w:t xml:space="preserve"> y </w:t>
      </w:r>
      <w:proofErr w:type="spellStart"/>
      <w:r>
        <w:t>pónese</w:t>
      </w:r>
      <w:proofErr w:type="spellEnd"/>
      <w:r>
        <w:t xml:space="preserve"> en vigencia el sistema digital del Municipio de Tigre denominado </w:t>
      </w:r>
      <w:proofErr w:type="spellStart"/>
      <w:r>
        <w:t>SiDOP</w:t>
      </w:r>
      <w:proofErr w:type="spellEnd"/>
      <w:r>
        <w:t xml:space="preserve">  (Sistema Digital de Obras Particulares), con carácter reglamentario para la </w:t>
      </w:r>
      <w:r w:rsidRPr="00F11853">
        <w:t>presentación por parte de los profesionales matriculados, de planos de obras a construir y a regularizar por subsistencia e incorporación</w:t>
      </w:r>
      <w:r>
        <w:t>,</w:t>
      </w:r>
      <w:r w:rsidRPr="00F11853">
        <w:t xml:space="preserve"> </w:t>
      </w:r>
      <w:r>
        <w:t>así como</w:t>
      </w:r>
      <w:r w:rsidRPr="00F11853">
        <w:t xml:space="preserve"> los requisitos mínimos </w:t>
      </w:r>
      <w:r>
        <w:t>para</w:t>
      </w:r>
      <w:r w:rsidRPr="00F11853">
        <w:t xml:space="preserve"> las consultas ante la </w:t>
      </w:r>
      <w:r>
        <w:t xml:space="preserve">“Comisión de Interpretación y Análisis del Código de Zonificación del Partido de Tigre, artículo 7º de la Ordenanza 1894/96”, </w:t>
      </w:r>
      <w:r w:rsidRPr="00F11853">
        <w:t xml:space="preserve">mediante el sistema digital de Obras Particulares, (en adelante </w:t>
      </w:r>
      <w:proofErr w:type="spellStart"/>
      <w:r w:rsidRPr="00F11853">
        <w:t>SiDOP</w:t>
      </w:r>
      <w:proofErr w:type="spellEnd"/>
      <w:r w:rsidRPr="00F11853">
        <w:t xml:space="preserve">) conforme </w:t>
      </w:r>
      <w:proofErr w:type="spellStart"/>
      <w:r>
        <w:t>cursograma</w:t>
      </w:r>
      <w:proofErr w:type="spellEnd"/>
      <w:r>
        <w:t xml:space="preserve"> que se incorpora como ANEXO I del presente.</w:t>
      </w:r>
    </w:p>
    <w:p w:rsidR="00F72B45" w:rsidRDefault="00F72B45" w:rsidP="00F72B45">
      <w:pPr>
        <w:jc w:val="both"/>
      </w:pPr>
    </w:p>
    <w:p w:rsidR="00F72B45" w:rsidRPr="00525C96" w:rsidRDefault="00F72B45" w:rsidP="00F72B45">
      <w:pPr>
        <w:jc w:val="both"/>
      </w:pPr>
      <w:r>
        <w:rPr>
          <w:b/>
          <w:bCs/>
          <w:u w:val="single"/>
        </w:rPr>
        <w:t>ARTICULO 2</w:t>
      </w:r>
      <w:r w:rsidRPr="00525C96">
        <w:rPr>
          <w:b/>
          <w:bCs/>
          <w:u w:val="single"/>
        </w:rPr>
        <w:t>.-</w:t>
      </w:r>
      <w:r w:rsidRPr="00A71004">
        <w:rPr>
          <w:b/>
          <w:bCs/>
        </w:rPr>
        <w:t xml:space="preserve"> </w:t>
      </w:r>
      <w:r>
        <w:t xml:space="preserve">La Secretaría de Fortalecimiento Institucional </w:t>
      </w:r>
      <w:r w:rsidRPr="00525C96">
        <w:t xml:space="preserve">implementará los mecanismos necesarios en los recursos </w:t>
      </w:r>
      <w:r>
        <w:t>informáticos adecuados</w:t>
      </w:r>
      <w:r w:rsidRPr="00525C96">
        <w:t xml:space="preserve"> a efectos de alojar en forma digital toda la documentación emanada del presente procedimiento administrativo</w:t>
      </w:r>
      <w:r>
        <w:t xml:space="preserve"> del sistema </w:t>
      </w:r>
      <w:proofErr w:type="spellStart"/>
      <w:r>
        <w:t>SiDOP</w:t>
      </w:r>
      <w:proofErr w:type="spellEnd"/>
      <w:r w:rsidRPr="00525C96">
        <w:t>, como así también desarrollar los accesos</w:t>
      </w:r>
      <w:r>
        <w:t xml:space="preserve"> seguros a dicho </w:t>
      </w:r>
      <w:r w:rsidRPr="00525C96">
        <w:t>sistema</w:t>
      </w:r>
      <w:r>
        <w:t xml:space="preserve">, </w:t>
      </w:r>
      <w:r w:rsidRPr="00525C96">
        <w:t>po</w:t>
      </w:r>
      <w:r>
        <w:t xml:space="preserve">r parte de los Propietarios y Profesionales </w:t>
      </w:r>
      <w:r w:rsidRPr="00525C96">
        <w:t>para efectuar trámite</w:t>
      </w:r>
      <w:r>
        <w:t>s vinculantes</w:t>
      </w:r>
      <w:r w:rsidRPr="00525C96">
        <w:t>.</w:t>
      </w:r>
    </w:p>
    <w:p w:rsidR="00F72B45" w:rsidRDefault="00F72B45" w:rsidP="00F72B45">
      <w:pPr>
        <w:jc w:val="both"/>
        <w:rPr>
          <w:b/>
          <w:bCs/>
          <w:u w:val="single"/>
        </w:rPr>
      </w:pPr>
    </w:p>
    <w:p w:rsidR="00F72B45" w:rsidRDefault="00F72B45" w:rsidP="00F72B45">
      <w:pPr>
        <w:jc w:val="both"/>
      </w:pPr>
      <w:r>
        <w:rPr>
          <w:b/>
          <w:bCs/>
          <w:u w:val="single"/>
        </w:rPr>
        <w:t>ARTICULO 3</w:t>
      </w:r>
      <w:r w:rsidRPr="00525C96">
        <w:rPr>
          <w:b/>
          <w:bCs/>
          <w:u w:val="single"/>
        </w:rPr>
        <w:t>.-</w:t>
      </w:r>
      <w:r w:rsidRPr="00A71004">
        <w:rPr>
          <w:b/>
          <w:bCs/>
        </w:rPr>
        <w:t xml:space="preserve"> </w:t>
      </w:r>
      <w:r w:rsidRPr="00F32CAD">
        <w:rPr>
          <w:bCs/>
        </w:rPr>
        <w:t xml:space="preserve">Dispóngase como fecha de </w:t>
      </w:r>
      <w:r>
        <w:rPr>
          <w:bCs/>
        </w:rPr>
        <w:t xml:space="preserve">entrada en </w:t>
      </w:r>
      <w:r w:rsidRPr="00F32CAD">
        <w:rPr>
          <w:bCs/>
        </w:rPr>
        <w:t>vigencia del presente</w:t>
      </w:r>
      <w:r>
        <w:rPr>
          <w:bCs/>
        </w:rPr>
        <w:t>,</w:t>
      </w:r>
      <w:r w:rsidRPr="00F32CAD">
        <w:rPr>
          <w:bCs/>
        </w:rPr>
        <w:t xml:space="preserve"> a partir del</w:t>
      </w:r>
      <w:r>
        <w:rPr>
          <w:b/>
          <w:bCs/>
        </w:rPr>
        <w:t xml:space="preserve"> </w:t>
      </w:r>
      <w:r>
        <w:t xml:space="preserve"> 17 de marzo del corriente año.</w:t>
      </w:r>
    </w:p>
    <w:p w:rsidR="00F72B45" w:rsidRDefault="00F72B45" w:rsidP="00F72B45">
      <w:pPr>
        <w:jc w:val="both"/>
      </w:pPr>
    </w:p>
    <w:p w:rsidR="00F72B45" w:rsidRDefault="00F72B45" w:rsidP="00F72B45">
      <w:pPr>
        <w:jc w:val="both"/>
        <w:rPr>
          <w:bCs/>
        </w:rPr>
      </w:pPr>
      <w:r>
        <w:rPr>
          <w:b/>
          <w:bCs/>
          <w:u w:val="single"/>
        </w:rPr>
        <w:t>ARTICULO 4</w:t>
      </w:r>
      <w:r w:rsidRPr="00525C96">
        <w:rPr>
          <w:b/>
          <w:bCs/>
          <w:u w:val="single"/>
        </w:rPr>
        <w:t>.-</w:t>
      </w:r>
      <w:r w:rsidRPr="00577324">
        <w:rPr>
          <w:bCs/>
        </w:rPr>
        <w:t xml:space="preserve"> Sin perjuicio </w:t>
      </w:r>
      <w:r>
        <w:rPr>
          <w:bCs/>
        </w:rPr>
        <w:t>de lo establecido en el artículo precedente, la presentación de la Declaración Jurada que corre agregada al presente como Anexo II será obligatoria con las tramitaciones de plano que se inicien a partir del primer día hábil del mes de marzo del corriente. Las observaciones que pudiere formular la Dirección General de Obras Particulares a dichas presentaciones, deberán ser notificadas mediante formulario Anexo III del presente decreto.</w:t>
      </w:r>
    </w:p>
    <w:p w:rsidR="00F72B45" w:rsidRDefault="00F72B45" w:rsidP="00F72B45">
      <w:pPr>
        <w:jc w:val="both"/>
        <w:rPr>
          <w:bCs/>
        </w:rPr>
      </w:pPr>
    </w:p>
    <w:p w:rsidR="00F72B45" w:rsidRDefault="00F72B45" w:rsidP="00F72B4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ARTICULO 5</w:t>
      </w:r>
      <w:r w:rsidRPr="00525C96">
        <w:rPr>
          <w:b/>
          <w:bCs/>
          <w:u w:val="single"/>
        </w:rPr>
        <w:t>.-</w:t>
      </w:r>
      <w:r w:rsidRPr="00A71004">
        <w:rPr>
          <w:b/>
          <w:bCs/>
        </w:rPr>
        <w:t xml:space="preserve"> </w:t>
      </w:r>
      <w:r>
        <w:rPr>
          <w:bCs/>
        </w:rPr>
        <w:t xml:space="preserve">El registro de </w:t>
      </w:r>
      <w:r w:rsidRPr="00A80624">
        <w:t>profesional</w:t>
      </w:r>
      <w:r>
        <w:t>es mediante procedimiento digital requerido por el ítem 1.1 del Anexo I del presente, entrará en vigencia a partir del tercer día hábil posterior a la publicación del presente decreto.</w:t>
      </w:r>
    </w:p>
    <w:p w:rsidR="00F72B45" w:rsidRDefault="00F72B45" w:rsidP="00F72B45">
      <w:pPr>
        <w:jc w:val="both"/>
        <w:rPr>
          <w:b/>
          <w:bCs/>
          <w:u w:val="single"/>
        </w:rPr>
      </w:pPr>
    </w:p>
    <w:p w:rsidR="00F72B45" w:rsidRDefault="00F72B45" w:rsidP="00F72B45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00"/>
        </w:rPr>
      </w:pPr>
      <w:r>
        <w:rPr>
          <w:b/>
          <w:bCs/>
          <w:u w:val="single"/>
        </w:rPr>
        <w:t>ARTICULO 6</w:t>
      </w:r>
      <w:r w:rsidRPr="00525C96">
        <w:rPr>
          <w:b/>
          <w:bCs/>
          <w:u w:val="single"/>
        </w:rPr>
        <w:t>.-</w:t>
      </w:r>
      <w:r w:rsidRPr="00F32CAD">
        <w:rPr>
          <w:b/>
          <w:bCs/>
        </w:rPr>
        <w:t xml:space="preserve"> </w:t>
      </w:r>
      <w:proofErr w:type="spellStart"/>
      <w:r w:rsidRPr="00540C84">
        <w:rPr>
          <w:bCs/>
        </w:rPr>
        <w:t>Delégase</w:t>
      </w:r>
      <w:proofErr w:type="spellEnd"/>
      <w:r w:rsidRPr="00540C84">
        <w:rPr>
          <w:bCs/>
        </w:rPr>
        <w:t xml:space="preserve"> en el Secretario de Control Urbano y Ambiental</w:t>
      </w:r>
      <w:r>
        <w:rPr>
          <w:bCs/>
        </w:rPr>
        <w:t>,</w:t>
      </w:r>
      <w:r w:rsidRPr="00540C84">
        <w:rPr>
          <w:bCs/>
        </w:rPr>
        <w:t xml:space="preserve"> en el marco del artículo 181 del Decreto Ley 6769/58, “Ley Orgánica de las Municipalidades de la provincia de Buenos Aires”, dictar Resoluciones poniendo en vigencia los ajustes </w:t>
      </w:r>
      <w:r>
        <w:rPr>
          <w:bCs/>
        </w:rPr>
        <w:t xml:space="preserve">que pudieren resultar </w:t>
      </w:r>
      <w:r w:rsidRPr="00540C84">
        <w:rPr>
          <w:bCs/>
        </w:rPr>
        <w:t xml:space="preserve">necesarios en los anexos </w:t>
      </w:r>
      <w:r>
        <w:rPr>
          <w:bCs/>
        </w:rPr>
        <w:t xml:space="preserve">II a V del presente decreto </w:t>
      </w:r>
      <w:r w:rsidRPr="00540C84">
        <w:rPr>
          <w:bCs/>
        </w:rPr>
        <w:t xml:space="preserve">de manera de optimizar  el funcionamiento del </w:t>
      </w:r>
      <w:r>
        <w:rPr>
          <w:bCs/>
        </w:rPr>
        <w:t>trámite reglamentado.</w:t>
      </w:r>
    </w:p>
    <w:p w:rsidR="00F72B45" w:rsidRDefault="00F72B45" w:rsidP="00F72B45">
      <w:pPr>
        <w:jc w:val="both"/>
        <w:rPr>
          <w:b/>
          <w:bCs/>
          <w:u w:val="single"/>
        </w:rPr>
      </w:pPr>
    </w:p>
    <w:p w:rsidR="00F72B45" w:rsidRDefault="00F72B45" w:rsidP="00F72B45">
      <w:pPr>
        <w:jc w:val="both"/>
      </w:pPr>
      <w:r w:rsidRPr="00E32814">
        <w:rPr>
          <w:b/>
          <w:u w:val="single"/>
        </w:rPr>
        <w:t xml:space="preserve">ARTÍCULO </w:t>
      </w:r>
      <w:r>
        <w:rPr>
          <w:b/>
          <w:u w:val="single"/>
        </w:rPr>
        <w:t>7</w:t>
      </w:r>
      <w:r w:rsidRPr="00E32814">
        <w:rPr>
          <w:b/>
          <w:u w:val="single"/>
        </w:rPr>
        <w:t>.-</w:t>
      </w:r>
      <w:r>
        <w:t xml:space="preserve"> </w:t>
      </w:r>
      <w:proofErr w:type="spellStart"/>
      <w:r>
        <w:t>Derógase</w:t>
      </w:r>
      <w:proofErr w:type="spellEnd"/>
      <w:r>
        <w:t xml:space="preserve"> los Decretos </w:t>
      </w:r>
      <w:r w:rsidRPr="00073C8C">
        <w:t xml:space="preserve"> 372/92</w:t>
      </w:r>
      <w:r>
        <w:t xml:space="preserve">, 312/97,  1842/01 y 1017/04. </w:t>
      </w:r>
    </w:p>
    <w:p w:rsidR="00F72B45" w:rsidRPr="00525C96" w:rsidRDefault="00F72B45" w:rsidP="00F72B45">
      <w:pPr>
        <w:jc w:val="both"/>
        <w:rPr>
          <w:b/>
          <w:bCs/>
          <w:u w:val="single"/>
        </w:rPr>
      </w:pPr>
    </w:p>
    <w:p w:rsidR="00F72B45" w:rsidRPr="00525C96" w:rsidRDefault="00F72B45" w:rsidP="00F72B45">
      <w:pPr>
        <w:jc w:val="both"/>
      </w:pPr>
      <w:r w:rsidRPr="00525C96">
        <w:rPr>
          <w:b/>
          <w:bCs/>
          <w:u w:val="single"/>
        </w:rPr>
        <w:t xml:space="preserve">ARTICULO </w:t>
      </w:r>
      <w:r>
        <w:rPr>
          <w:b/>
          <w:bCs/>
          <w:u w:val="single"/>
        </w:rPr>
        <w:t>8</w:t>
      </w:r>
      <w:r w:rsidRPr="00525C96">
        <w:rPr>
          <w:b/>
          <w:bCs/>
          <w:u w:val="single"/>
        </w:rPr>
        <w:t>.-</w:t>
      </w:r>
      <w:r w:rsidRPr="00525C96">
        <w:t xml:space="preserve">  Refrenden el presente Decreto los s</w:t>
      </w:r>
      <w:r>
        <w:t xml:space="preserve">eñores Secretarios de Gobierno, </w:t>
      </w:r>
      <w:r w:rsidRPr="00525C96">
        <w:t>de Control Urbano</w:t>
      </w:r>
      <w:r>
        <w:t xml:space="preserve"> y Ambiental, de Ingresos Públicos y de Fortalecimiento Institucional.</w:t>
      </w:r>
    </w:p>
    <w:p w:rsidR="00F72B45" w:rsidRPr="00525C96" w:rsidRDefault="00F72B45" w:rsidP="00F72B45">
      <w:pPr>
        <w:jc w:val="both"/>
      </w:pPr>
    </w:p>
    <w:p w:rsidR="00F72B45" w:rsidRDefault="00F72B45" w:rsidP="00F72B45">
      <w:pPr>
        <w:jc w:val="both"/>
      </w:pPr>
      <w:r>
        <w:rPr>
          <w:b/>
          <w:bCs/>
          <w:u w:val="single"/>
        </w:rPr>
        <w:t>ARTICULO 9</w:t>
      </w:r>
      <w:r w:rsidRPr="00525C96">
        <w:rPr>
          <w:b/>
          <w:bCs/>
          <w:u w:val="single"/>
        </w:rPr>
        <w:t>.-</w:t>
      </w:r>
      <w:r w:rsidRPr="00525C96">
        <w:t xml:space="preserve">  Dese al Registro Municipal de Normas. </w:t>
      </w:r>
      <w:r>
        <w:t>Publíquese en el Boletín Oficial de la Municipalidad de Tigre</w:t>
      </w:r>
      <w:r w:rsidRPr="00525C96">
        <w:t>. Cúmplase</w:t>
      </w:r>
      <w:r>
        <w:t>.</w:t>
      </w:r>
      <w:r w:rsidRPr="00525C96">
        <w:t xml:space="preserve"> 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0"/>
      </w:tblGrid>
      <w:tr w:rsidR="00F72B45" w:rsidTr="00250C4F"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B45" w:rsidRDefault="00F72B45" w:rsidP="00250C4F">
            <w:pPr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D3488-3</w:t>
            </w:r>
          </w:p>
        </w:tc>
      </w:tr>
      <w:tr w:rsidR="00F72B45" w:rsidTr="00250C4F"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B45" w:rsidRDefault="00F72B45" w:rsidP="00250C4F">
            <w:pPr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BO.710</w:t>
            </w:r>
          </w:p>
          <w:p w:rsidR="00F72B45" w:rsidRDefault="00F72B45" w:rsidP="00250C4F">
            <w:pPr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28-02-14</w:t>
            </w:r>
            <w:r w:rsidRPr="00127A98">
              <w:rPr>
                <w:bCs/>
                <w:sz w:val="16"/>
              </w:rPr>
              <w:t xml:space="preserve">     </w:t>
            </w:r>
            <w:r w:rsidRPr="00127A98">
              <w:rPr>
                <w:sz w:val="16"/>
              </w:rPr>
              <w:t xml:space="preserve">      </w:t>
            </w:r>
          </w:p>
        </w:tc>
      </w:tr>
    </w:tbl>
    <w:p w:rsidR="00F72B45" w:rsidRDefault="00F72B45" w:rsidP="00F72B45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Firmado:</w:t>
      </w:r>
      <w:r>
        <w:rPr>
          <w:rFonts w:ascii="Arial" w:hAnsi="Arial"/>
          <w:sz w:val="16"/>
        </w:rPr>
        <w:t xml:space="preserve"> Julio Zamora, Intendente Municipal. Alejandro D. Chavarría, Secretario de Gobierno. </w:t>
      </w:r>
    </w:p>
    <w:p w:rsidR="00F72B45" w:rsidRDefault="00F72B45" w:rsidP="00F72B45">
      <w:pPr>
        <w:jc w:val="center"/>
        <w:rPr>
          <w:rFonts w:ascii="Arial" w:hAnsi="Arial"/>
          <w:sz w:val="16"/>
        </w:rPr>
      </w:pPr>
      <w:r w:rsidRPr="00984E28">
        <w:rPr>
          <w:rFonts w:ascii="Arial" w:hAnsi="Arial"/>
          <w:sz w:val="16"/>
        </w:rPr>
        <w:t xml:space="preserve">Carlos </w:t>
      </w:r>
      <w:proofErr w:type="spellStart"/>
      <w:r w:rsidRPr="00984E28">
        <w:rPr>
          <w:rFonts w:ascii="Arial" w:hAnsi="Arial"/>
          <w:sz w:val="16"/>
        </w:rPr>
        <w:t>Vittor</w:t>
      </w:r>
      <w:proofErr w:type="spellEnd"/>
      <w:r>
        <w:rPr>
          <w:rFonts w:ascii="Arial" w:hAnsi="Arial"/>
          <w:sz w:val="16"/>
        </w:rPr>
        <w:t>,</w:t>
      </w:r>
      <w:r w:rsidRPr="00984E28">
        <w:rPr>
          <w:rFonts w:ascii="Arial" w:hAnsi="Arial"/>
          <w:sz w:val="16"/>
        </w:rPr>
        <w:t xml:space="preserve"> Secretario de </w:t>
      </w:r>
      <w:r>
        <w:rPr>
          <w:rFonts w:ascii="Arial" w:hAnsi="Arial"/>
          <w:sz w:val="16"/>
        </w:rPr>
        <w:t>Control Urbano y Ambiental.</w:t>
      </w:r>
    </w:p>
    <w:p w:rsidR="00F72B45" w:rsidRDefault="00F72B45" w:rsidP="00F72B45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Daniel Carlos Chillo, Secretario de Ingresos Públicos.</w:t>
      </w:r>
    </w:p>
    <w:p w:rsidR="00F72B45" w:rsidRDefault="00F72B45" w:rsidP="00F72B45">
      <w:pPr>
        <w:pStyle w:val="Ttulo1"/>
        <w:jc w:val="center"/>
      </w:pPr>
      <w:r>
        <w:t>DECRETO N° 170/14</w:t>
      </w:r>
    </w:p>
    <w:p w:rsidR="00F72B45" w:rsidRDefault="00F72B45" w:rsidP="00F72B45">
      <w:pPr>
        <w:jc w:val="center"/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786130" cy="182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45" w:rsidRDefault="00F72B45"/>
    <w:p w:rsidR="00F72B45" w:rsidRDefault="00F72B45"/>
    <w:sectPr w:rsidR="00F72B45" w:rsidSect="00431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2FE5"/>
    <w:multiLevelType w:val="hybridMultilevel"/>
    <w:tmpl w:val="CE3EA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B45"/>
    <w:rsid w:val="000F485A"/>
    <w:rsid w:val="00431878"/>
    <w:rsid w:val="004827A0"/>
    <w:rsid w:val="00B12300"/>
    <w:rsid w:val="00B551A8"/>
    <w:rsid w:val="00F7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78"/>
  </w:style>
  <w:style w:type="paragraph" w:styleId="Ttulo1">
    <w:name w:val="heading 1"/>
    <w:aliases w:val="Capítulo"/>
    <w:basedOn w:val="Normal"/>
    <w:next w:val="Normal"/>
    <w:link w:val="Ttulo1Car"/>
    <w:qFormat/>
    <w:rsid w:val="00F72B45"/>
    <w:pPr>
      <w:keepNext/>
      <w:spacing w:after="0" w:line="240" w:lineRule="auto"/>
      <w:jc w:val="right"/>
      <w:outlineLvl w:val="0"/>
    </w:pPr>
    <w:rPr>
      <w:rFonts w:ascii="Arial" w:eastAsia="Times New Roman" w:hAnsi="Arial" w:cs="Times New Roman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B45"/>
    <w:pPr>
      <w:ind w:left="720"/>
      <w:contextualSpacing/>
    </w:pPr>
  </w:style>
  <w:style w:type="character" w:customStyle="1" w:styleId="Ttulo1Car">
    <w:name w:val="Título 1 Car"/>
    <w:aliases w:val="Capítulo Car"/>
    <w:basedOn w:val="Fuentedeprrafopredeter"/>
    <w:link w:val="Ttulo1"/>
    <w:rsid w:val="00F72B45"/>
    <w:rPr>
      <w:rFonts w:ascii="Arial" w:eastAsia="Times New Roman" w:hAnsi="Arial" w:cs="Times New Roman"/>
      <w:b/>
      <w:szCs w:val="20"/>
      <w:lang w:val="es-ES_tradnl" w:eastAsia="es-ES"/>
    </w:rPr>
  </w:style>
  <w:style w:type="table" w:styleId="TablaWeb3">
    <w:name w:val="Table Web 3"/>
    <w:basedOn w:val="Tablanormal"/>
    <w:rsid w:val="00F72B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631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jlanzarotti</dc:creator>
  <cp:lastModifiedBy>jlanzarotti</cp:lastModifiedBy>
  <cp:revision>2</cp:revision>
  <dcterms:created xsi:type="dcterms:W3CDTF">2014-03-10T13:37:00Z</dcterms:created>
  <dcterms:modified xsi:type="dcterms:W3CDTF">2014-03-10T13:49:00Z</dcterms:modified>
</cp:coreProperties>
</file>