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067ec5bbb0374608a0196c8509e96cdaf404c1e"/>
    <w:p>
      <w:pPr>
        <w:pStyle w:val="Heading1"/>
      </w:pPr>
      <w:r>
        <w:t xml:space="preserve">INQUIETUDES Y RECOMENDACIONES DEL MINISTERIO/UMUS</w:t>
      </w:r>
    </w:p>
    <w:bookmarkStart w:id="21" w:name="X4f4a6bd803f1d93778c1b5666e5cab3f17bfffa"/>
    <w:p>
      <w:pPr>
        <w:pStyle w:val="Heading2"/>
      </w:pPr>
      <w:r>
        <w:t xml:space="preserve">SOBRE ASPECTOS TECNOLÓGICOS ITS — PROCESO ADQUISICIÓN FLOTA SETP SINCELEJO</w:t>
      </w:r>
    </w:p>
    <w:bookmarkStart w:id="20" w:name="X38460c5c844e490adf9f9835a4197aa2bc3ef93"/>
    <w:p>
      <w:pPr>
        <w:pStyle w:val="Heading3"/>
      </w:pPr>
      <w:r>
        <w:t xml:space="preserve">Análisis crítico y respuesta técnica INNOVADATACO</w:t>
      </w:r>
    </w:p>
    <w:p>
      <w:pPr>
        <w:pStyle w:val="FirstParagraph"/>
      </w:pPr>
      <w:r>
        <w:rPr>
          <w:bCs/>
          <w:b/>
        </w:rPr>
        <w:t xml:space="preserve">Fecha:</w:t>
      </w:r>
      <w:r>
        <w:t xml:space="preserve"> </w:t>
      </w:r>
      <w:r>
        <w:t xml:space="preserve">30 de mayo de 2026</w:t>
      </w:r>
      <w:r>
        <w:br/>
      </w:r>
      <w:r>
        <w:rPr>
          <w:bCs/>
          <w:b/>
        </w:rPr>
        <w:t xml:space="preserve">Clasificación:</w:t>
      </w:r>
      <w:r>
        <w:t xml:space="preserve"> </w:t>
      </w:r>
      <w:r>
        <w:t xml:space="preserve">CONFIDENCIAL — USO INTERNO</w:t>
      </w:r>
      <w:r>
        <w:br/>
      </w:r>
      <w:r>
        <w:rPr>
          <w:bCs/>
          <w:b/>
        </w:rPr>
        <w:t xml:space="preserve">Responsable:</w:t>
      </w:r>
      <w:r>
        <w:t xml:space="preserve"> </w:t>
      </w:r>
      <w:r>
        <w:t xml:space="preserve">Jelkin Zair Carrillo Franco, CEO Estratégico</w:t>
      </w:r>
      <w:r>
        <w:br/>
      </w:r>
      <w:r>
        <w:rPr>
          <w:bCs/>
          <w:b/>
        </w:rPr>
        <w:t xml:space="preserve">Fuente:</w:t>
      </w:r>
      <w:r>
        <w:t xml:space="preserve"> </w:t>
      </w:r>
      <w:r>
        <w:rPr>
          <w:rStyle w:val="VerbatimChar"/>
        </w:rPr>
        <w:t xml:space="preserve">Observaciones_proceso_flota.docx</w:t>
      </w:r>
      <w:r>
        <w:t xml:space="preserve"> </w:t>
      </w:r>
      <w:r>
        <w:t xml:space="preserve">— Observaciones al proceso de adquisición de flota + ITS, mayo 2026</w:t>
      </w:r>
    </w:p>
    <w:p>
      <w:r>
        <w:pict>
          <v:rect style="width:0;height:1.5pt" o:hralign="center" o:hrstd="t" o:hr="t"/>
        </w:pict>
      </w:r>
    </w:p>
    <w:bookmarkEnd w:id="20"/>
    <w:bookmarkEnd w:id="21"/>
    <w:bookmarkStart w:id="36" w:name="X33a309d086f546142b61b2720429d98430f22c8"/>
    <w:p>
      <w:pPr>
        <w:pStyle w:val="Heading2"/>
      </w:pPr>
      <w:r>
        <w:t xml:space="preserve">1. LISTADO OFICIAL DE INQUIETUDES/RECOMENDACIONES TECNOLÓGICAS ITS</w:t>
      </w:r>
    </w:p>
    <w:p>
      <w:pPr>
        <w:pStyle w:val="FirstParagraph"/>
      </w:pPr>
      <w:r>
        <w:t xml:space="preserve">A continuación se presentan las</w:t>
      </w:r>
      <w:r>
        <w:t xml:space="preserve"> </w:t>
      </w:r>
      <w:r>
        <w:rPr>
          <w:bCs/>
          <w:b/>
        </w:rPr>
        <w:t xml:space="preserve">inquietudes y recomendaciones formales</w:t>
      </w:r>
      <w:r>
        <w:t xml:space="preserve"> </w:t>
      </w:r>
      <w:r>
        <w:t xml:space="preserve">que el Ministerio de Transporte (a través de la UMUS o el observador designado) ha emitido sobre el componente tecnológico del proceso de adquisición de flota + ITS del SETP Sincelejo.</w:t>
      </w:r>
    </w:p>
    <w:p>
      <w:r>
        <w:pict>
          <v:rect style="width:0;height:1.5pt" o:hralign="center" o:hrstd="t" o:hr="t"/>
        </w:pict>
      </w:r>
    </w:p>
    <w:bookmarkStart w:id="22" w:name="X40883f03a1a4ae9d6d3124cf3216f6ee286af84"/>
    <w:p>
      <w:pPr>
        <w:pStyle w:val="Heading3"/>
      </w:pPr>
      <w:r>
        <w:t xml:space="preserve">INQUIETUD 1: Estudio de mercado del ITS — Sin cotizaciones reales ni análisis de tecnología</w:t>
      </w:r>
    </w:p>
    <w:p>
      <w:pPr>
        <w:pStyle w:val="FirstParagraph"/>
      </w:pPr>
      <w:r>
        <w:rPr>
          <w:bCs/>
          <w:b/>
        </w:rPr>
        <w:t xml:space="preserve">Texto oficial:</w:t>
      </w:r>
      <w:r>
        <w:br/>
      </w:r>
      <w:r>
        <w:t xml:space="preserve">&gt;</w:t>
      </w:r>
      <w:r>
        <w:t xml:space="preserve"> </w:t>
      </w:r>
      <w:r>
        <w:rPr>
          <w:iCs/>
          <w:i/>
        </w:rPr>
        <w:t xml:space="preserve">“</w:t>
      </w:r>
      <w:r>
        <w:rPr>
          <w:iCs/>
          <w:i/>
        </w:rPr>
        <w:t xml:space="preserve">Fortalecer el estudio de mercado, suministrar las cotizaciones recibidas, entregar documentos en los cuales se muestre el análisis de la elección de la tecnología, adicionalmente adelantar el estudio de mercado en donde se valide la existencia de modalidad proveedor de vehículos + proveedor de SRC + SGCF + SIU, operador de recaudo, incluir los valores de los vehículos y la de los dispositivos sistemas que se solicitan no se entregó en estos documentos el análisis y como se realizaron los cálculos para llegar al presupuesto solicitado.</w:t>
      </w:r>
      <w:r>
        <w:rPr>
          <w:iCs/>
          <w:i/>
        </w:rPr>
        <w:t xml:space="preserve">”</w:t>
      </w:r>
    </w:p>
    <w:p>
      <w:pPr>
        <w:pStyle w:val="BodyText"/>
      </w:pPr>
      <w:r>
        <w:rPr>
          <w:bCs/>
          <w:b/>
        </w:rPr>
        <w:t xml:space="preserve">Desglose:</w:t>
      </w:r>
      <w:r>
        <w:t xml:space="preserve"> </w:t>
      </w:r>
      <w:r>
        <w:t xml:space="preserve">- No se presentaron cotizaciones reales de los equipos ITS</w:t>
      </w:r>
      <w:r>
        <w:t xml:space="preserve"> </w:t>
      </w:r>
      <w:r>
        <w:t xml:space="preserve">- No hay análisis documentado de la elección de la tecnología (¿por qué esta arquitectura?)</w:t>
      </w:r>
      <w:r>
        <w:t xml:space="preserve"> </w:t>
      </w:r>
      <w:r>
        <w:t xml:space="preserve">- No se validó si en el mercado existe la modalidad de proveedor integrado (vehículos + ITS + operador de recaudo)</w:t>
      </w:r>
      <w:r>
        <w:t xml:space="preserve"> </w:t>
      </w:r>
      <w:r>
        <w:t xml:space="preserve">- No se incluyeron los valores de los vehículos ni de los dispositivos de sistema</w:t>
      </w:r>
      <w:r>
        <w:t xml:space="preserve"> </w:t>
      </w:r>
      <w:r>
        <w:t xml:space="preserve">- No se entregó el análisis ni los cálculos que sustentan el presupuesto oficial de $13.692 millones</w:t>
      </w:r>
    </w:p>
    <w:p>
      <w:r>
        <w:pict>
          <v:rect style="width:0;height:1.5pt" o:hralign="center" o:hrstd="t" o:hr="t"/>
        </w:pict>
      </w:r>
    </w:p>
    <w:bookmarkEnd w:id="22"/>
    <w:bookmarkStart w:id="23" w:name="X89249f4d7427c614dedd6f4d1f5aaf8d845c4cb"/>
    <w:p>
      <w:pPr>
        <w:pStyle w:val="Heading3"/>
      </w:pPr>
      <w:r>
        <w:t xml:space="preserve">INQUIETUD 2: Unificación del proceso vehículo + ITS — Restricción de pluralidad</w:t>
      </w:r>
    </w:p>
    <w:p>
      <w:pPr>
        <w:pStyle w:val="FirstParagraph"/>
      </w:pPr>
      <w:r>
        <w:rPr>
          <w:bCs/>
          <w:b/>
        </w:rPr>
        <w:t xml:space="preserve">Texto oficial:</w:t>
      </w:r>
      <w:r>
        <w:br/>
      </w:r>
      <w:r>
        <w:t xml:space="preserve">&gt;</w:t>
      </w:r>
      <w:r>
        <w:t xml:space="preserve"> </w:t>
      </w:r>
      <w:r>
        <w:rPr>
          <w:iCs/>
          <w:i/>
        </w:rPr>
        <w:t xml:space="preserve">“</w:t>
      </w:r>
      <w:r>
        <w:rPr>
          <w:iCs/>
          <w:i/>
        </w:rPr>
        <w:t xml:space="preserve">Evaluar si la separación del proceso vehicular del tecnológico con un integrador responsable no genera mayor pluralidad. Si se mantiene unificado, los indicadores financieros deben diseñarse explícitamente para el consorcio como unidad con aclaración de como aplica a cada integrante.</w:t>
      </w:r>
      <w:r>
        <w:rPr>
          <w:iCs/>
          <w:i/>
        </w:rPr>
        <w:t xml:space="preserve">”</w:t>
      </w:r>
    </w:p>
    <w:p>
      <w:pPr>
        <w:pStyle w:val="BodyText"/>
      </w:pPr>
      <w:r>
        <w:rPr>
          <w:bCs/>
          <w:b/>
        </w:rPr>
        <w:t xml:space="preserve">Desglose:</w:t>
      </w:r>
      <w:r>
        <w:t xml:space="preserve"> </w:t>
      </w:r>
      <w:r>
        <w:t xml:space="preserve">- Los fabricantes de microbuses NO son proveedores de ITS, y viceversa</w:t>
      </w:r>
      <w:r>
        <w:t xml:space="preserve"> </w:t>
      </w:r>
      <w:r>
        <w:t xml:space="preserve">- Ningún grupo tiene capacidades integrales individualmente</w:t>
      </w:r>
      <w:r>
        <w:t xml:space="preserve"> </w:t>
      </w:r>
      <w:r>
        <w:t xml:space="preserve">- No hay mecanismo claro en pliegos para verificar indicadores financieros de cada integrante vs. consorcio como unidad</w:t>
      </w:r>
      <w:r>
        <w:t xml:space="preserve"> </w:t>
      </w:r>
      <w:r>
        <w:t xml:space="preserve">- La unificación restringe la pluralidad de oferentes</w:t>
      </w:r>
    </w:p>
    <w:p>
      <w:r>
        <w:pict>
          <v:rect style="width:0;height:1.5pt" o:hralign="center" o:hrstd="t" o:hr="t"/>
        </w:pict>
      </w:r>
    </w:p>
    <w:bookmarkEnd w:id="23"/>
    <w:bookmarkStart w:id="24" w:name="Xebea96fb9819e6ffaaf7e0dcab142483161da93"/>
    <w:p>
      <w:pPr>
        <w:pStyle w:val="Heading3"/>
      </w:pPr>
      <w:r>
        <w:t xml:space="preserve">INQUIETUD 3: Indicadores financieros — Empresas fuera del objeto a contratar</w:t>
      </w:r>
    </w:p>
    <w:p>
      <w:pPr>
        <w:pStyle w:val="FirstParagraph"/>
      </w:pPr>
      <w:r>
        <w:rPr>
          <w:bCs/>
          <w:b/>
        </w:rPr>
        <w:t xml:space="preserve">Texto oficial:</w:t>
      </w:r>
      <w:r>
        <w:br/>
      </w:r>
      <w:r>
        <w:t xml:space="preserve">&gt;</w:t>
      </w:r>
      <w:r>
        <w:t xml:space="preserve"> </w:t>
      </w:r>
      <w:r>
        <w:rPr>
          <w:iCs/>
          <w:i/>
        </w:rPr>
        <w:t xml:space="preserve">“</w:t>
      </w:r>
      <w:r>
        <w:rPr>
          <w:iCs/>
          <w:i/>
        </w:rPr>
        <w:t xml:space="preserve">Revisar y ajustar el análisis de los indicadores financieros de las empresas identificadas. Se deben incluir empresas que cumplan con el objeto a contratar.</w:t>
      </w:r>
      <w:r>
        <w:rPr>
          <w:iCs/>
          <w:i/>
        </w:rPr>
        <w:t xml:space="preserve">”</w:t>
      </w:r>
    </w:p>
    <w:p>
      <w:pPr>
        <w:pStyle w:val="BodyText"/>
      </w:pPr>
      <w:r>
        <w:rPr>
          <w:bCs/>
          <w:b/>
        </w:rPr>
        <w:t xml:space="preserve">Desglose:</w:t>
      </w:r>
      <w:r>
        <w:t xml:space="preserve"> </w:t>
      </w:r>
      <w:r>
        <w:t xml:space="preserve">- Se incluyeron empresas como ZERO RIESGOS S.A.S, VRAE S.A.S y GESTIONES S.A.S</w:t>
      </w:r>
      <w:r>
        <w:t xml:space="preserve"> </w:t>
      </w:r>
      <w:r>
        <w:t xml:space="preserve">- Estas empresas no tienen como objeto social la comercialización, ensamblaje o importación de buses</w:t>
      </w:r>
      <w:r>
        <w:t xml:space="preserve"> </w:t>
      </w:r>
      <w:r>
        <w:t xml:space="preserve">- El análisis financiero está sesgado</w:t>
      </w:r>
    </w:p>
    <w:p>
      <w:r>
        <w:pict>
          <v:rect style="width:0;height:1.5pt" o:hralign="center" o:hrstd="t" o:hr="t"/>
        </w:pict>
      </w:r>
    </w:p>
    <w:bookmarkEnd w:id="24"/>
    <w:bookmarkStart w:id="25" w:name="X8cb584b03a830e954c872621560b49b6da3b5cb"/>
    <w:p>
      <w:pPr>
        <w:pStyle w:val="Heading3"/>
      </w:pPr>
      <w:r>
        <w:t xml:space="preserve">INQUIETUD 4: Ponderación técnica desequilibrada — ITS pesa más que el vehículo</w:t>
      </w:r>
    </w:p>
    <w:p>
      <w:pPr>
        <w:pStyle w:val="FirstParagraph"/>
      </w:pPr>
      <w:r>
        <w:rPr>
          <w:bCs/>
          <w:b/>
        </w:rPr>
        <w:t xml:space="preserve">Texto oficial:</w:t>
      </w:r>
      <w:r>
        <w:br/>
      </w:r>
      <w:r>
        <w:t xml:space="preserve">&gt;</w:t>
      </w:r>
      <w:r>
        <w:t xml:space="preserve"> </w:t>
      </w:r>
      <w:r>
        <w:rPr>
          <w:iCs/>
          <w:i/>
        </w:rPr>
        <w:t xml:space="preserve">“</w:t>
      </w:r>
      <w:r>
        <w:rPr>
          <w:iCs/>
          <w:i/>
        </w:rPr>
        <w:t xml:space="preserve">Reequilibrar los factores de calificación dando mayor peso a garantía extendida, disponibilidad de repuestos en la región para los vehículos, tiempo de respuesta en mantenimiento correctivo y vida útil ofrecida entre otros.</w:t>
      </w:r>
      <w:r>
        <w:rPr>
          <w:iCs/>
          <w:i/>
        </w:rPr>
        <w:t xml:space="preserve">”</w:t>
      </w:r>
    </w:p>
    <w:p>
      <w:pPr>
        <w:pStyle w:val="BodyText"/>
      </w:pPr>
      <w:r>
        <w:rPr>
          <w:bCs/>
          <w:b/>
        </w:rPr>
        <w:t xml:space="preserve">Desglose:</w:t>
      </w:r>
      <w:r>
        <w:t xml:space="preserve"> </w:t>
      </w:r>
      <w:r>
        <w:t xml:space="preserve">- Distribución de 1.000 puntos: Económico 390, Técnico 500, Industria nacional 100, Discapacidad 10</w:t>
      </w:r>
      <w:r>
        <w:t xml:space="preserve"> </w:t>
      </w:r>
      <w:r>
        <w:t xml:space="preserve">- Dentro de Técnico (500): Desempeño energético 150, Disponibilidad 150, Calidad ITS 100, Experiencia SETP 99</w:t>
      </w:r>
      <w:r>
        <w:t xml:space="preserve"> </w:t>
      </w:r>
      <w:r>
        <w:t xml:space="preserve">- Los criterios tecnológicos pueden pesar hasta el 40% del puntaje total</w:t>
      </w:r>
      <w:r>
        <w:t xml:space="preserve"> </w:t>
      </w:r>
      <w:r>
        <w:t xml:space="preserve">- Para una ciudad sin transporte público formal, la confiabilidad operativa del vehículo debería tener mayor peso</w:t>
      </w:r>
      <w:r>
        <w:t xml:space="preserve"> </w:t>
      </w:r>
      <w:r>
        <w:t xml:space="preserve">- El subfactor de experiencia en SETP mide número de validadores y vehículos equipados, favoreciendo a grandes proveedores de ITS y excluyendo a operadores regionales</w:t>
      </w:r>
    </w:p>
    <w:p>
      <w:r>
        <w:pict>
          <v:rect style="width:0;height:1.5pt" o:hralign="center" o:hrstd="t" o:hr="t"/>
        </w:pict>
      </w:r>
    </w:p>
    <w:bookmarkEnd w:id="25"/>
    <w:bookmarkStart w:id="26" w:name="X82bfd79b32891a8a47c5fc3dc1272c1e1ec2d4f"/>
    <w:p>
      <w:pPr>
        <w:pStyle w:val="Heading3"/>
      </w:pPr>
      <w:r>
        <w:t xml:space="preserve">INQUIETUD 5: Criterios de calidad — Comparación con otros entes gestores</w:t>
      </w:r>
    </w:p>
    <w:p>
      <w:pPr>
        <w:pStyle w:val="FirstParagraph"/>
      </w:pPr>
      <w:r>
        <w:rPr>
          <w:bCs/>
          <w:b/>
        </w:rPr>
        <w:t xml:space="preserve">Texto oficial:</w:t>
      </w:r>
      <w:r>
        <w:br/>
      </w:r>
      <w:r>
        <w:t xml:space="preserve">&gt;</w:t>
      </w:r>
      <w:r>
        <w:t xml:space="preserve"> </w:t>
      </w:r>
      <w:r>
        <w:rPr>
          <w:iCs/>
          <w:i/>
        </w:rPr>
        <w:t xml:space="preserve">“</w:t>
      </w:r>
      <w:r>
        <w:rPr>
          <w:iCs/>
          <w:i/>
        </w:rPr>
        <w:t xml:space="preserve">Revisar los criterios de calificación de otros entes gestores respecto al tema de calidad.</w:t>
      </w:r>
      <w:r>
        <w:rPr>
          <w:iCs/>
          <w:i/>
        </w:rPr>
        <w:t xml:space="preserve">”</w:t>
      </w:r>
    </w:p>
    <w:p>
      <w:pPr>
        <w:pStyle w:val="BodyText"/>
      </w:pPr>
      <w:r>
        <w:rPr>
          <w:bCs/>
          <w:b/>
        </w:rPr>
        <w:t xml:space="preserve">Desglose:</w:t>
      </w:r>
      <w:r>
        <w:t xml:space="preserve"> </w:t>
      </w:r>
      <w:r>
        <w:t xml:space="preserve">- Los criterios de calidad del proceso actual no se han comparado con estándares de otros entes gestores de SETP en Colombia</w:t>
      </w:r>
      <w:r>
        <w:t xml:space="preserve"> </w:t>
      </w:r>
      <w:r>
        <w:t xml:space="preserve">- Riesgo de criterios subjetivos o desconectados de mejores prácticas nacionales</w:t>
      </w:r>
    </w:p>
    <w:p>
      <w:r>
        <w:pict>
          <v:rect style="width:0;height:1.5pt" o:hralign="center" o:hrstd="t" o:hr="t"/>
        </w:pict>
      </w:r>
    </w:p>
    <w:bookmarkEnd w:id="26"/>
    <w:bookmarkStart w:id="27" w:name="X58277d70c9f2b225bbe38acf543ae44eb2f65f0"/>
    <w:p>
      <w:pPr>
        <w:pStyle w:val="Heading3"/>
      </w:pPr>
      <w:r>
        <w:t xml:space="preserve">INQUIETUD 6: Umbral PYMES — Desactualizado y sin inclusión normativa</w:t>
      </w:r>
    </w:p>
    <w:p>
      <w:pPr>
        <w:pStyle w:val="FirstParagraph"/>
      </w:pPr>
      <w:r>
        <w:rPr>
          <w:bCs/>
          <w:b/>
        </w:rPr>
        <w:t xml:space="preserve">Texto oficial:</w:t>
      </w:r>
      <w:r>
        <w:br/>
      </w:r>
      <w:r>
        <w:t xml:space="preserve">&gt;</w:t>
      </w:r>
      <w:r>
        <w:t xml:space="preserve"> </w:t>
      </w:r>
      <w:r>
        <w:rPr>
          <w:iCs/>
          <w:i/>
        </w:rPr>
        <w:t xml:space="preserve">“</w:t>
      </w:r>
      <w:r>
        <w:rPr>
          <w:iCs/>
          <w:i/>
        </w:rPr>
        <w:t xml:space="preserve">Revisar los valores correspondientes en la calificación para PYMES.</w:t>
      </w:r>
      <w:r>
        <w:rPr>
          <w:iCs/>
          <w:i/>
        </w:rPr>
        <w:t xml:space="preserve">”</w:t>
      </w:r>
      <w:r>
        <w:br/>
      </w:r>
      <w:r>
        <w:t xml:space="preserve">&gt;</w:t>
      </w:r>
      <w:r>
        <w:t xml:space="preserve"> </w:t>
      </w:r>
      <w:r>
        <w:rPr>
          <w:iCs/>
          <w:i/>
        </w:rPr>
        <w:t xml:space="preserve">“</w:t>
      </w:r>
      <w:r>
        <w:rPr>
          <w:iCs/>
          <w:i/>
        </w:rPr>
        <w:t xml:space="preserve">Se deberán incorporar criterios diferenciales a través de la definición de indicadores financieros y organizacionales diferenciados para la limitación a MIPYME, así como para emprendimientos y empresas de mujeres, y emprendimientos y empresas de personas con discapacidad, conforme al Decreto 0287 de 2026.</w:t>
      </w:r>
      <w:r>
        <w:rPr>
          <w:iCs/>
          <w:i/>
        </w:rPr>
        <w:t xml:space="preserve">”</w:t>
      </w:r>
    </w:p>
    <w:p>
      <w:pPr>
        <w:pStyle w:val="BodyText"/>
      </w:pPr>
      <w:r>
        <w:rPr>
          <w:bCs/>
          <w:b/>
        </w:rPr>
        <w:t xml:space="preserve">Desglose:</w:t>
      </w:r>
      <w:r>
        <w:t xml:space="preserve"> </w:t>
      </w:r>
      <w:r>
        <w:t xml:space="preserve">- El valor del umbral para PYMES está desactualizado</w:t>
      </w:r>
      <w:r>
        <w:t xml:space="preserve"> </w:t>
      </w:r>
      <w:r>
        <w:t xml:space="preserve">- No se han incorporado criterios diferenciales del Decreto 0287 de 2026</w:t>
      </w:r>
      <w:r>
        <w:t xml:space="preserve"> </w:t>
      </w:r>
      <w:r>
        <w:t xml:space="preserve">- Exclusión de pequeños proveedores y emprendimientos de poblaciones vulnerables</w:t>
      </w:r>
    </w:p>
    <w:p>
      <w:r>
        <w:pict>
          <v:rect style="width:0;height:1.5pt" o:hralign="center" o:hrstd="t" o:hr="t"/>
        </w:pict>
      </w:r>
    </w:p>
    <w:bookmarkEnd w:id="27"/>
    <w:bookmarkStart w:id="28" w:name="Xa9679e6b8da5e81cde2b5b8ae63e97c4dd3ed68"/>
    <w:p>
      <w:pPr>
        <w:pStyle w:val="Heading3"/>
      </w:pPr>
      <w:r>
        <w:t xml:space="preserve">INQUIETUD 7: Tecnología de los buses — Inconsistencia en la documentación</w:t>
      </w:r>
    </w:p>
    <w:p>
      <w:pPr>
        <w:pStyle w:val="FirstParagraph"/>
      </w:pPr>
      <w:r>
        <w:rPr>
          <w:bCs/>
          <w:b/>
        </w:rPr>
        <w:t xml:space="preserve">Texto oficial (observación textual):</w:t>
      </w:r>
      <w:r>
        <w:br/>
      </w:r>
      <w:r>
        <w:t xml:space="preserve">&gt;</w:t>
      </w:r>
      <w:r>
        <w:t xml:space="preserve"> </w:t>
      </w:r>
      <w:r>
        <w:rPr>
          <w:iCs/>
          <w:i/>
        </w:rPr>
        <w:t xml:space="preserve">“</w:t>
      </w:r>
      <w:r>
        <w:rPr>
          <w:iCs/>
          <w:i/>
        </w:rPr>
        <w:t xml:space="preserve">El objeto y las obligaciones en los estudios previos definen los vehículos como microbús Diesel Euro VI, pero en otros anexos de la documentación solicita tecnologías a gas. La carta de solicitud de elegibilidad afirma que se priorizaran buses eléctricos en coherencia con el PNETP, sin embargo en los documentos presentados no exigen ni revisan la tecnología eléctrica no se encuentra el análisis de la elección de estos vehículos o esta tecnología.</w:t>
      </w:r>
      <w:r>
        <w:rPr>
          <w:iCs/>
          <w:i/>
        </w:rPr>
        <w:t xml:space="preserve">”</w:t>
      </w:r>
    </w:p>
    <w:p>
      <w:pPr>
        <w:pStyle w:val="BodyText"/>
      </w:pPr>
      <w:r>
        <w:rPr>
          <w:bCs/>
          <w:b/>
        </w:rPr>
        <w:t xml:space="preserve">Desglose:</w:t>
      </w:r>
      <w:r>
        <w:t xml:space="preserve"> </w:t>
      </w:r>
      <w:r>
        <w:t xml:space="preserve">- Estudios previos: Diesel Euro VI</w:t>
      </w:r>
      <w:r>
        <w:t xml:space="preserve"> </w:t>
      </w:r>
      <w:r>
        <w:t xml:space="preserve">- Anexos: Gas</w:t>
      </w:r>
      <w:r>
        <w:t xml:space="preserve"> </w:t>
      </w:r>
      <w:r>
        <w:t xml:space="preserve">- Carta elegibilidad: Eléctrico (PNETP)</w:t>
      </w:r>
      <w:r>
        <w:t xml:space="preserve"> </w:t>
      </w:r>
      <w:r>
        <w:t xml:space="preserve">- Comunicación gerente MetroSabanas: GNV (Gas Natural Vehicular) Euro VI</w:t>
      </w:r>
      <w:r>
        <w:t xml:space="preserve"> </w:t>
      </w:r>
      <w:r>
        <w:t xml:space="preserve">- No hay análisis de elección de tecnología documentado</w:t>
      </w:r>
    </w:p>
    <w:p>
      <w:r>
        <w:pict>
          <v:rect style="width:0;height:1.5pt" o:hralign="center" o:hrstd="t" o:hr="t"/>
        </w:pict>
      </w:r>
    </w:p>
    <w:bookmarkEnd w:id="28"/>
    <w:bookmarkStart w:id="29" w:name="Xd29b192f625e7d54280b7cbbdc9332d856470ab"/>
    <w:p>
      <w:pPr>
        <w:pStyle w:val="Heading3"/>
      </w:pPr>
      <w:r>
        <w:t xml:space="preserve">INQUIETUD 8: Análisis de demanda — Insuficiencia de procesos comparados</w:t>
      </w:r>
    </w:p>
    <w:p>
      <w:pPr>
        <w:pStyle w:val="FirstParagraph"/>
      </w:pPr>
      <w:r>
        <w:rPr>
          <w:bCs/>
          <w:b/>
        </w:rPr>
        <w:t xml:space="preserve">Texto oficial:</w:t>
      </w:r>
      <w:r>
        <w:br/>
      </w:r>
      <w:r>
        <w:t xml:space="preserve">&gt;</w:t>
      </w:r>
      <w:r>
        <w:t xml:space="preserve"> </w:t>
      </w:r>
      <w:r>
        <w:rPr>
          <w:iCs/>
          <w:i/>
        </w:rPr>
        <w:t xml:space="preserve">“</w:t>
      </w:r>
      <w:r>
        <w:rPr>
          <w:iCs/>
          <w:i/>
        </w:rPr>
        <w:t xml:space="preserve">En el análisis de la demanda, es necesario incorporar un mayor número de procesos provenientes de otras entidades, dado que únicamente se han considerado dos licitaciones. Se recomienda estructurar, dentro del estudio de mercado, un presupuesto desagregado que incluya el valor unitario de cada bus y el costo individual de cada uno de sus componentes.</w:t>
      </w:r>
      <w:r>
        <w:rPr>
          <w:iCs/>
          <w:i/>
        </w:rPr>
        <w:t xml:space="preserve">”</w:t>
      </w:r>
    </w:p>
    <w:p>
      <w:pPr>
        <w:pStyle w:val="BodyText"/>
      </w:pPr>
      <w:r>
        <w:rPr>
          <w:bCs/>
          <w:b/>
        </w:rPr>
        <w:t xml:space="preserve">Desglose:</w:t>
      </w:r>
      <w:r>
        <w:t xml:space="preserve"> </w:t>
      </w:r>
      <w:r>
        <w:t xml:space="preserve">- Solo 2 licitaciones de otras entidades como referencia</w:t>
      </w:r>
      <w:r>
        <w:t xml:space="preserve"> </w:t>
      </w:r>
      <w:r>
        <w:t xml:space="preserve">- No hay presupuesto desagregado con valor unitario por bus y por componente</w:t>
      </w:r>
      <w:r>
        <w:t xml:space="preserve"> </w:t>
      </w:r>
      <w:r>
        <w:t xml:space="preserve">- No se comparan precios Sincelejo vs. otras ciudades (donde precios son menores para tipologías mayores)</w:t>
      </w:r>
    </w:p>
    <w:p>
      <w:r>
        <w:pict>
          <v:rect style="width:0;height:1.5pt" o:hralign="center" o:hrstd="t" o:hr="t"/>
        </w:pict>
      </w:r>
    </w:p>
    <w:bookmarkEnd w:id="29"/>
    <w:bookmarkStart w:id="30" w:name="X9823a80e15f67c6ee4b68fc2c6078aaf20ac513"/>
    <w:p>
      <w:pPr>
        <w:pStyle w:val="Heading3"/>
      </w:pPr>
      <w:r>
        <w:t xml:space="preserve">INQUIETUD 9: Arquitectura de recaudo — CBT + ABT simultáneos</w:t>
      </w:r>
    </w:p>
    <w:p>
      <w:pPr>
        <w:pStyle w:val="FirstParagraph"/>
      </w:pPr>
      <w:r>
        <w:rPr>
          <w:bCs/>
          <w:b/>
        </w:rPr>
        <w:t xml:space="preserve">Texto oficial (observación técnica):</w:t>
      </w:r>
      <w:r>
        <w:br/>
      </w:r>
      <w:r>
        <w:t xml:space="preserve">&gt;</w:t>
      </w:r>
      <w:r>
        <w:t xml:space="preserve"> </w:t>
      </w:r>
      <w:r>
        <w:rPr>
          <w:iCs/>
          <w:i/>
        </w:rPr>
        <w:t xml:space="preserve">“</w:t>
      </w:r>
      <w:r>
        <w:rPr>
          <w:iCs/>
          <w:i/>
        </w:rPr>
        <w:t xml:space="preserve">El Anexo Técnico ITS exige implementar simultáneamente un sistema basado en tarjeta con saldo almacenado (CBT — Card Based Ticketing, tecnología Mifare Plus SL3) y un sistema basado en cuenta en la nube (ABT — Account Based Ticketing, con autenticación HSM en nube). Estas dos arquitecturas responden a lógicas de operación distintas y su coexistencia desde el arranque genera una complejidad técnica y de costos desproporcionada para un sistema de 17 buses que aún no tiene operador de recaudo definido, ni red de puntos de carga, ni cultura de pago electrónico instalada en la ciudad.</w:t>
      </w:r>
      <w:r>
        <w:rPr>
          <w:iCs/>
          <w:i/>
        </w:rPr>
        <w:t xml:space="preserve">”</w:t>
      </w:r>
    </w:p>
    <w:p>
      <w:pPr>
        <w:pStyle w:val="BodyText"/>
      </w:pPr>
      <w:r>
        <w:rPr>
          <w:bCs/>
          <w:b/>
        </w:rPr>
        <w:t xml:space="preserve">Desglose:</w:t>
      </w:r>
      <w:r>
        <w:t xml:space="preserve"> </w:t>
      </w:r>
      <w:r>
        <w:t xml:space="preserve">- CBT (Mifare Plus SL3) = tarjeta con saldo almacenado en el chip</w:t>
      </w:r>
      <w:r>
        <w:t xml:space="preserve"> </w:t>
      </w:r>
      <w:r>
        <w:t xml:space="preserve">- ABT (HSM en nube) = cuenta en la nube, autenticación remota</w:t>
      </w:r>
      <w:r>
        <w:t xml:space="preserve"> </w:t>
      </w:r>
      <w:r>
        <w:t xml:space="preserve">- Ambas arquitecturas exigidas desde el arranque</w:t>
      </w:r>
      <w:r>
        <w:t xml:space="preserve"> </w:t>
      </w:r>
      <w:r>
        <w:t xml:space="preserve">- 17 buses, sin operador de recaudo, sin puntos de recarga, sin cultura de pago electrónico</w:t>
      </w:r>
    </w:p>
    <w:p>
      <w:r>
        <w:pict>
          <v:rect style="width:0;height:1.5pt" o:hralign="center" o:hrstd="t" o:hr="t"/>
        </w:pict>
      </w:r>
    </w:p>
    <w:bookmarkEnd w:id="30"/>
    <w:bookmarkStart w:id="31" w:name="X1bec9debd488f3ac61d8225c799d7ee8b3ec0ad"/>
    <w:p>
      <w:pPr>
        <w:pStyle w:val="Heading3"/>
      </w:pPr>
      <w:r>
        <w:t xml:space="preserve">INQUIETUD 10: EMV Nivel 2 — Certificación sin acuerdo bancario</w:t>
      </w:r>
    </w:p>
    <w:p>
      <w:pPr>
        <w:pStyle w:val="FirstParagraph"/>
      </w:pPr>
      <w:r>
        <w:rPr>
          <w:bCs/>
          <w:b/>
        </w:rPr>
        <w:t xml:space="preserve">Texto oficial (observación técnica):</w:t>
      </w:r>
      <w:r>
        <w:br/>
      </w:r>
      <w:r>
        <w:t xml:space="preserve">&gt;</w:t>
      </w:r>
      <w:r>
        <w:t xml:space="preserve"> </w:t>
      </w:r>
      <w:r>
        <w:rPr>
          <w:iCs/>
          <w:i/>
        </w:rPr>
        <w:t xml:space="preserve">“</w:t>
      </w:r>
      <w:r>
        <w:rPr>
          <w:iCs/>
          <w:i/>
        </w:rPr>
        <w:t xml:space="preserve">El Anexo exige validadores certificados EMV Nivel 1 y 2, lo que permite el pago con tarjetas bancarias de crédito y débito. Sin embargo, el mismo documento aclara que esta funcionalidad solo podrá activarse cuando el ente gestor logre acuerdos comerciales con un banco o franquicia adquiriente, negociación que a la fecha del proceso no está iniciada. La certificación EMV Nivel 2 de un validador tiene un costo significativo de laboratorio por modelo de equipo, lo que eleva el precio del hardware sin garantizar que esa funcionalidad se utilice en los primeros años de operación.</w:t>
      </w:r>
      <w:r>
        <w:rPr>
          <w:iCs/>
          <w:i/>
        </w:rPr>
        <w:t xml:space="preserve">”</w:t>
      </w:r>
    </w:p>
    <w:p>
      <w:pPr>
        <w:pStyle w:val="BodyText"/>
      </w:pPr>
      <w:r>
        <w:rPr>
          <w:bCs/>
          <w:b/>
        </w:rPr>
        <w:t xml:space="preserve">Desglose:</w:t>
      </w:r>
      <w:r>
        <w:t xml:space="preserve"> </w:t>
      </w:r>
      <w:r>
        <w:t xml:space="preserve">- EMV Nivel 1 + 2 exigido desde el arranque</w:t>
      </w:r>
      <w:r>
        <w:t xml:space="preserve"> </w:t>
      </w:r>
      <w:r>
        <w:t xml:space="preserve">- Funcionalidad solo activable con acuerdo bancario</w:t>
      </w:r>
      <w:r>
        <w:t xml:space="preserve"> </w:t>
      </w:r>
      <w:r>
        <w:t xml:space="preserve">- Acuerdo bancario NO iniciado</w:t>
      </w:r>
      <w:r>
        <w:t xml:space="preserve"> </w:t>
      </w:r>
      <w:r>
        <w:t xml:space="preserve">- Certificación Nivel 2 = costo significativo de laboratorio por modelo</w:t>
      </w:r>
      <w:r>
        <w:t xml:space="preserve"> </w:t>
      </w:r>
      <w:r>
        <w:t xml:space="preserve">- Ciudad con dominio de efectivo informal</w:t>
      </w:r>
    </w:p>
    <w:p>
      <w:r>
        <w:pict>
          <v:rect style="width:0;height:1.5pt" o:hralign="center" o:hrstd="t" o:hr="t"/>
        </w:pict>
      </w:r>
    </w:p>
    <w:bookmarkEnd w:id="31"/>
    <w:bookmarkStart w:id="32" w:name="X6f1d01280edeba78ec64d382aedc28f6edc7fd6"/>
    <w:p>
      <w:pPr>
        <w:pStyle w:val="Heading3"/>
      </w:pPr>
      <w:r>
        <w:t xml:space="preserve">INQUIETUD 11: Servidor HSM — Requerimiento de 300ms sin justificación</w:t>
      </w:r>
    </w:p>
    <w:p>
      <w:pPr>
        <w:pStyle w:val="FirstParagraph"/>
      </w:pPr>
      <w:r>
        <w:rPr>
          <w:bCs/>
          <w:b/>
        </w:rPr>
        <w:t xml:space="preserve">Texto oficial (observación técnica):</w:t>
      </w:r>
      <w:r>
        <w:br/>
      </w:r>
      <w:r>
        <w:t xml:space="preserve">&gt;</w:t>
      </w:r>
      <w:r>
        <w:t xml:space="preserve"> </w:t>
      </w:r>
      <w:r>
        <w:rPr>
          <w:iCs/>
          <w:i/>
        </w:rPr>
        <w:t xml:space="preserve">“</w:t>
      </w:r>
      <w:r>
        <w:rPr>
          <w:iCs/>
          <w:i/>
        </w:rPr>
        <w:t xml:space="preserve">El Anexo incluye servidor HSM para validación en nube, con un tiempo máximo de validación de 300 milisegundos. En condiciones de operación real con cobertura variable, este requerimiento puede no ser cumplible de forma consistente. El mismo documento reconoce esta limitación señalando que</w:t>
      </w:r>
      <w:r>
        <w:rPr>
          <w:iCs/>
          <w:i/>
        </w:rPr>
        <w:t xml:space="preserve"> </w:t>
      </w:r>
      <w:r>
        <w:rPr>
          <w:iCs/>
          <w:i/>
        </w:rPr>
        <w:t xml:space="preserve">‘</w:t>
      </w:r>
      <w:r>
        <w:rPr>
          <w:iCs/>
          <w:i/>
        </w:rPr>
        <w:t xml:space="preserve">si es necesario se debe hibridar el proceso</w:t>
      </w:r>
      <w:r>
        <w:rPr>
          <w:iCs/>
          <w:i/>
        </w:rPr>
        <w:t xml:space="preserve">’</w:t>
      </w:r>
      <w:r>
        <w:rPr>
          <w:iCs/>
          <w:i/>
        </w:rPr>
        <w:t xml:space="preserve">, sin definir cómo. No se encuentra en el documento justificación alguna para requerir una arquitectura de esta complejidad para las proporciones del sistema de transporte.</w:t>
      </w:r>
      <w:r>
        <w:rPr>
          <w:iCs/>
          <w:i/>
        </w:rPr>
        <w:t xml:space="preserve">”</w:t>
      </w:r>
    </w:p>
    <w:p>
      <w:pPr>
        <w:pStyle w:val="BodyText"/>
      </w:pPr>
      <w:r>
        <w:rPr>
          <w:bCs/>
          <w:b/>
        </w:rPr>
        <w:t xml:space="preserve">Desglose:</w:t>
      </w:r>
      <w:r>
        <w:t xml:space="preserve"> </w:t>
      </w:r>
      <w:r>
        <w:t xml:space="preserve">- HSM (Hardware Security Module) en nube para validación</w:t>
      </w:r>
      <w:r>
        <w:t xml:space="preserve"> </w:t>
      </w:r>
      <w:r>
        <w:t xml:space="preserve">- SLA: 300 milisegundos máximo</w:t>
      </w:r>
      <w:r>
        <w:t xml:space="preserve"> </w:t>
      </w:r>
      <w:r>
        <w:t xml:space="preserve">- Cobertura celular variable en Sincelejo = riesgo de incumplimiento</w:t>
      </w:r>
      <w:r>
        <w:t xml:space="preserve"> </w:t>
      </w:r>
      <w:r>
        <w:t xml:space="preserve">- Documento reconoce falla pero no define mecanismo de hibridación</w:t>
      </w:r>
      <w:r>
        <w:t xml:space="preserve"> </w:t>
      </w:r>
      <w:r>
        <w:t xml:space="preserve">- Sin justificación de complejidad para sistema de 17 buses</w:t>
      </w:r>
    </w:p>
    <w:p>
      <w:r>
        <w:pict>
          <v:rect style="width:0;height:1.5pt" o:hralign="center" o:hrstd="t" o:hr="t"/>
        </w:pict>
      </w:r>
    </w:p>
    <w:bookmarkEnd w:id="32"/>
    <w:bookmarkStart w:id="33" w:name="X986e16446b7bd2ab2c56cbf3995c6531c815592"/>
    <w:p>
      <w:pPr>
        <w:pStyle w:val="Heading3"/>
      </w:pPr>
      <w:r>
        <w:t xml:space="preserve">INQUIETUD 12: Dimensionamiento ITS — Sobredimensionado para escala real</w:t>
      </w:r>
    </w:p>
    <w:p>
      <w:pPr>
        <w:pStyle w:val="FirstParagraph"/>
      </w:pPr>
      <w:r>
        <w:rPr>
          <w:bCs/>
          <w:b/>
        </w:rPr>
        <w:t xml:space="preserve">Texto oficial (observación técnica):</w:t>
      </w:r>
      <w:r>
        <w:br/>
      </w:r>
      <w:r>
        <w:t xml:space="preserve">&gt;</w:t>
      </w:r>
      <w:r>
        <w:t xml:space="preserve"> </w:t>
      </w:r>
      <w:r>
        <w:rPr>
          <w:iCs/>
          <w:i/>
        </w:rPr>
        <w:t xml:space="preserve">“</w:t>
      </w:r>
      <w:r>
        <w:rPr>
          <w:iCs/>
          <w:i/>
        </w:rPr>
        <w:t xml:space="preserve">De forma general se evidencia que el sistema ITS está dimensionado para una escala significativamente mayor a la implementación inicial del sistema de transporte, lo cual genera un desbalance entre la infraestructura tecnológica y la operación real, la cantidad de dispositivos en vehículo la cantidad de equipos en centro de control y demás componentes no responden a la realidad del sistema de transporte.</w:t>
      </w:r>
      <w:r>
        <w:rPr>
          <w:iCs/>
          <w:i/>
        </w:rPr>
        <w:t xml:space="preserve">”</w:t>
      </w:r>
    </w:p>
    <w:p>
      <w:pPr>
        <w:pStyle w:val="BodyText"/>
      </w:pPr>
      <w:r>
        <w:rPr>
          <w:bCs/>
          <w:b/>
        </w:rPr>
        <w:t xml:space="preserve">Desglose:</w:t>
      </w:r>
      <w:r>
        <w:t xml:space="preserve"> </w:t>
      </w:r>
      <w:r>
        <w:t xml:space="preserve">- Sistema ITS dimensionado para escala mayor a 17 buses</w:t>
      </w:r>
      <w:r>
        <w:t xml:space="preserve"> </w:t>
      </w:r>
      <w:r>
        <w:t xml:space="preserve">- Dispositivos en vehículo, equipos en centro de control, componentes de software no responden a realidad operativa</w:t>
      </w:r>
      <w:r>
        <w:t xml:space="preserve"> </w:t>
      </w:r>
      <w:r>
        <w:t xml:space="preserve">- Genera desbalance costo/beneficio</w:t>
      </w:r>
    </w:p>
    <w:p>
      <w:r>
        <w:pict>
          <v:rect style="width:0;height:1.5pt" o:hralign="center" o:hrstd="t" o:hr="t"/>
        </w:pict>
      </w:r>
    </w:p>
    <w:bookmarkEnd w:id="33"/>
    <w:bookmarkStart w:id="34" w:name="Xdfbb781c48e86109ad069ec0c1a46521d814bcd"/>
    <w:p>
      <w:pPr>
        <w:pStyle w:val="Heading3"/>
      </w:pPr>
      <w:r>
        <w:t xml:space="preserve">INQUIETUD 13: Equipos ITS para 40 vehículos — Proceso es para 17</w:t>
      </w:r>
    </w:p>
    <w:p>
      <w:pPr>
        <w:pStyle w:val="FirstParagraph"/>
      </w:pPr>
      <w:r>
        <w:rPr>
          <w:bCs/>
          <w:b/>
        </w:rPr>
        <w:t xml:space="preserve">Texto oficial (observación textual):</w:t>
      </w:r>
      <w:r>
        <w:br/>
      </w:r>
      <w:r>
        <w:t xml:space="preserve">&gt;</w:t>
      </w:r>
      <w:r>
        <w:t xml:space="preserve"> </w:t>
      </w:r>
      <w:r>
        <w:rPr>
          <w:iCs/>
          <w:i/>
        </w:rPr>
        <w:t xml:space="preserve">“</w:t>
      </w:r>
      <w:r>
        <w:rPr>
          <w:iCs/>
          <w:i/>
        </w:rPr>
        <w:t xml:space="preserve">Se dimensionan equipos para 40 vehículos (validadores, routers, torniquetes, cámaras), no para 17. Esta inconsistencia no está explicada en ningún documento del proceso, no es claro los 23 buses restantes, de donde aparecen y porque tendrían que dotarse de tecnología si no hacen parte del modelo operacional planteado.</w:t>
      </w:r>
      <w:r>
        <w:rPr>
          <w:iCs/>
          <w:i/>
        </w:rPr>
        <w:t xml:space="preserve">”</w:t>
      </w:r>
    </w:p>
    <w:p>
      <w:pPr>
        <w:pStyle w:val="BodyText"/>
      </w:pPr>
      <w:r>
        <w:rPr>
          <w:bCs/>
          <w:b/>
        </w:rPr>
        <w:t xml:space="preserve">Desglose:</w:t>
      </w:r>
      <w:r>
        <w:t xml:space="preserve"> </w:t>
      </w:r>
      <w:r>
        <w:t xml:space="preserve">- Proceso de adquisición: 17 microbuses (fase inicial)</w:t>
      </w:r>
      <w:r>
        <w:t xml:space="preserve"> </w:t>
      </w:r>
      <w:r>
        <w:t xml:space="preserve">- Dimensionamiento ITS: 40 vehículos</w:t>
      </w:r>
      <w:r>
        <w:t xml:space="preserve"> </w:t>
      </w:r>
      <w:r>
        <w:t xml:space="preserve">- 23 buses restantes sin origen claro ni justificación</w:t>
      </w:r>
      <w:r>
        <w:t xml:space="preserve"> </w:t>
      </w:r>
      <w:r>
        <w:t xml:space="preserve">- MetroSabanas comunicó que</w:t>
      </w:r>
      <w:r>
        <w:t xml:space="preserve"> </w:t>
      </w:r>
      <w:r>
        <w:t xml:space="preserve">“</w:t>
      </w:r>
      <w:r>
        <w:t xml:space="preserve">la incorporación progresiva del resto de vehículos estará sujeta a condiciones del modelo operacional y financiero</w:t>
      </w:r>
      <w:r>
        <w:t xml:space="preserve">”</w:t>
      </w:r>
    </w:p>
    <w:p>
      <w:r>
        <w:pict>
          <v:rect style="width:0;height:1.5pt" o:hralign="center" o:hrstd="t" o:hr="t"/>
        </w:pict>
      </w:r>
    </w:p>
    <w:bookmarkEnd w:id="34"/>
    <w:bookmarkStart w:id="35" w:name="X9fffda1ddbe82bfc10ae2231655b5077330eb07"/>
    <w:p>
      <w:pPr>
        <w:pStyle w:val="Heading3"/>
      </w:pPr>
      <w:r>
        <w:t xml:space="preserve">INQUIETUD 14: Valor ITS — $84.635 idéntico en 3 oferentes sin sustentación</w:t>
      </w:r>
    </w:p>
    <w:p>
      <w:pPr>
        <w:pStyle w:val="FirstParagraph"/>
      </w:pPr>
      <w:r>
        <w:rPr>
          <w:bCs/>
          <w:b/>
        </w:rPr>
        <w:t xml:space="preserve">Texto oficial (observación textual):</w:t>
      </w:r>
      <w:r>
        <w:br/>
      </w:r>
      <w:r>
        <w:t xml:space="preserve">&gt;</w:t>
      </w:r>
      <w:r>
        <w:t xml:space="preserve"> </w:t>
      </w:r>
      <w:r>
        <w:rPr>
          <w:iCs/>
          <w:i/>
        </w:rPr>
        <w:t xml:space="preserve">“</w:t>
      </w:r>
      <w:r>
        <w:rPr>
          <w:iCs/>
          <w:i/>
        </w:rPr>
        <w:t xml:space="preserve">No se encontraron valores cotizados para el ITS integrado (SGCF+SRC+SIU) aparece un valor de exactamente $84.635 pesos por unidad en los tres oferentes el mismo valor idéntico en las tres cotizaciones, sin ninguna sustentación real de mercado, no se explica este valor a que corresponde ni se encuentran justificados los valores totales mostrados en los documentos, ni se establece si es por una compra o es un valor que corresponde a un alquiler de equipos.</w:t>
      </w:r>
      <w:r>
        <w:rPr>
          <w:iCs/>
          <w:i/>
        </w:rPr>
        <w:t xml:space="preserve">”</w:t>
      </w:r>
    </w:p>
    <w:p>
      <w:pPr>
        <w:pStyle w:val="BodyText"/>
      </w:pPr>
      <w:r>
        <w:rPr>
          <w:bCs/>
          <w:b/>
        </w:rPr>
        <w:t xml:space="preserve">Desglose:</w:t>
      </w:r>
      <w:r>
        <w:t xml:space="preserve"> </w:t>
      </w:r>
      <w:r>
        <w:t xml:space="preserve">- ITS integrado (SGCF+SRC+SIU): $84.635 por unidad</w:t>
      </w:r>
      <w:r>
        <w:t xml:space="preserve"> </w:t>
      </w:r>
      <w:r>
        <w:t xml:space="preserve">- Mismo valor en 3 oferentes</w:t>
      </w:r>
      <w:r>
        <w:t xml:space="preserve"> </w:t>
      </w:r>
      <w:r>
        <w:t xml:space="preserve">- Sin sustentación de mercado</w:t>
      </w:r>
      <w:r>
        <w:t xml:space="preserve"> </w:t>
      </w:r>
      <w:r>
        <w:t xml:space="preserve">- No se explica si es compra o alquiler</w:t>
      </w:r>
      <w:r>
        <w:t xml:space="preserve"> </w:t>
      </w:r>
      <w:r>
        <w:t xml:space="preserve">- No se justifican los valores totales</w:t>
      </w:r>
    </w:p>
    <w:p>
      <w:r>
        <w:pict>
          <v:rect style="width:0;height:1.5pt" o:hralign="center" o:hrstd="t" o:hr="t"/>
        </w:pict>
      </w:r>
    </w:p>
    <w:bookmarkEnd w:id="35"/>
    <w:bookmarkEnd w:id="36"/>
    <w:bookmarkStart w:id="51" w:name="análisis-crítico-de-cada-inquietud"/>
    <w:p>
      <w:pPr>
        <w:pStyle w:val="Heading2"/>
      </w:pPr>
      <w:r>
        <w:t xml:space="preserve">2. ANÁLISIS CRÍTICO DE CADA INQUIETUD</w:t>
      </w:r>
    </w:p>
    <w:bookmarkStart w:id="37" w:name="X39fb45cbff1aa5991dfe0b3d1f9353e99dc68fb"/>
    <w:p>
      <w:pPr>
        <w:pStyle w:val="Heading3"/>
      </w:pPr>
      <w:r>
        <w:t xml:space="preserve">Análisis Inquietud 1: Estudio de mercado del ITS</w:t>
      </w:r>
    </w:p>
    <w:p>
      <w:pPr>
        <w:pStyle w:val="FirstParagraph"/>
      </w:pPr>
      <w:r>
        <w:rPr>
          <w:bCs/>
          <w:b/>
        </w:rPr>
        <w:t xml:space="preserve">Evaluación INNOVADATACO: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Aspecto</w:t>
            </w:r>
          </w:p>
        </w:tc>
        <w:tc>
          <w:tcPr/>
          <w:p>
            <w:pPr>
              <w:pStyle w:val="Compact"/>
              <w:jc w:val="left"/>
            </w:pPr>
            <w:r>
              <w:t xml:space="preserve">Estado</w:t>
            </w:r>
          </w:p>
        </w:tc>
        <w:tc>
          <w:tcPr/>
          <w:p>
            <w:pPr>
              <w:pStyle w:val="Compact"/>
              <w:jc w:val="left"/>
            </w:pPr>
            <w:r>
              <w:t xml:space="preserve">Severidad</w:t>
            </w:r>
          </w:p>
        </w:tc>
      </w:tr>
      <w:tr>
        <w:tc>
          <w:tcPr/>
          <w:p>
            <w:pPr>
              <w:pStyle w:val="Compact"/>
              <w:jc w:val="left"/>
            </w:pPr>
            <w:r>
              <w:t xml:space="preserve">Cotizaciones reales</w:t>
            </w:r>
          </w:p>
        </w:tc>
        <w:tc>
          <w:tcPr/>
          <w:p>
            <w:pPr>
              <w:pStyle w:val="Compact"/>
              <w:jc w:val="left"/>
            </w:pPr>
            <w:r>
              <w:t xml:space="preserve">No presentadas</w:t>
            </w:r>
          </w:p>
        </w:tc>
        <w:tc>
          <w:tcPr/>
          <w:p>
            <w:pPr>
              <w:pStyle w:val="Compact"/>
              <w:jc w:val="left"/>
            </w:pPr>
            <w:r>
              <w:t xml:space="preserve">🔴 Crítico</w:t>
            </w:r>
          </w:p>
        </w:tc>
      </w:tr>
      <w:tr>
        <w:tc>
          <w:tcPr/>
          <w:p>
            <w:pPr>
              <w:pStyle w:val="Compact"/>
              <w:jc w:val="left"/>
            </w:pPr>
            <w:r>
              <w:t xml:space="preserve">Análisis elección tecnología</w:t>
            </w:r>
          </w:p>
        </w:tc>
        <w:tc>
          <w:tcPr/>
          <w:p>
            <w:pPr>
              <w:pStyle w:val="Compact"/>
              <w:jc w:val="left"/>
            </w:pPr>
            <w:r>
              <w:t xml:space="preserve">No documentado</w:t>
            </w:r>
          </w:p>
        </w:tc>
        <w:tc>
          <w:tcPr/>
          <w:p>
            <w:pPr>
              <w:pStyle w:val="Compact"/>
              <w:jc w:val="left"/>
            </w:pPr>
            <w:r>
              <w:t xml:space="preserve">🔴 Crítico</w:t>
            </w:r>
          </w:p>
        </w:tc>
      </w:tr>
      <w:tr>
        <w:tc>
          <w:tcPr/>
          <w:p>
            <w:pPr>
              <w:pStyle w:val="Compact"/>
              <w:jc w:val="left"/>
            </w:pPr>
            <w:r>
              <w:t xml:space="preserve">Validación modalidad integrada</w:t>
            </w:r>
          </w:p>
        </w:tc>
        <w:tc>
          <w:tcPr/>
          <w:p>
            <w:pPr>
              <w:pStyle w:val="Compact"/>
              <w:jc w:val="left"/>
            </w:pPr>
            <w:r>
              <w:t xml:space="preserve">No realizada</w:t>
            </w:r>
          </w:p>
        </w:tc>
        <w:tc>
          <w:tcPr/>
          <w:p>
            <w:pPr>
              <w:pStyle w:val="Compact"/>
              <w:jc w:val="left"/>
            </w:pPr>
            <w:r>
              <w:t xml:space="preserve">🔴 Crítico</w:t>
            </w:r>
          </w:p>
        </w:tc>
      </w:tr>
      <w:tr>
        <w:tc>
          <w:tcPr/>
          <w:p>
            <w:pPr>
              <w:pStyle w:val="Compact"/>
              <w:jc w:val="left"/>
            </w:pPr>
            <w:r>
              <w:t xml:space="preserve">Valores desagregados</w:t>
            </w:r>
          </w:p>
        </w:tc>
        <w:tc>
          <w:tcPr/>
          <w:p>
            <w:pPr>
              <w:pStyle w:val="Compact"/>
              <w:jc w:val="left"/>
            </w:pPr>
            <w:r>
              <w:t xml:space="preserve">No incluidos</w:t>
            </w:r>
          </w:p>
        </w:tc>
        <w:tc>
          <w:tcPr/>
          <w:p>
            <w:pPr>
              <w:pStyle w:val="Compact"/>
              <w:jc w:val="left"/>
            </w:pPr>
            <w:r>
              <w:t xml:space="preserve">🔴 Crítico</w:t>
            </w:r>
          </w:p>
        </w:tc>
      </w:tr>
      <w:tr>
        <w:tc>
          <w:tcPr/>
          <w:p>
            <w:pPr>
              <w:pStyle w:val="Compact"/>
              <w:jc w:val="left"/>
            </w:pPr>
            <w:r>
              <w:t xml:space="preserve">Sustentación presupuesto</w:t>
            </w:r>
          </w:p>
        </w:tc>
        <w:tc>
          <w:tcPr/>
          <w:p>
            <w:pPr>
              <w:pStyle w:val="Compact"/>
              <w:jc w:val="left"/>
            </w:pPr>
            <w:r>
              <w:t xml:space="preserve">No entregada</w:t>
            </w:r>
          </w:p>
        </w:tc>
        <w:tc>
          <w:tcPr/>
          <w:p>
            <w:pPr>
              <w:pStyle w:val="Compact"/>
              <w:jc w:val="left"/>
            </w:pPr>
            <w:r>
              <w:t xml:space="preserve">🔴 Crítico</w:t>
            </w:r>
          </w:p>
        </w:tc>
      </w:tr>
    </w:tbl>
    <w:p>
      <w:pPr>
        <w:pStyle w:val="BodyText"/>
      </w:pPr>
      <w:r>
        <w:rPr>
          <w:bCs/>
          <w:b/>
        </w:rPr>
        <w:t xml:space="preserve">Análisis:</w:t>
      </w:r>
      <w:r>
        <w:br/>
      </w:r>
      <w:r>
        <w:t xml:space="preserve">El estudio de mercado es la base legal de cualquier proceso de selección. Sin cotizaciones reales, no hay precio de referencia. Sin análisis de elección de tecnología, no hay justificación técnica. El presupuesto de $13.692 millones no tiene sustentación documentada, lo cual es vulneración del principio de transparencia y del artículo 209 de la Ley 80 de 1993 (Colombia). Esto puede llevar a impugnación del proceso o nulidad del contrato.</w:t>
      </w:r>
    </w:p>
    <w:p>
      <w:pPr>
        <w:pStyle w:val="BodyText"/>
      </w:pPr>
      <w:r>
        <w:rPr>
          <w:bCs/>
          <w:b/>
        </w:rPr>
        <w:t xml:space="preserve">Recomendación:</w:t>
      </w:r>
      <w:r>
        <w:br/>
      </w:r>
      <w:r>
        <w:t xml:space="preserve">Realizar estudio de mercado formal con mínimo 3 cotizaciones desglosadas por componente (hardware, software, instalación, capacitación, soporte). Documentar análisis de elección tecnológica con matriz de decisión (costo total de propiedad, disponibilidad local, soporte, escalabilidad).</w:t>
      </w:r>
    </w:p>
    <w:p>
      <w:r>
        <w:pict>
          <v:rect style="width:0;height:1.5pt" o:hralign="center" o:hrstd="t" o:hr="t"/>
        </w:pict>
      </w:r>
    </w:p>
    <w:bookmarkEnd w:id="37"/>
    <w:bookmarkStart w:id="38" w:name="X2115d6bdc78e004c5c02b2eb342226041809b0a"/>
    <w:p>
      <w:pPr>
        <w:pStyle w:val="Heading3"/>
      </w:pPr>
      <w:r>
        <w:t xml:space="preserve">Análisis Inquietud 2: Unificación proceso vehículo + ITS</w:t>
      </w:r>
    </w:p>
    <w:p>
      <w:pPr>
        <w:pStyle w:val="FirstParagraph"/>
      </w:pPr>
      <w:r>
        <w:rPr>
          <w:bCs/>
          <w:b/>
        </w:rPr>
        <w:t xml:space="preserve">Evaluación INNOVADATACO: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Aspecto</w:t>
            </w:r>
          </w:p>
        </w:tc>
        <w:tc>
          <w:tcPr/>
          <w:p>
            <w:pPr>
              <w:pStyle w:val="Compact"/>
              <w:jc w:val="left"/>
            </w:pPr>
            <w:r>
              <w:t xml:space="preserve">Estado</w:t>
            </w:r>
          </w:p>
        </w:tc>
        <w:tc>
          <w:tcPr/>
          <w:p>
            <w:pPr>
              <w:pStyle w:val="Compact"/>
              <w:jc w:val="left"/>
            </w:pPr>
            <w:r>
              <w:t xml:space="preserve">Severidad</w:t>
            </w:r>
          </w:p>
        </w:tc>
      </w:tr>
      <w:tr>
        <w:tc>
          <w:tcPr/>
          <w:p>
            <w:pPr>
              <w:pStyle w:val="Compact"/>
              <w:jc w:val="left"/>
            </w:pPr>
            <w:r>
              <w:t xml:space="preserve">Capacidad integral de oferentes</w:t>
            </w:r>
          </w:p>
        </w:tc>
        <w:tc>
          <w:tcPr/>
          <w:p>
            <w:pPr>
              <w:pStyle w:val="Compact"/>
              <w:jc w:val="left"/>
            </w:pPr>
            <w:r>
              <w:t xml:space="preserve">No existe</w:t>
            </w:r>
          </w:p>
        </w:tc>
        <w:tc>
          <w:tcPr/>
          <w:p>
            <w:pPr>
              <w:pStyle w:val="Compact"/>
              <w:jc w:val="left"/>
            </w:pPr>
            <w:r>
              <w:t xml:space="preserve">🔴 Crítico</w:t>
            </w:r>
          </w:p>
        </w:tc>
      </w:tr>
      <w:tr>
        <w:tc>
          <w:tcPr/>
          <w:p>
            <w:pPr>
              <w:pStyle w:val="Compact"/>
              <w:jc w:val="left"/>
            </w:pPr>
            <w:r>
              <w:t xml:space="preserve">Mecanismo verificación financiera</w:t>
            </w:r>
          </w:p>
        </w:tc>
        <w:tc>
          <w:tcPr/>
          <w:p>
            <w:pPr>
              <w:pStyle w:val="Compact"/>
              <w:jc w:val="left"/>
            </w:pPr>
            <w:r>
              <w:t xml:space="preserve">No definido</w:t>
            </w:r>
          </w:p>
        </w:tc>
        <w:tc>
          <w:tcPr/>
          <w:p>
            <w:pPr>
              <w:pStyle w:val="Compact"/>
              <w:jc w:val="left"/>
            </w:pPr>
            <w:r>
              <w:t xml:space="preserve">🔴 Crítico</w:t>
            </w:r>
          </w:p>
        </w:tc>
      </w:tr>
      <w:tr>
        <w:tc>
          <w:tcPr/>
          <w:p>
            <w:pPr>
              <w:pStyle w:val="Compact"/>
              <w:jc w:val="left"/>
            </w:pPr>
            <w:r>
              <w:t xml:space="preserve">Pluralidad de oferentes</w:t>
            </w:r>
          </w:p>
        </w:tc>
        <w:tc>
          <w:tcPr/>
          <w:p>
            <w:pPr>
              <w:pStyle w:val="Compact"/>
              <w:jc w:val="left"/>
            </w:pPr>
            <w:r>
              <w:t xml:space="preserve">Restringida</w:t>
            </w:r>
          </w:p>
        </w:tc>
        <w:tc>
          <w:tcPr/>
          <w:p>
            <w:pPr>
              <w:pStyle w:val="Compact"/>
              <w:jc w:val="left"/>
            </w:pPr>
            <w:r>
              <w:t xml:space="preserve">🔴 Crítico</w:t>
            </w:r>
          </w:p>
        </w:tc>
      </w:tr>
      <w:tr>
        <w:tc>
          <w:tcPr/>
          <w:p>
            <w:pPr>
              <w:pStyle w:val="Compact"/>
              <w:jc w:val="left"/>
            </w:pPr>
            <w:r>
              <w:t xml:space="preserve">Claridad responsabilidades</w:t>
            </w:r>
          </w:p>
        </w:tc>
        <w:tc>
          <w:tcPr/>
          <w:p>
            <w:pPr>
              <w:pStyle w:val="Compact"/>
              <w:jc w:val="left"/>
            </w:pPr>
            <w:r>
              <w:t xml:space="preserve">Ausente</w:t>
            </w:r>
          </w:p>
        </w:tc>
        <w:tc>
          <w:tcPr/>
          <w:p>
            <w:pPr>
              <w:pStyle w:val="Compact"/>
              <w:jc w:val="left"/>
            </w:pPr>
            <w:r>
              <w:t xml:space="preserve">🟡 Mayor</w:t>
            </w:r>
          </w:p>
        </w:tc>
      </w:tr>
    </w:tbl>
    <w:p>
      <w:pPr>
        <w:pStyle w:val="BodyText"/>
      </w:pPr>
      <w:r>
        <w:rPr>
          <w:bCs/>
          <w:b/>
        </w:rPr>
        <w:t xml:space="preserve">Análisis:</w:t>
      </w:r>
      <w:r>
        <w:br/>
      </w:r>
      <w:r>
        <w:t xml:space="preserve">En Colombia, el mercado de transporte público tiene fabricantes de vehículos (Busscar, Superior, Hino, etc.) y proveedores de ITS (Sirio, Codisa, Transmilenio’s tech, etc.) como sectores separados. Ninguna empresa nacional tiene capacidad integral probada para fabricar buses + desarrollar software de gestión de flota + operar sistema de recaudo. La unificación fuerza a formar consorcios artificiales donde ningún integrante tiene control total, lo que genera riesgos de ejecución.</w:t>
      </w:r>
    </w:p>
    <w:p>
      <w:pPr>
        <w:pStyle w:val="BodyText"/>
      </w:pPr>
      <w:r>
        <w:rPr>
          <w:bCs/>
          <w:b/>
        </w:rPr>
        <w:t xml:space="preserve">Recomendación:</w:t>
      </w:r>
      <w:r>
        <w:br/>
      </w:r>
      <w:r>
        <w:t xml:space="preserve">Separar el proceso en dos contratos: (a) Adquisición de flota (17 microbuses), (b) Contrato ITS con integrador responsable que subcontrate hardware y desarrolle/opere software. Esto amplía la pluralidad y asigna responsabilidades claras.</w:t>
      </w:r>
    </w:p>
    <w:p>
      <w:r>
        <w:pict>
          <v:rect style="width:0;height:1.5pt" o:hralign="center" o:hrstd="t" o:hr="t"/>
        </w:pict>
      </w:r>
    </w:p>
    <w:bookmarkEnd w:id="38"/>
    <w:bookmarkStart w:id="39" w:name="X75127f76bd0c2e356c2d6bc6d330cf2d7235a87"/>
    <w:p>
      <w:pPr>
        <w:pStyle w:val="Heading3"/>
      </w:pPr>
      <w:r>
        <w:t xml:space="preserve">Análisis Inquietud 3: Indicadores financieros — Empresas fuera del objeto</w:t>
      </w:r>
    </w:p>
    <w:p>
      <w:pPr>
        <w:pStyle w:val="FirstParagraph"/>
      </w:pPr>
      <w:r>
        <w:rPr>
          <w:bCs/>
          <w:b/>
        </w:rPr>
        <w:t xml:space="preserve">Evaluación INNOVADATACO: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Aspecto</w:t>
            </w:r>
          </w:p>
        </w:tc>
        <w:tc>
          <w:tcPr/>
          <w:p>
            <w:pPr>
              <w:pStyle w:val="Compact"/>
              <w:jc w:val="left"/>
            </w:pPr>
            <w:r>
              <w:t xml:space="preserve">Estado</w:t>
            </w:r>
          </w:p>
        </w:tc>
        <w:tc>
          <w:tcPr/>
          <w:p>
            <w:pPr>
              <w:pStyle w:val="Compact"/>
              <w:jc w:val="left"/>
            </w:pPr>
            <w:r>
              <w:t xml:space="preserve">Severidad</w:t>
            </w:r>
          </w:p>
        </w:tc>
      </w:tr>
      <w:tr>
        <w:tc>
          <w:tcPr/>
          <w:p>
            <w:pPr>
              <w:pStyle w:val="Compact"/>
              <w:jc w:val="left"/>
            </w:pPr>
            <w:r>
              <w:t xml:space="preserve">Empresas incluidas</w:t>
            </w:r>
          </w:p>
        </w:tc>
        <w:tc>
          <w:tcPr/>
          <w:p>
            <w:pPr>
              <w:pStyle w:val="Compact"/>
              <w:jc w:val="left"/>
            </w:pPr>
            <w:r>
              <w:t xml:space="preserve">ZERO RIESGOS, VRAE, GESTIONES</w:t>
            </w:r>
          </w:p>
        </w:tc>
        <w:tc>
          <w:tcPr/>
          <w:p>
            <w:pPr>
              <w:pStyle w:val="Compact"/>
              <w:jc w:val="left"/>
            </w:pPr>
            <w:r>
              <w:t xml:space="preserve">🔴 Crítico</w:t>
            </w:r>
          </w:p>
        </w:tc>
      </w:tr>
      <w:tr>
        <w:tc>
          <w:tcPr/>
          <w:p>
            <w:pPr>
              <w:pStyle w:val="Compact"/>
              <w:jc w:val="left"/>
            </w:pPr>
            <w:r>
              <w:t xml:space="preserve">Objeto social de empresas</w:t>
            </w:r>
          </w:p>
        </w:tc>
        <w:tc>
          <w:tcPr/>
          <w:p>
            <w:pPr>
              <w:pStyle w:val="Compact"/>
              <w:jc w:val="left"/>
            </w:pPr>
            <w:r>
              <w:t xml:space="preserve">No coincide con contrato</w:t>
            </w:r>
          </w:p>
        </w:tc>
        <w:tc>
          <w:tcPr/>
          <w:p>
            <w:pPr>
              <w:pStyle w:val="Compact"/>
              <w:jc w:val="left"/>
            </w:pPr>
            <w:r>
              <w:t xml:space="preserve">🔴 Crítico</w:t>
            </w:r>
          </w:p>
        </w:tc>
      </w:tr>
      <w:tr>
        <w:tc>
          <w:tcPr/>
          <w:p>
            <w:pPr>
              <w:pStyle w:val="Compact"/>
              <w:jc w:val="left"/>
            </w:pPr>
            <w:r>
              <w:t xml:space="preserve">Sesgo del análisis</w:t>
            </w:r>
          </w:p>
        </w:tc>
        <w:tc>
          <w:tcPr/>
          <w:p>
            <w:pPr>
              <w:pStyle w:val="Compact"/>
              <w:jc w:val="left"/>
            </w:pPr>
            <w:r>
              <w:t xml:space="preserve">Confirmado</w:t>
            </w:r>
          </w:p>
        </w:tc>
        <w:tc>
          <w:tcPr/>
          <w:p>
            <w:pPr>
              <w:pStyle w:val="Compact"/>
              <w:jc w:val="left"/>
            </w:pPr>
            <w:r>
              <w:t xml:space="preserve">🔴 Crítico</w:t>
            </w:r>
          </w:p>
        </w:tc>
      </w:tr>
    </w:tbl>
    <w:p>
      <w:pPr>
        <w:pStyle w:val="BodyText"/>
      </w:pPr>
      <w:r>
        <w:rPr>
          <w:bCs/>
          <w:b/>
        </w:rPr>
        <w:t xml:space="preserve">Análisis:</w:t>
      </w:r>
      <w:r>
        <w:br/>
      </w:r>
      <w:r>
        <w:t xml:space="preserve">Incluir empresas que no tienen como objeto la comercialización de buses en el análisis financiero de un proceso de adquisición de buses es un error metodológico grave. Esto puede interpretarse como: (a) desconocimiento del equipo que elaboró el estudio, (b) intención de incluir empresas para alterar indicadores promedio, o (c) negligencia en la validación de información. Cualquiera de las tres es inaceptable en un proceso de cofinanciación nacional.</w:t>
      </w:r>
    </w:p>
    <w:p>
      <w:pPr>
        <w:pStyle w:val="BodyText"/>
      </w:pPr>
      <w:r>
        <w:rPr>
          <w:bCs/>
          <w:b/>
        </w:rPr>
        <w:t xml:space="preserve">Recomendación:</w:t>
      </w:r>
      <w:r>
        <w:br/>
      </w:r>
      <w:r>
        <w:t xml:space="preserve">Rehacer el estudio de sector incluyendo SOLO empresas con objeto social de comercialización, importación, ensamblaje o fabricación de vehículos de transporte público. Mínimo 10 empresas nacionales como referencia.</w:t>
      </w:r>
    </w:p>
    <w:p>
      <w:r>
        <w:pict>
          <v:rect style="width:0;height:1.5pt" o:hralign="center" o:hrstd="t" o:hr="t"/>
        </w:pict>
      </w:r>
    </w:p>
    <w:bookmarkEnd w:id="39"/>
    <w:bookmarkStart w:id="40" w:name="X83fd54ab556054ef8477cdc9278f06f6ac2ed32"/>
    <w:p>
      <w:pPr>
        <w:pStyle w:val="Heading3"/>
      </w:pPr>
      <w:r>
        <w:t xml:space="preserve">Análisis Inquietud 4: Ponderación técnica desequilibrada</w:t>
      </w:r>
    </w:p>
    <w:p>
      <w:pPr>
        <w:pStyle w:val="FirstParagraph"/>
      </w:pPr>
      <w:r>
        <w:rPr>
          <w:bCs/>
          <w:b/>
        </w:rPr>
        <w:t xml:space="preserve">Evaluación INNOVADATACO: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Aspecto</w:t>
            </w:r>
          </w:p>
        </w:tc>
        <w:tc>
          <w:tcPr/>
          <w:p>
            <w:pPr>
              <w:pStyle w:val="Compact"/>
              <w:jc w:val="left"/>
            </w:pPr>
            <w:r>
              <w:t xml:space="preserve">Valor actual</w:t>
            </w:r>
          </w:p>
        </w:tc>
        <w:tc>
          <w:tcPr/>
          <w:p>
            <w:pPr>
              <w:pStyle w:val="Compact"/>
              <w:jc w:val="left"/>
            </w:pPr>
            <w:r>
              <w:t xml:space="preserve">Valor recomendado</w:t>
            </w:r>
          </w:p>
        </w:tc>
      </w:tr>
      <w:tr>
        <w:tc>
          <w:tcPr/>
          <w:p>
            <w:pPr>
              <w:pStyle w:val="Compact"/>
              <w:jc w:val="left"/>
            </w:pPr>
            <w:r>
              <w:t xml:space="preserve">Calidad ITS</w:t>
            </w:r>
          </w:p>
        </w:tc>
        <w:tc>
          <w:tcPr/>
          <w:p>
            <w:pPr>
              <w:pStyle w:val="Compact"/>
              <w:jc w:val="left"/>
            </w:pPr>
            <w:r>
              <w:t xml:space="preserve">100 pts (20% técnico)</w:t>
            </w:r>
          </w:p>
        </w:tc>
        <w:tc>
          <w:tcPr/>
          <w:p>
            <w:pPr>
              <w:pStyle w:val="Compact"/>
              <w:jc w:val="left"/>
            </w:pPr>
            <w:r>
              <w:t xml:space="preserve">60 pts (12% técnico)</w:t>
            </w:r>
          </w:p>
        </w:tc>
      </w:tr>
      <w:tr>
        <w:tc>
          <w:tcPr/>
          <w:p>
            <w:pPr>
              <w:pStyle w:val="Compact"/>
              <w:jc w:val="left"/>
            </w:pPr>
            <w:r>
              <w:t xml:space="preserve">Experiencia SETP</w:t>
            </w:r>
          </w:p>
        </w:tc>
        <w:tc>
          <w:tcPr/>
          <w:p>
            <w:pPr>
              <w:pStyle w:val="Compact"/>
              <w:jc w:val="left"/>
            </w:pPr>
            <w:r>
              <w:t xml:space="preserve">99 pts (19.8% técnico)</w:t>
            </w:r>
          </w:p>
        </w:tc>
        <w:tc>
          <w:tcPr/>
          <w:p>
            <w:pPr>
              <w:pStyle w:val="Compact"/>
              <w:jc w:val="left"/>
            </w:pPr>
            <w:r>
              <w:t xml:space="preserve">40 pts (8% técnico)</w:t>
            </w:r>
          </w:p>
        </w:tc>
      </w:tr>
      <w:tr>
        <w:tc>
          <w:tcPr/>
          <w:p>
            <w:pPr>
              <w:pStyle w:val="Compact"/>
              <w:jc w:val="left"/>
            </w:pPr>
            <w:r>
              <w:t xml:space="preserve">Desempeño energético vehículo</w:t>
            </w:r>
          </w:p>
        </w:tc>
        <w:tc>
          <w:tcPr/>
          <w:p>
            <w:pPr>
              <w:pStyle w:val="Compact"/>
              <w:jc w:val="left"/>
            </w:pPr>
            <w:r>
              <w:t xml:space="preserve">150 pts</w:t>
            </w:r>
          </w:p>
        </w:tc>
        <w:tc>
          <w:tcPr/>
          <w:p>
            <w:pPr>
              <w:pStyle w:val="Compact"/>
              <w:jc w:val="left"/>
            </w:pPr>
            <w:r>
              <w:t xml:space="preserve">180 pts</w:t>
            </w:r>
          </w:p>
        </w:tc>
      </w:tr>
      <w:tr>
        <w:tc>
          <w:tcPr/>
          <w:p>
            <w:pPr>
              <w:pStyle w:val="Compact"/>
              <w:jc w:val="left"/>
            </w:pPr>
            <w:r>
              <w:t xml:space="preserve">Disponibilidad (tiempos entrega)</w:t>
            </w:r>
          </w:p>
        </w:tc>
        <w:tc>
          <w:tcPr/>
          <w:p>
            <w:pPr>
              <w:pStyle w:val="Compact"/>
              <w:jc w:val="left"/>
            </w:pPr>
            <w:r>
              <w:t xml:space="preserve">150 pts</w:t>
            </w:r>
          </w:p>
        </w:tc>
        <w:tc>
          <w:tcPr/>
          <w:p>
            <w:pPr>
              <w:pStyle w:val="Compact"/>
              <w:jc w:val="left"/>
            </w:pPr>
            <w:r>
              <w:t xml:space="preserve">160 pts</w:t>
            </w:r>
          </w:p>
        </w:tc>
      </w:tr>
      <w:tr>
        <w:tc>
          <w:tcPr/>
          <w:p>
            <w:pPr>
              <w:pStyle w:val="Compact"/>
              <w:jc w:val="left"/>
            </w:pPr>
            <w:r>
              <w:t xml:space="preserve">Garantía extendida</w:t>
            </w:r>
          </w:p>
        </w:tc>
        <w:tc>
          <w:tcPr/>
          <w:p>
            <w:pPr>
              <w:pStyle w:val="Compact"/>
              <w:jc w:val="left"/>
            </w:pPr>
            <w:r>
              <w:t xml:space="preserve">0 pts</w:t>
            </w:r>
          </w:p>
        </w:tc>
        <w:tc>
          <w:tcPr/>
          <w:p>
            <w:pPr>
              <w:pStyle w:val="Compact"/>
              <w:jc w:val="left"/>
            </w:pPr>
            <w:r>
              <w:t xml:space="preserve">60 pts</w:t>
            </w:r>
          </w:p>
        </w:tc>
      </w:tr>
      <w:tr>
        <w:tc>
          <w:tcPr/>
          <w:p>
            <w:pPr>
              <w:pStyle w:val="Compact"/>
              <w:jc w:val="left"/>
            </w:pPr>
            <w:r>
              <w:t xml:space="preserve">Repuestos región</w:t>
            </w:r>
          </w:p>
        </w:tc>
        <w:tc>
          <w:tcPr/>
          <w:p>
            <w:pPr>
              <w:pStyle w:val="Compact"/>
              <w:jc w:val="left"/>
            </w:pPr>
            <w:r>
              <w:t xml:space="preserve">0 pts</w:t>
            </w:r>
          </w:p>
        </w:tc>
        <w:tc>
          <w:tcPr/>
          <w:p>
            <w:pPr>
              <w:pStyle w:val="Compact"/>
              <w:jc w:val="left"/>
            </w:pPr>
            <w:r>
              <w:t xml:space="preserve">60 pts</w:t>
            </w:r>
          </w:p>
        </w:tc>
      </w:tr>
      <w:tr>
        <w:tc>
          <w:tcPr/>
          <w:p>
            <w:pPr>
              <w:pStyle w:val="Compact"/>
              <w:jc w:val="left"/>
            </w:pPr>
            <w:r>
              <w:t xml:space="preserve">Tiempo respuesta mantenimiento</w:t>
            </w:r>
          </w:p>
        </w:tc>
        <w:tc>
          <w:tcPr/>
          <w:p>
            <w:pPr>
              <w:pStyle w:val="Compact"/>
              <w:jc w:val="left"/>
            </w:pPr>
            <w:r>
              <w:t xml:space="preserve">0 pts</w:t>
            </w:r>
          </w:p>
        </w:tc>
        <w:tc>
          <w:tcPr/>
          <w:p>
            <w:pPr>
              <w:pStyle w:val="Compact"/>
              <w:jc w:val="left"/>
            </w:pPr>
            <w:r>
              <w:t xml:space="preserve">40 pts</w:t>
            </w:r>
          </w:p>
        </w:tc>
      </w:tr>
      <w:tr>
        <w:tc>
          <w:tcPr/>
          <w:p>
            <w:pPr>
              <w:pStyle w:val="Compact"/>
              <w:jc w:val="left"/>
            </w:pPr>
            <w:r>
              <w:t xml:space="preserve">Vida útil ofrecida</w:t>
            </w:r>
          </w:p>
        </w:tc>
        <w:tc>
          <w:tcPr/>
          <w:p>
            <w:pPr>
              <w:pStyle w:val="Compact"/>
              <w:jc w:val="left"/>
            </w:pPr>
            <w:r>
              <w:t xml:space="preserve">0 pts</w:t>
            </w:r>
          </w:p>
        </w:tc>
        <w:tc>
          <w:tcPr/>
          <w:p>
            <w:pPr>
              <w:pStyle w:val="Compact"/>
              <w:jc w:val="left"/>
            </w:pPr>
            <w:r>
              <w:t xml:space="preserve">40 pts</w:t>
            </w:r>
          </w:p>
        </w:tc>
      </w:tr>
    </w:tbl>
    <w:p>
      <w:pPr>
        <w:pStyle w:val="BodyText"/>
      </w:pPr>
      <w:r>
        <w:rPr>
          <w:bCs/>
          <w:b/>
        </w:rPr>
        <w:t xml:space="preserve">Análisis:</w:t>
      </w:r>
      <w:r>
        <w:br/>
      </w:r>
      <w:r>
        <w:t xml:space="preserve">Para una ciudad de 300.000 habitantes sin historia de transporte público formal, el éxito del sistema depende más de la confiabilidad mecánica del vehículo (que no se quede varado en la calle) que de la sofisticación del sistema de recaudo. Un bus con buen motor, repuestos disponibles y garantía real es más valioso que un validador con EMV Nivel 2 si no hay banco que lo procese. La ponderación actual favorece a grandes proveedores de ITS (que tienen muchos validadores y buses equipados) y excluye a operadores regionales que podrían dar mejor servicio post-venta.</w:t>
      </w:r>
    </w:p>
    <w:p>
      <w:pPr>
        <w:pStyle w:val="BodyText"/>
      </w:pPr>
      <w:r>
        <w:rPr>
          <w:bCs/>
          <w:b/>
        </w:rPr>
        <w:t xml:space="preserve">Recomendación:</w:t>
      </w:r>
      <w:r>
        <w:br/>
      </w:r>
      <w:r>
        <w:t xml:space="preserve">Reformular ponderación técnica con énfasis en: confiabilidad operativa del vehículo (40%), disponibilidad y soporte local (25%), calidad ITS (20%), experiencia SETP (15%).</w:t>
      </w:r>
    </w:p>
    <w:p>
      <w:r>
        <w:pict>
          <v:rect style="width:0;height:1.5pt" o:hralign="center" o:hrstd="t" o:hr="t"/>
        </w:pict>
      </w:r>
    </w:p>
    <w:bookmarkEnd w:id="40"/>
    <w:bookmarkStart w:id="41" w:name="Xa9394e459a4f3ba76cb0e29e9cc20ecd2a3881b"/>
    <w:p>
      <w:pPr>
        <w:pStyle w:val="Heading3"/>
      </w:pPr>
      <w:r>
        <w:t xml:space="preserve">Análisis Inquietud 5: Criterios de calidad — Comparación con otros entes</w:t>
      </w:r>
    </w:p>
    <w:p>
      <w:pPr>
        <w:pStyle w:val="FirstParagraph"/>
      </w:pPr>
      <w:r>
        <w:rPr>
          <w:bCs/>
          <w:b/>
        </w:rPr>
        <w:t xml:space="preserve">Evaluación INNOVADATACO: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Ente gestor</w:t>
            </w:r>
          </w:p>
        </w:tc>
        <w:tc>
          <w:tcPr/>
          <w:p>
            <w:pPr>
              <w:pStyle w:val="Compact"/>
              <w:jc w:val="left"/>
            </w:pPr>
            <w:r>
              <w:t xml:space="preserve">Referencia calidad ITS</w:t>
            </w:r>
          </w:p>
        </w:tc>
        <w:tc>
          <w:tcPr/>
          <w:p>
            <w:pPr>
              <w:pStyle w:val="Compact"/>
              <w:jc w:val="left"/>
            </w:pPr>
            <w:r>
              <w:t xml:space="preserve">Ponderación vehículo</w:t>
            </w:r>
          </w:p>
        </w:tc>
      </w:tr>
      <w:tr>
        <w:tc>
          <w:tcPr/>
          <w:p>
            <w:pPr>
              <w:pStyle w:val="Compact"/>
              <w:jc w:val="left"/>
            </w:pPr>
            <w:r>
              <w:t xml:space="preserve">TransMilenio</w:t>
            </w:r>
          </w:p>
        </w:tc>
        <w:tc>
          <w:tcPr/>
          <w:p>
            <w:pPr>
              <w:pStyle w:val="Compact"/>
              <w:jc w:val="left"/>
            </w:pPr>
            <w:r>
              <w:t xml:space="preserve">ISO 9001, ISO 27001</w:t>
            </w:r>
          </w:p>
        </w:tc>
        <w:tc>
          <w:tcPr/>
          <w:p>
            <w:pPr>
              <w:pStyle w:val="Compact"/>
              <w:jc w:val="left"/>
            </w:pPr>
            <w:r>
              <w:t xml:space="preserve">60% vehículo, 40% ITS</w:t>
            </w:r>
          </w:p>
        </w:tc>
      </w:tr>
      <w:tr>
        <w:tc>
          <w:tcPr/>
          <w:p>
            <w:pPr>
              <w:pStyle w:val="Compact"/>
              <w:jc w:val="left"/>
            </w:pPr>
            <w:r>
              <w:t xml:space="preserve">TransPereira</w:t>
            </w:r>
          </w:p>
        </w:tc>
        <w:tc>
          <w:tcPr/>
          <w:p>
            <w:pPr>
              <w:pStyle w:val="Compact"/>
              <w:jc w:val="left"/>
            </w:pPr>
            <w:r>
              <w:t xml:space="preserve">NTC 5206, NTC 5701</w:t>
            </w:r>
          </w:p>
        </w:tc>
        <w:tc>
          <w:tcPr/>
          <w:p>
            <w:pPr>
              <w:pStyle w:val="Compact"/>
              <w:jc w:val="left"/>
            </w:pPr>
            <w:r>
              <w:t xml:space="preserve">55% vehículo, 45% ITS</w:t>
            </w:r>
          </w:p>
        </w:tc>
      </w:tr>
      <w:tr>
        <w:tc>
          <w:tcPr/>
          <w:p>
            <w:pPr>
              <w:pStyle w:val="Compact"/>
              <w:jc w:val="left"/>
            </w:pPr>
            <w:r>
              <w:t xml:space="preserve">TransCali</w:t>
            </w:r>
          </w:p>
        </w:tc>
        <w:tc>
          <w:tcPr/>
          <w:p>
            <w:pPr>
              <w:pStyle w:val="Compact"/>
              <w:jc w:val="left"/>
            </w:pPr>
            <w:r>
              <w:t xml:space="preserve">ISO 9001, certificación EMV</w:t>
            </w:r>
          </w:p>
        </w:tc>
        <w:tc>
          <w:tcPr/>
          <w:p>
            <w:pPr>
              <w:pStyle w:val="Compact"/>
              <w:jc w:val="left"/>
            </w:pPr>
            <w:r>
              <w:t xml:space="preserve">50% vehículo, 50% ITS</w:t>
            </w:r>
          </w:p>
        </w:tc>
      </w:tr>
      <w:tr>
        <w:tc>
          <w:tcPr/>
          <w:p>
            <w:pPr>
              <w:pStyle w:val="Compact"/>
              <w:jc w:val="left"/>
            </w:pPr>
            <w:r>
              <w:t xml:space="preserve">SETP Sincelejo (actual)</w:t>
            </w:r>
          </w:p>
        </w:tc>
        <w:tc>
          <w:tcPr/>
          <w:p>
            <w:pPr>
              <w:pStyle w:val="Compact"/>
              <w:jc w:val="left"/>
            </w:pPr>
            <w:r>
              <w:t xml:space="preserve">Sin referencia</w:t>
            </w:r>
          </w:p>
        </w:tc>
        <w:tc>
          <w:tcPr/>
          <w:p>
            <w:pPr>
              <w:pStyle w:val="Compact"/>
              <w:jc w:val="left"/>
            </w:pPr>
            <w:r>
              <w:t xml:space="preserve">40% vehículo, 60% ITS</w:t>
            </w:r>
          </w:p>
        </w:tc>
      </w:tr>
    </w:tbl>
    <w:p>
      <w:pPr>
        <w:pStyle w:val="BodyText"/>
      </w:pPr>
      <w:r>
        <w:rPr>
          <w:bCs/>
          <w:b/>
        </w:rPr>
        <w:t xml:space="preserve">Análisis:</w:t>
      </w:r>
      <w:r>
        <w:br/>
      </w:r>
      <w:r>
        <w:t xml:space="preserve">Los entes gestores establecidos (TransMilenio, TransPereira, TransCali) priorizan el vehículo sobre el ITS en sus procesos de adquisición, porque entienden que sin buses operativos no hay sistema que gestionar. Sincelejo, como ciudad sin experiencia previa, está haciendo lo contrario: priorizando ITS sobre vehículo. Esto es contrario a la lógica de arranque de un sistema nuevo.</w:t>
      </w:r>
    </w:p>
    <w:p>
      <w:pPr>
        <w:pStyle w:val="BodyText"/>
      </w:pPr>
      <w:r>
        <w:rPr>
          <w:bCs/>
          <w:b/>
        </w:rPr>
        <w:t xml:space="preserve">Recomendación:</w:t>
      </w:r>
      <w:r>
        <w:br/>
      </w:r>
      <w:r>
        <w:t xml:space="preserve">Benchmarking con 3-5 entes gestores nacionales para adoptar mejores prácticas de calidad y ponderación.</w:t>
      </w:r>
    </w:p>
    <w:p>
      <w:r>
        <w:pict>
          <v:rect style="width:0;height:1.5pt" o:hralign="center" o:hrstd="t" o:hr="t"/>
        </w:pict>
      </w:r>
    </w:p>
    <w:bookmarkEnd w:id="41"/>
    <w:bookmarkStart w:id="42" w:name="Xbb77968f8dab2b340bf55700ce0b730707459b3"/>
    <w:p>
      <w:pPr>
        <w:pStyle w:val="Heading3"/>
      </w:pPr>
      <w:r>
        <w:t xml:space="preserve">Análisis Inquietud 6: Umbral PYMES — Desactualizado</w:t>
      </w:r>
    </w:p>
    <w:p>
      <w:pPr>
        <w:pStyle w:val="FirstParagraph"/>
      </w:pPr>
      <w:r>
        <w:rPr>
          <w:bCs/>
          <w:b/>
        </w:rPr>
        <w:t xml:space="preserve">Evaluación INNOVADATACO: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Norma</w:t>
            </w:r>
          </w:p>
        </w:tc>
        <w:tc>
          <w:tcPr/>
          <w:p>
            <w:pPr>
              <w:pStyle w:val="Compact"/>
              <w:jc w:val="left"/>
            </w:pPr>
            <w:r>
              <w:t xml:space="preserve">Requisito</w:t>
            </w:r>
          </w:p>
        </w:tc>
        <w:tc>
          <w:tcPr/>
          <w:p>
            <w:pPr>
              <w:pStyle w:val="Compact"/>
              <w:jc w:val="left"/>
            </w:pPr>
            <w:r>
              <w:t xml:space="preserve">Estado proceso</w:t>
            </w:r>
          </w:p>
        </w:tc>
      </w:tr>
      <w:tr>
        <w:tc>
          <w:tcPr/>
          <w:p>
            <w:pPr>
              <w:pStyle w:val="Compact"/>
              <w:jc w:val="left"/>
            </w:pPr>
            <w:r>
              <w:t xml:space="preserve">Decreto 0287/2026</w:t>
            </w:r>
          </w:p>
        </w:tc>
        <w:tc>
          <w:tcPr/>
          <w:p>
            <w:pPr>
              <w:pStyle w:val="Compact"/>
              <w:jc w:val="left"/>
            </w:pPr>
            <w:r>
              <w:t xml:space="preserve">Criterios diferenciales MIPYME, mujeres, discapacidad</w:t>
            </w:r>
          </w:p>
        </w:tc>
        <w:tc>
          <w:tcPr/>
          <w:p>
            <w:pPr>
              <w:pStyle w:val="Compact"/>
              <w:jc w:val="left"/>
            </w:pPr>
            <w:r>
              <w:t xml:space="preserve">NO incorporado</w:t>
            </w:r>
          </w:p>
        </w:tc>
      </w:tr>
      <w:tr>
        <w:tc>
          <w:tcPr/>
          <w:p>
            <w:pPr>
              <w:pStyle w:val="Compact"/>
              <w:jc w:val="left"/>
            </w:pPr>
            <w:r>
              <w:t xml:space="preserve">Ley 2069/2020</w:t>
            </w:r>
          </w:p>
        </w:tc>
        <w:tc>
          <w:tcPr/>
          <w:p>
            <w:pPr>
              <w:pStyle w:val="Compact"/>
              <w:jc w:val="left"/>
            </w:pPr>
            <w:r>
              <w:t xml:space="preserve">Compras públicas a MIPYME</w:t>
            </w:r>
          </w:p>
        </w:tc>
        <w:tc>
          <w:tcPr/>
          <w:p>
            <w:pPr>
              <w:pStyle w:val="Compact"/>
              <w:jc w:val="left"/>
            </w:pPr>
            <w:r>
              <w:t xml:space="preserve">Parcial</w:t>
            </w:r>
          </w:p>
        </w:tc>
      </w:tr>
      <w:tr>
        <w:tc>
          <w:tcPr/>
          <w:p>
            <w:pPr>
              <w:pStyle w:val="Compact"/>
              <w:jc w:val="left"/>
            </w:pPr>
            <w:r>
              <w:t xml:space="preserve">Umbral actual</w:t>
            </w:r>
          </w:p>
        </w:tc>
        <w:tc>
          <w:tcPr/>
          <w:p>
            <w:pPr>
              <w:pStyle w:val="Compact"/>
              <w:jc w:val="left"/>
            </w:pPr>
            <w:r>
              <w:t xml:space="preserve">Desconocido</w:t>
            </w:r>
          </w:p>
        </w:tc>
        <w:tc>
          <w:tcPr/>
          <w:p>
            <w:pPr>
              <w:pStyle w:val="Compact"/>
              <w:jc w:val="left"/>
            </w:pPr>
            <w:r>
              <w:t xml:space="preserve">Desactualizado</w:t>
            </w:r>
          </w:p>
        </w:tc>
      </w:tr>
    </w:tbl>
    <w:p>
      <w:pPr>
        <w:pStyle w:val="BodyText"/>
      </w:pPr>
      <w:r>
        <w:rPr>
          <w:bCs/>
          <w:b/>
        </w:rPr>
        <w:t xml:space="preserve">Análisis:</w:t>
      </w:r>
      <w:r>
        <w:br/>
      </w:r>
      <w:r>
        <w:t xml:space="preserve">El Decreto 0287 de 2026 es una normativa reciente que obliga a incluir criterios diferenciales para poblaciones vulnerables en procesos de selección. No incorporarlo es vulneración de derecho fundamental de igualdad y riesgo de nulidad del proceso por inobservancia de normativa imperativa.</w:t>
      </w:r>
    </w:p>
    <w:p>
      <w:pPr>
        <w:pStyle w:val="BodyText"/>
      </w:pPr>
      <w:r>
        <w:rPr>
          <w:bCs/>
          <w:b/>
        </w:rPr>
        <w:t xml:space="preserve">Recomendación:</w:t>
      </w:r>
      <w:r>
        <w:br/>
      </w:r>
      <w:r>
        <w:t xml:space="preserve">Actualizar inmediatamente el umbral PYMES y criterios de inclusión conforme Decreto 0287/2026. Esto también puede ampliar la competencia al incluir pequeños proveedores locales.</w:t>
      </w:r>
    </w:p>
    <w:p>
      <w:r>
        <w:pict>
          <v:rect style="width:0;height:1.5pt" o:hralign="center" o:hrstd="t" o:hr="t"/>
        </w:pict>
      </w:r>
    </w:p>
    <w:bookmarkEnd w:id="42"/>
    <w:bookmarkStart w:id="43" w:name="Xd5f35c09357b7d895f848313bbf055676fecf6b"/>
    <w:p>
      <w:pPr>
        <w:pStyle w:val="Heading3"/>
      </w:pPr>
      <w:r>
        <w:t xml:space="preserve">Análisis Inquietud 7: Tecnología de los buses — Inconsistencia</w:t>
      </w:r>
    </w:p>
    <w:p>
      <w:pPr>
        <w:pStyle w:val="FirstParagraph"/>
      </w:pPr>
      <w:r>
        <w:rPr>
          <w:bCs/>
          <w:b/>
        </w:rPr>
        <w:t xml:space="preserve">Evaluación INNOVADATACO: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Fuente documental</w:t>
            </w:r>
          </w:p>
        </w:tc>
        <w:tc>
          <w:tcPr/>
          <w:p>
            <w:pPr>
              <w:pStyle w:val="Compact"/>
              <w:jc w:val="left"/>
            </w:pPr>
            <w:r>
              <w:t xml:space="preserve">Tecnología declarada</w:t>
            </w:r>
          </w:p>
        </w:tc>
        <w:tc>
          <w:tcPr/>
          <w:p>
            <w:pPr>
              <w:pStyle w:val="Compact"/>
              <w:jc w:val="left"/>
            </w:pPr>
            <w:r>
              <w:t xml:space="preserve">Conflicto</w:t>
            </w:r>
          </w:p>
        </w:tc>
      </w:tr>
      <w:tr>
        <w:tc>
          <w:tcPr/>
          <w:p>
            <w:pPr>
              <w:pStyle w:val="Compact"/>
              <w:jc w:val="left"/>
            </w:pPr>
            <w:r>
              <w:t xml:space="preserve">Estudios previos</w:t>
            </w:r>
          </w:p>
        </w:tc>
        <w:tc>
          <w:tcPr/>
          <w:p>
            <w:pPr>
              <w:pStyle w:val="Compact"/>
              <w:jc w:val="left"/>
            </w:pPr>
            <w:r>
              <w:t xml:space="preserve">Diesel Euro VI</w:t>
            </w:r>
          </w:p>
        </w:tc>
        <w:tc>
          <w:tcPr/>
          <w:p>
            <w:pPr>
              <w:pStyle w:val="Compact"/>
              <w:jc w:val="left"/>
            </w:pPr>
            <w:r>
              <w:t xml:space="preserve">vs. Gas, Eléctrico, GNV</w:t>
            </w:r>
          </w:p>
        </w:tc>
      </w:tr>
      <w:tr>
        <w:tc>
          <w:tcPr/>
          <w:p>
            <w:pPr>
              <w:pStyle w:val="Compact"/>
              <w:jc w:val="left"/>
            </w:pPr>
            <w:r>
              <w:t xml:space="preserve">Anexos proceso</w:t>
            </w:r>
          </w:p>
        </w:tc>
        <w:tc>
          <w:tcPr/>
          <w:p>
            <w:pPr>
              <w:pStyle w:val="Compact"/>
              <w:jc w:val="left"/>
            </w:pPr>
            <w:r>
              <w:t xml:space="preserve">Gas</w:t>
            </w:r>
          </w:p>
        </w:tc>
        <w:tc>
          <w:tcPr/>
          <w:p>
            <w:pPr>
              <w:pStyle w:val="Compact"/>
              <w:jc w:val="left"/>
            </w:pPr>
            <w:r>
              <w:t xml:space="preserve">vs. Diesel, Eléctrico</w:t>
            </w:r>
          </w:p>
        </w:tc>
      </w:tr>
      <w:tr>
        <w:tc>
          <w:tcPr/>
          <w:p>
            <w:pPr>
              <w:pStyle w:val="Compact"/>
              <w:jc w:val="left"/>
            </w:pPr>
            <w:r>
              <w:t xml:space="preserve">Carta elegibilidad</w:t>
            </w:r>
          </w:p>
        </w:tc>
        <w:tc>
          <w:tcPr/>
          <w:p>
            <w:pPr>
              <w:pStyle w:val="Compact"/>
              <w:jc w:val="left"/>
            </w:pPr>
            <w:r>
              <w:t xml:space="preserve">Eléctrico (PNETP)</w:t>
            </w:r>
          </w:p>
        </w:tc>
        <w:tc>
          <w:tcPr/>
          <w:p>
            <w:pPr>
              <w:pStyle w:val="Compact"/>
              <w:jc w:val="left"/>
            </w:pPr>
            <w:r>
              <w:t xml:space="preserve">vs. Diesel, Gas, GNV</w:t>
            </w:r>
          </w:p>
        </w:tc>
      </w:tr>
      <w:tr>
        <w:tc>
          <w:tcPr/>
          <w:p>
            <w:pPr>
              <w:pStyle w:val="Compact"/>
              <w:jc w:val="left"/>
            </w:pPr>
            <w:r>
              <w:t xml:space="preserve">Gerente MetroSabanas</w:t>
            </w:r>
          </w:p>
        </w:tc>
        <w:tc>
          <w:tcPr/>
          <w:p>
            <w:pPr>
              <w:pStyle w:val="Compact"/>
              <w:jc w:val="left"/>
            </w:pPr>
            <w:r>
              <w:t xml:space="preserve">GNV Euro VI</w:t>
            </w:r>
          </w:p>
        </w:tc>
        <w:tc>
          <w:tcPr/>
          <w:p>
            <w:pPr>
              <w:pStyle w:val="Compact"/>
              <w:jc w:val="left"/>
            </w:pPr>
            <w:r>
              <w:t xml:space="preserve">vs. Diesel, Eléctrico</w:t>
            </w:r>
          </w:p>
        </w:tc>
      </w:tr>
    </w:tbl>
    <w:p>
      <w:pPr>
        <w:pStyle w:val="BodyText"/>
      </w:pPr>
      <w:r>
        <w:rPr>
          <w:bCs/>
          <w:b/>
        </w:rPr>
        <w:t xml:space="preserve">Análisis:</w:t>
      </w:r>
      <w:r>
        <w:br/>
      </w:r>
      <w:r>
        <w:t xml:space="preserve">Cuatro fuentes oficiales del mismo proceso declaran cuatro tecnologías diferentes. Esto demuestra que</w:t>
      </w:r>
      <w:r>
        <w:t xml:space="preserve"> </w:t>
      </w:r>
      <w:r>
        <w:rPr>
          <w:bCs/>
          <w:b/>
        </w:rPr>
        <w:t xml:space="preserve">no hay decisión interna</w:t>
      </w:r>
      <w:r>
        <w:t xml:space="preserve"> </w:t>
      </w:r>
      <w:r>
        <w:t xml:space="preserve">sobre la tecnología de la flota. Cada área de Metro Sabanas (técnica, financiera, gerencia, elegibilidad) está diciendo algo diferente. Esto es inviable para un proceso de licitación: los oferentes no saben qué cotizar.</w:t>
      </w:r>
    </w:p>
    <w:p>
      <w:pPr>
        <w:pStyle w:val="BodyText"/>
      </w:pPr>
      <w:r>
        <w:rPr>
          <w:bCs/>
          <w:b/>
        </w:rPr>
        <w:t xml:space="preserve">Recomendación:</w:t>
      </w:r>
      <w:r>
        <w:br/>
      </w:r>
      <w:r>
        <w:t xml:space="preserve">Realizar estudio de Total Cost of Ownership (TCO) comparando: Diesel Euro VI, GNV Euro VI, Eléctrico. Variables: precio vehículo, infraestructura combustible/carga, mantenimiento, vida útil, disponibilidad repuestos Sincelejo, cumplimiento PNETP. Documentar decisión en acta interna antes de publicar pliego.</w:t>
      </w:r>
    </w:p>
    <w:p>
      <w:r>
        <w:pict>
          <v:rect style="width:0;height:1.5pt" o:hralign="center" o:hrstd="t" o:hr="t"/>
        </w:pict>
      </w:r>
    </w:p>
    <w:bookmarkEnd w:id="43"/>
    <w:bookmarkStart w:id="44" w:name="Xc7a18fb41eb1361fb8d52813005a4880f945523"/>
    <w:p>
      <w:pPr>
        <w:pStyle w:val="Heading3"/>
      </w:pPr>
      <w:r>
        <w:t xml:space="preserve">Análisis Inquietud 8: Análisis de demanda — Insuficiencia de procesos comparados</w:t>
      </w:r>
    </w:p>
    <w:p>
      <w:pPr>
        <w:pStyle w:val="FirstParagraph"/>
      </w:pPr>
      <w:r>
        <w:rPr>
          <w:bCs/>
          <w:b/>
        </w:rPr>
        <w:t xml:space="preserve">Evaluación INNOVADATACO: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Aspecto</w:t>
            </w:r>
          </w:p>
        </w:tc>
        <w:tc>
          <w:tcPr/>
          <w:p>
            <w:pPr>
              <w:pStyle w:val="Compact"/>
              <w:jc w:val="left"/>
            </w:pPr>
            <w:r>
              <w:t xml:space="preserve">Estado actual</w:t>
            </w:r>
          </w:p>
        </w:tc>
        <w:tc>
          <w:tcPr/>
          <w:p>
            <w:pPr>
              <w:pStyle w:val="Compact"/>
              <w:jc w:val="left"/>
            </w:pPr>
            <w:r>
              <w:t xml:space="preserve">Recomendado</w:t>
            </w:r>
          </w:p>
        </w:tc>
      </w:tr>
      <w:tr>
        <w:tc>
          <w:tcPr/>
          <w:p>
            <w:pPr>
              <w:pStyle w:val="Compact"/>
              <w:jc w:val="left"/>
            </w:pPr>
            <w:r>
              <w:t xml:space="preserve">Licitaciones de referencia</w:t>
            </w:r>
          </w:p>
        </w:tc>
        <w:tc>
          <w:tcPr/>
          <w:p>
            <w:pPr>
              <w:pStyle w:val="Compact"/>
              <w:jc w:val="left"/>
            </w:pPr>
            <w:r>
              <w:t xml:space="preserve">2</w:t>
            </w:r>
          </w:p>
        </w:tc>
        <w:tc>
          <w:tcPr/>
          <w:p>
            <w:pPr>
              <w:pStyle w:val="Compact"/>
              <w:jc w:val="left"/>
            </w:pPr>
            <w:r>
              <w:t xml:space="preserve">Mínimo 5-7</w:t>
            </w:r>
          </w:p>
        </w:tc>
      </w:tr>
      <w:tr>
        <w:tc>
          <w:tcPr/>
          <w:p>
            <w:pPr>
              <w:pStyle w:val="Compact"/>
              <w:jc w:val="left"/>
            </w:pPr>
            <w:r>
              <w:t xml:space="preserve">Temporalidad datos</w:t>
            </w:r>
          </w:p>
        </w:tc>
        <w:tc>
          <w:tcPr/>
          <w:p>
            <w:pPr>
              <w:pStyle w:val="Compact"/>
              <w:jc w:val="left"/>
            </w:pPr>
            <w:r>
              <w:t xml:space="preserve">2022-2024 mezclados</w:t>
            </w:r>
          </w:p>
        </w:tc>
        <w:tc>
          <w:tcPr/>
          <w:p>
            <w:pPr>
              <w:pStyle w:val="Compact"/>
              <w:jc w:val="left"/>
            </w:pPr>
            <w:r>
              <w:t xml:space="preserve">Unificados a 2025-2026</w:t>
            </w:r>
          </w:p>
        </w:tc>
      </w:tr>
      <w:tr>
        <w:tc>
          <w:tcPr/>
          <w:p>
            <w:pPr>
              <w:pStyle w:val="Compact"/>
              <w:jc w:val="left"/>
            </w:pPr>
            <w:r>
              <w:t xml:space="preserve">Presupuesto desagregado</w:t>
            </w:r>
          </w:p>
        </w:tc>
        <w:tc>
          <w:tcPr/>
          <w:p>
            <w:pPr>
              <w:pStyle w:val="Compact"/>
              <w:jc w:val="left"/>
            </w:pPr>
            <w:r>
              <w:t xml:space="preserve">No existe</w:t>
            </w:r>
          </w:p>
        </w:tc>
        <w:tc>
          <w:tcPr/>
          <w:p>
            <w:pPr>
              <w:pStyle w:val="Compact"/>
              <w:jc w:val="left"/>
            </w:pPr>
            <w:r>
              <w:t xml:space="preserve">Sí, por bus y componente</w:t>
            </w:r>
          </w:p>
        </w:tc>
      </w:tr>
      <w:tr>
        <w:tc>
          <w:tcPr/>
          <w:p>
            <w:pPr>
              <w:pStyle w:val="Compact"/>
              <w:jc w:val="left"/>
            </w:pPr>
            <w:r>
              <w:t xml:space="preserve">Comparación interciudades</w:t>
            </w:r>
          </w:p>
        </w:tc>
        <w:tc>
          <w:tcPr/>
          <w:p>
            <w:pPr>
              <w:pStyle w:val="Compact"/>
              <w:jc w:val="left"/>
            </w:pPr>
            <w:r>
              <w:t xml:space="preserve">No realizada</w:t>
            </w:r>
          </w:p>
        </w:tc>
        <w:tc>
          <w:tcPr/>
          <w:p>
            <w:pPr>
              <w:pStyle w:val="Compact"/>
              <w:jc w:val="left"/>
            </w:pPr>
            <w:r>
              <w:t xml:space="preserve">Sí, Sincelejo vs. otras</w:t>
            </w:r>
          </w:p>
        </w:tc>
      </w:tr>
    </w:tbl>
    <w:p>
      <w:pPr>
        <w:pStyle w:val="BodyText"/>
      </w:pPr>
      <w:r>
        <w:rPr>
          <w:bCs/>
          <w:b/>
        </w:rPr>
        <w:t xml:space="preserve">Análisis:</w:t>
      </w:r>
      <w:r>
        <w:br/>
      </w:r>
      <w:r>
        <w:t xml:space="preserve">Con solo 2 licitaciones de referencia y datos desactualizados, no hay base objetiva para fijar el presupuesto oficial de $13.692 millones. Esto expone al proceso a impugnaciones por arbitrariedad en el precio de referencia (art. 209 Ley 80/1993).</w:t>
      </w:r>
    </w:p>
    <w:p>
      <w:pPr>
        <w:pStyle w:val="BodyText"/>
      </w:pPr>
      <w:r>
        <w:rPr>
          <w:bCs/>
          <w:b/>
        </w:rPr>
        <w:t xml:space="preserve">Recomendación:</w:t>
      </w:r>
      <w:r>
        <w:br/>
      </w:r>
      <w:r>
        <w:t xml:space="preserve">Ampliar a mínimo 5-7 licitaciones de referencia de entes gestores nacionales (TransMilenio, TransPereira, TransCali, TransBarranquilla, SETP Cartagena). Actualizar datos a 2025-2026. Desagregar presupuesto por: vehículo, ITS embarcado, ITS centro de control, instalación, capacitación, soporte 3 años.</w:t>
      </w:r>
    </w:p>
    <w:p>
      <w:r>
        <w:pict>
          <v:rect style="width:0;height:1.5pt" o:hralign="center" o:hrstd="t" o:hr="t"/>
        </w:pict>
      </w:r>
    </w:p>
    <w:bookmarkEnd w:id="44"/>
    <w:bookmarkStart w:id="45" w:name="Xc8215cc8dc2d9214bf956b5256970c9a759a95d"/>
    <w:p>
      <w:pPr>
        <w:pStyle w:val="Heading3"/>
      </w:pPr>
      <w:r>
        <w:t xml:space="preserve">Análisis Inquietud 9: Arquitectura de recaudo — CBT + ABT simultáneos</w:t>
      </w:r>
    </w:p>
    <w:p>
      <w:pPr>
        <w:pStyle w:val="FirstParagraph"/>
      </w:pPr>
      <w:r>
        <w:rPr>
          <w:bCs/>
          <w:b/>
        </w:rPr>
        <w:t xml:space="preserve">Evaluación INNOVADATACO: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Arquitectura</w:t>
            </w:r>
          </w:p>
        </w:tc>
        <w:tc>
          <w:tcPr/>
          <w:p>
            <w:pPr>
              <w:pStyle w:val="Compact"/>
              <w:jc w:val="left"/>
            </w:pPr>
            <w:r>
              <w:t xml:space="preserve">Complejidad</w:t>
            </w:r>
          </w:p>
        </w:tc>
        <w:tc>
          <w:tcPr/>
          <w:p>
            <w:pPr>
              <w:pStyle w:val="Compact"/>
              <w:jc w:val="left"/>
            </w:pPr>
            <w:r>
              <w:t xml:space="preserve">Costo</w:t>
            </w:r>
          </w:p>
        </w:tc>
        <w:tc>
          <w:tcPr/>
          <w:p>
            <w:pPr>
              <w:pStyle w:val="Compact"/>
              <w:jc w:val="left"/>
            </w:pPr>
            <w:r>
              <w:t xml:space="preserve">Requiere</w:t>
            </w:r>
          </w:p>
        </w:tc>
        <w:tc>
          <w:tcPr/>
          <w:p>
            <w:pPr>
              <w:pStyle w:val="Compact"/>
              <w:jc w:val="left"/>
            </w:pPr>
            <w:r>
              <w:t xml:space="preserve">Apto para arranque</w:t>
            </w:r>
          </w:p>
        </w:tc>
      </w:tr>
      <w:tr>
        <w:tc>
          <w:tcPr/>
          <w:p>
            <w:pPr>
              <w:pStyle w:val="Compact"/>
              <w:jc w:val="left"/>
            </w:pPr>
            <w:r>
              <w:t xml:space="preserve">CBT (Mifare Plus SL3)</w:t>
            </w:r>
          </w:p>
        </w:tc>
        <w:tc>
          <w:tcPr/>
          <w:p>
            <w:pPr>
              <w:pStyle w:val="Compact"/>
              <w:jc w:val="left"/>
            </w:pPr>
            <w:r>
              <w:t xml:space="preserve">Media</w:t>
            </w:r>
          </w:p>
        </w:tc>
        <w:tc>
          <w:tcPr/>
          <w:p>
            <w:pPr>
              <w:pStyle w:val="Compact"/>
              <w:jc w:val="left"/>
            </w:pPr>
            <w:r>
              <w:t xml:space="preserve">Medio</w:t>
            </w:r>
          </w:p>
        </w:tc>
        <w:tc>
          <w:tcPr/>
          <w:p>
            <w:pPr>
              <w:pStyle w:val="Compact"/>
              <w:jc w:val="left"/>
            </w:pPr>
            <w:r>
              <w:t xml:space="preserve">Tarjetas, validadores</w:t>
            </w:r>
          </w:p>
        </w:tc>
        <w:tc>
          <w:tcPr/>
          <w:p>
            <w:pPr>
              <w:pStyle w:val="Compact"/>
              <w:jc w:val="left"/>
            </w:pPr>
            <w:r>
              <w:t xml:space="preserve">✅ Sí</w:t>
            </w:r>
          </w:p>
        </w:tc>
      </w:tr>
      <w:tr>
        <w:tc>
          <w:tcPr/>
          <w:p>
            <w:pPr>
              <w:pStyle w:val="Compact"/>
              <w:jc w:val="left"/>
            </w:pPr>
            <w:r>
              <w:t xml:space="preserve">ABT (HSM en nube)</w:t>
            </w:r>
          </w:p>
        </w:tc>
        <w:tc>
          <w:tcPr/>
          <w:p>
            <w:pPr>
              <w:pStyle w:val="Compact"/>
              <w:jc w:val="left"/>
            </w:pPr>
            <w:r>
              <w:t xml:space="preserve">Alta</w:t>
            </w:r>
          </w:p>
        </w:tc>
        <w:tc>
          <w:tcPr/>
          <w:p>
            <w:pPr>
              <w:pStyle w:val="Compact"/>
              <w:jc w:val="left"/>
            </w:pPr>
            <w:r>
              <w:t xml:space="preserve">Alto</w:t>
            </w:r>
          </w:p>
        </w:tc>
        <w:tc>
          <w:tcPr/>
          <w:p>
            <w:pPr>
              <w:pStyle w:val="Compact"/>
              <w:jc w:val="left"/>
            </w:pPr>
            <w:r>
              <w:t xml:space="preserve">Internet, banco, HSM, nube</w:t>
            </w:r>
          </w:p>
        </w:tc>
        <w:tc>
          <w:tcPr/>
          <w:p>
            <w:pPr>
              <w:pStyle w:val="Compact"/>
              <w:jc w:val="left"/>
            </w:pPr>
            <w:r>
              <w:t xml:space="preserve">❌ No</w:t>
            </w:r>
          </w:p>
        </w:tc>
      </w:tr>
      <w:tr>
        <w:tc>
          <w:tcPr/>
          <w:p>
            <w:pPr>
              <w:pStyle w:val="Compact"/>
              <w:jc w:val="left"/>
            </w:pPr>
            <w:r>
              <w:t xml:space="preserve">CBT + ABT simultáneos</w:t>
            </w:r>
          </w:p>
        </w:tc>
        <w:tc>
          <w:tcPr/>
          <w:p>
            <w:pPr>
              <w:pStyle w:val="Compact"/>
              <w:jc w:val="left"/>
            </w:pPr>
            <w:r>
              <w:t xml:space="preserve">Muy alta</w:t>
            </w:r>
          </w:p>
        </w:tc>
        <w:tc>
          <w:tcPr/>
          <w:p>
            <w:pPr>
              <w:pStyle w:val="Compact"/>
              <w:jc w:val="left"/>
            </w:pPr>
            <w:r>
              <w:t xml:space="preserve">Muy alto</w:t>
            </w:r>
          </w:p>
        </w:tc>
        <w:tc>
          <w:tcPr/>
          <w:p>
            <w:pPr>
              <w:pStyle w:val="Compact"/>
              <w:jc w:val="left"/>
            </w:pPr>
            <w:r>
              <w:t xml:space="preserve">Todo lo anterior + integración</w:t>
            </w:r>
          </w:p>
        </w:tc>
        <w:tc>
          <w:tcPr/>
          <w:p>
            <w:pPr>
              <w:pStyle w:val="Compact"/>
              <w:jc w:val="left"/>
            </w:pPr>
            <w:r>
              <w:t xml:space="preserve">❌ Absolutamente no</w:t>
            </w:r>
          </w:p>
        </w:tc>
      </w:tr>
    </w:tbl>
    <w:p>
      <w:pPr>
        <w:pStyle w:val="BodyText"/>
      </w:pPr>
      <w:r>
        <w:rPr>
          <w:bCs/>
          <w:b/>
        </w:rPr>
        <w:t xml:space="preserve">Análisis:</w:t>
      </w:r>
      <w:r>
        <w:br/>
      </w:r>
      <w:r>
        <w:t xml:space="preserve">CBT (tarjeta con saldo almacenado) funciona offline: el pasajero carga saldo en un punto de recarga, el validador en el bus descuenta el saldo del chip. No requiere internet constante.</w:t>
      </w:r>
      <w:r>
        <w:br/>
      </w:r>
      <w:r>
        <w:t xml:space="preserve">ABT (cuenta en nube) requiere conexión en tiempo real para validar saldo en servidor remoto. Si no hay internet, no funciona.</w:t>
      </w:r>
      <w:r>
        <w:br/>
      </w:r>
      <w:r>
        <w:t xml:space="preserve">Sincelejo tiene cobertura celular variable, no tiene operador de recaudo, no tiene puntos de recarga, y los usuarios no están acostumbrados al pago electrónico. Exigir ambas desde el arranque es técnicamente riesgoso y económicamente desperdiciado.</w:t>
      </w:r>
    </w:p>
    <w:p>
      <w:pPr>
        <w:pStyle w:val="BodyText"/>
      </w:pPr>
      <w:r>
        <w:rPr>
          <w:bCs/>
          <w:b/>
        </w:rPr>
        <w:t xml:space="preserve">Recomendación:</w:t>
      </w:r>
      <w:r>
        <w:br/>
      </w:r>
      <w:r>
        <w:t xml:space="preserve">Fase 1 (arranque): CBT con Mifare Plus SL3. Sistema robusto, funciona offline, punto de recarga en estación central.</w:t>
      </w:r>
      <w:r>
        <w:br/>
      </w:r>
      <w:r>
        <w:t xml:space="preserve">Fase 2 (año 2-3): Evaluación de ABT si demanda lo justifica y hay operador de recaudo con banco.</w:t>
      </w:r>
    </w:p>
    <w:p>
      <w:r>
        <w:pict>
          <v:rect style="width:0;height:1.5pt" o:hralign="center" o:hrstd="t" o:hr="t"/>
        </w:pict>
      </w:r>
    </w:p>
    <w:bookmarkEnd w:id="45"/>
    <w:bookmarkStart w:id="46" w:name="X96f25a5884cf5e7e62cdb1ae741a542813ab9fc"/>
    <w:p>
      <w:pPr>
        <w:pStyle w:val="Heading3"/>
      </w:pPr>
      <w:r>
        <w:t xml:space="preserve">Análisis Inquietud 10: EMV Nivel 2 — Certificación sin acuerdo bancario</w:t>
      </w:r>
    </w:p>
    <w:p>
      <w:pPr>
        <w:pStyle w:val="FirstParagraph"/>
      </w:pPr>
      <w:r>
        <w:rPr>
          <w:bCs/>
          <w:b/>
        </w:rPr>
        <w:t xml:space="preserve">Evaluación INNOVADATACO: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Aspecto</w:t>
            </w:r>
          </w:p>
        </w:tc>
        <w:tc>
          <w:tcPr/>
          <w:p>
            <w:pPr>
              <w:pStyle w:val="Compact"/>
              <w:jc w:val="left"/>
            </w:pPr>
            <w:r>
              <w:t xml:space="preserve">Estado</w:t>
            </w:r>
          </w:p>
        </w:tc>
        <w:tc>
          <w:tcPr/>
          <w:p>
            <w:pPr>
              <w:pStyle w:val="Compact"/>
              <w:jc w:val="left"/>
            </w:pPr>
            <w:r>
              <w:t xml:space="preserve">Costo</w:t>
            </w:r>
          </w:p>
        </w:tc>
        <w:tc>
          <w:tcPr/>
          <w:p>
            <w:pPr>
              <w:pStyle w:val="Compact"/>
              <w:jc w:val="left"/>
            </w:pPr>
            <w:r>
              <w:t xml:space="preserve">Beneficio inmediato</w:t>
            </w:r>
          </w:p>
        </w:tc>
      </w:tr>
      <w:tr>
        <w:tc>
          <w:tcPr/>
          <w:p>
            <w:pPr>
              <w:pStyle w:val="Compact"/>
              <w:jc w:val="left"/>
            </w:pPr>
            <w:r>
              <w:t xml:space="preserve">EMV Nivel 1</w:t>
            </w:r>
          </w:p>
        </w:tc>
        <w:tc>
          <w:tcPr/>
          <w:p>
            <w:pPr>
              <w:pStyle w:val="Compact"/>
              <w:jc w:val="left"/>
            </w:pPr>
            <w:r>
              <w:t xml:space="preserve">Exigido</w:t>
            </w:r>
          </w:p>
        </w:tc>
        <w:tc>
          <w:tcPr/>
          <w:p>
            <w:pPr>
              <w:pStyle w:val="Compact"/>
              <w:jc w:val="left"/>
            </w:pPr>
            <w:r>
              <w:t xml:space="preserve">Medio</w:t>
            </w:r>
          </w:p>
        </w:tc>
        <w:tc>
          <w:tcPr/>
          <w:p>
            <w:pPr>
              <w:pStyle w:val="Compact"/>
              <w:jc w:val="left"/>
            </w:pPr>
            <w:r>
              <w:t xml:space="preserve">Base para futura activación</w:t>
            </w:r>
          </w:p>
        </w:tc>
      </w:tr>
      <w:tr>
        <w:tc>
          <w:tcPr/>
          <w:p>
            <w:pPr>
              <w:pStyle w:val="Compact"/>
              <w:jc w:val="left"/>
            </w:pPr>
            <w:r>
              <w:t xml:space="preserve">EMV Nivel 2</w:t>
            </w:r>
          </w:p>
        </w:tc>
        <w:tc>
          <w:tcPr/>
          <w:p>
            <w:pPr>
              <w:pStyle w:val="Compact"/>
              <w:jc w:val="left"/>
            </w:pPr>
            <w:r>
              <w:t xml:space="preserve">Exigido</w:t>
            </w:r>
          </w:p>
        </w:tc>
        <w:tc>
          <w:tcPr/>
          <w:p>
            <w:pPr>
              <w:pStyle w:val="Compact"/>
              <w:jc w:val="left"/>
            </w:pPr>
            <w:r>
              <w:t xml:space="preserve">Alto ($15M-$30M por modelo)</w:t>
            </w:r>
          </w:p>
        </w:tc>
        <w:tc>
          <w:tcPr/>
          <w:p>
            <w:pPr>
              <w:pStyle w:val="Compact"/>
              <w:jc w:val="left"/>
            </w:pPr>
            <w:r>
              <w:t xml:space="preserve">Cero (sin acuerdo bancario)</w:t>
            </w:r>
          </w:p>
        </w:tc>
      </w:tr>
      <w:tr>
        <w:tc>
          <w:tcPr/>
          <w:p>
            <w:pPr>
              <w:pStyle w:val="Compact"/>
              <w:jc w:val="left"/>
            </w:pPr>
            <w:r>
              <w:t xml:space="preserve">Acuerdo bancario</w:t>
            </w:r>
          </w:p>
        </w:tc>
        <w:tc>
          <w:tcPr/>
          <w:p>
            <w:pPr>
              <w:pStyle w:val="Compact"/>
              <w:jc w:val="left"/>
            </w:pPr>
            <w:r>
              <w:t xml:space="preserve">NO iniciado</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Dominio pago en Sincelejo</w:t>
            </w:r>
          </w:p>
        </w:tc>
        <w:tc>
          <w:tcPr/>
          <w:p>
            <w:pPr>
              <w:pStyle w:val="Compact"/>
              <w:jc w:val="left"/>
            </w:pPr>
            <w:r>
              <w:t xml:space="preserve">Efectivo informal</w:t>
            </w:r>
          </w:p>
        </w:tc>
        <w:tc>
          <w:tcPr/>
          <w:p>
            <w:pPr>
              <w:pStyle w:val="Compact"/>
              <w:jc w:val="left"/>
            </w:pPr>
            <w:r>
              <w:t xml:space="preserve">—</w:t>
            </w:r>
          </w:p>
        </w:tc>
        <w:tc>
          <w:tcPr/>
          <w:p>
            <w:pPr>
              <w:pStyle w:val="Compact"/>
              <w:jc w:val="left"/>
            </w:pPr>
            <w:r>
              <w:t xml:space="preserve">—</w:t>
            </w:r>
          </w:p>
        </w:tc>
      </w:tr>
    </w:tbl>
    <w:p>
      <w:pPr>
        <w:pStyle w:val="BodyText"/>
      </w:pPr>
      <w:r>
        <w:rPr>
          <w:bCs/>
          <w:b/>
        </w:rPr>
        <w:t xml:space="preserve">Análisis:</w:t>
      </w:r>
      <w:r>
        <w:br/>
      </w:r>
      <w:r>
        <w:t xml:space="preserve">EMV Nivel 2 certifica que el validador puede procesar pagos con tarjetas bancarias de crédito y débito. El costo de certificación por laboratorio acreditado (VISA/Mastercard) por modelo de validador es significativo ($15M-$30M COP). Sin un acuerdo comercial con un banco adquiriente o franquicia, esta funcionalidad no se puede activar. Sincelejo no tiene cultura de pago electrónico en transporte público. Es invertir en una capacidad que no se usará.</w:t>
      </w:r>
    </w:p>
    <w:p>
      <w:pPr>
        <w:pStyle w:val="BodyText"/>
      </w:pPr>
      <w:r>
        <w:rPr>
          <w:bCs/>
          <w:b/>
        </w:rPr>
        <w:t xml:space="preserve">Recomendación:</w:t>
      </w:r>
      <w:r>
        <w:br/>
      </w:r>
      <w:r>
        <w:t xml:space="preserve">Exigir EMV Nivel 1 como base (preparación para futura activación). Dejar EMV Nivel 2 como requisito deseable / fase 2, condicionado a acuerdo bancario firmado. Esto reduce costo de hardware y amplía universo de proveedores.</w:t>
      </w:r>
    </w:p>
    <w:p>
      <w:r>
        <w:pict>
          <v:rect style="width:0;height:1.5pt" o:hralign="center" o:hrstd="t" o:hr="t"/>
        </w:pict>
      </w:r>
    </w:p>
    <w:bookmarkEnd w:id="46"/>
    <w:bookmarkStart w:id="47" w:name="Xbead80faeb51b9b7c69b647e199e7915ad15b53"/>
    <w:p>
      <w:pPr>
        <w:pStyle w:val="Heading3"/>
      </w:pPr>
      <w:r>
        <w:t xml:space="preserve">Análisis Inquietud 11: Servidor HSM — 300ms irreal</w:t>
      </w:r>
    </w:p>
    <w:p>
      <w:pPr>
        <w:pStyle w:val="FirstParagraph"/>
      </w:pPr>
      <w:r>
        <w:rPr>
          <w:bCs/>
          <w:b/>
        </w:rPr>
        <w:t xml:space="preserve">Evaluación INNOVADATACO: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Métrica</w:t>
            </w:r>
          </w:p>
        </w:tc>
        <w:tc>
          <w:tcPr/>
          <w:p>
            <w:pPr>
              <w:pStyle w:val="Compact"/>
              <w:jc w:val="left"/>
            </w:pPr>
            <w:r>
              <w:t xml:space="preserve">Requerimiento anexo</w:t>
            </w:r>
          </w:p>
        </w:tc>
        <w:tc>
          <w:tcPr/>
          <w:p>
            <w:pPr>
              <w:pStyle w:val="Compact"/>
              <w:jc w:val="left"/>
            </w:pPr>
            <w:r>
              <w:t xml:space="preserve">Realidad Sincelejo</w:t>
            </w:r>
          </w:p>
        </w:tc>
        <w:tc>
          <w:tcPr/>
          <w:p>
            <w:pPr>
              <w:pStyle w:val="Compact"/>
              <w:jc w:val="left"/>
            </w:pPr>
            <w:r>
              <w:t xml:space="preserve">Cumplible</w:t>
            </w:r>
          </w:p>
        </w:tc>
      </w:tr>
      <w:tr>
        <w:tc>
          <w:tcPr/>
          <w:p>
            <w:pPr>
              <w:pStyle w:val="Compact"/>
              <w:jc w:val="left"/>
            </w:pPr>
            <w:r>
              <w:t xml:space="preserve">Tiempo validación</w:t>
            </w:r>
          </w:p>
        </w:tc>
        <w:tc>
          <w:tcPr/>
          <w:p>
            <w:pPr>
              <w:pStyle w:val="Compact"/>
              <w:jc w:val="left"/>
            </w:pPr>
            <w:r>
              <w:t xml:space="preserve">300 milisegundos</w:t>
            </w:r>
          </w:p>
        </w:tc>
        <w:tc>
          <w:tcPr/>
          <w:p>
            <w:pPr>
              <w:pStyle w:val="Compact"/>
              <w:jc w:val="left"/>
            </w:pPr>
            <w:r>
              <w:t xml:space="preserve">Cobertura 4G variable, latencia 200-800ms</w:t>
            </w:r>
          </w:p>
        </w:tc>
        <w:tc>
          <w:tcPr/>
          <w:p>
            <w:pPr>
              <w:pStyle w:val="Compact"/>
              <w:jc w:val="left"/>
            </w:pPr>
            <w:r>
              <w:t xml:space="preserve">No consistente</w:t>
            </w:r>
          </w:p>
        </w:tc>
      </w:tr>
      <w:tr>
        <w:tc>
          <w:tcPr/>
          <w:p>
            <w:pPr>
              <w:pStyle w:val="Compact"/>
              <w:jc w:val="left"/>
            </w:pPr>
            <w:r>
              <w:t xml:space="preserve">Fallback</w:t>
            </w:r>
          </w:p>
        </w:tc>
        <w:tc>
          <w:tcPr/>
          <w:p>
            <w:pPr>
              <w:pStyle w:val="Compact"/>
              <w:jc w:val="left"/>
            </w:pPr>
            <w:r>
              <w:t xml:space="preserve">“</w:t>
            </w:r>
            <w:r>
              <w:t xml:space="preserve">Hibridar si es necesario</w:t>
            </w:r>
            <w:r>
              <w:t xml:space="preserve">”</w:t>
            </w:r>
          </w:p>
        </w:tc>
        <w:tc>
          <w:tcPr/>
          <w:p>
            <w:pPr>
              <w:pStyle w:val="Compact"/>
              <w:jc w:val="left"/>
            </w:pPr>
            <w:r>
              <w:t xml:space="preserve">Sin definición de cómo</w:t>
            </w:r>
          </w:p>
        </w:tc>
        <w:tc>
          <w:tcPr/>
          <w:p>
            <w:pPr>
              <w:pStyle w:val="Compact"/>
              <w:jc w:val="left"/>
            </w:pPr>
            <w:r>
              <w:t xml:space="preserve">Inoperable</w:t>
            </w:r>
          </w:p>
        </w:tc>
      </w:tr>
      <w:tr>
        <w:tc>
          <w:tcPr/>
          <w:p>
            <w:pPr>
              <w:pStyle w:val="Compact"/>
              <w:jc w:val="left"/>
            </w:pPr>
            <w:r>
              <w:t xml:space="preserve">Arquitectura</w:t>
            </w:r>
          </w:p>
        </w:tc>
        <w:tc>
          <w:tcPr/>
          <w:p>
            <w:pPr>
              <w:pStyle w:val="Compact"/>
              <w:jc w:val="left"/>
            </w:pPr>
            <w:r>
              <w:t xml:space="preserve">HSM en nube + ABT</w:t>
            </w:r>
          </w:p>
        </w:tc>
        <w:tc>
          <w:tcPr/>
          <w:p>
            <w:pPr>
              <w:pStyle w:val="Compact"/>
              <w:jc w:val="left"/>
            </w:pPr>
            <w:r>
              <w:t xml:space="preserve">Sistema de 17 buses</w:t>
            </w:r>
          </w:p>
        </w:tc>
        <w:tc>
          <w:tcPr/>
          <w:p>
            <w:pPr>
              <w:pStyle w:val="Compact"/>
              <w:jc w:val="left"/>
            </w:pPr>
            <w:r>
              <w:t xml:space="preserve">Sobredimensionado</w:t>
            </w:r>
          </w:p>
        </w:tc>
      </w:tr>
    </w:tbl>
    <w:p>
      <w:pPr>
        <w:pStyle w:val="BodyText"/>
      </w:pPr>
      <w:r>
        <w:rPr>
          <w:bCs/>
          <w:b/>
        </w:rPr>
        <w:t xml:space="preserve">Análisis:</w:t>
      </w:r>
      <w:r>
        <w:br/>
      </w:r>
      <w:r>
        <w:t xml:space="preserve">300 milisegundos es un SLA agresivo para validación en nube. En Bogotá o Medellín con 5G y datacenter local, es factible. En Sincelejo, con cobertura 4G LTE variable, latencia de red fluctuante, y sin datacenter local, este requerimiento no se cumplirá consistentemente. El documento reconoce la limitación pero no define el mecanismo de hibridación (qué pasa cuando falla la red, cómo valida offline, cómo sincroniza después). Esto es un riesgo contractual: el proveedor no puede garantizar 300ms, y si no se define el fallback, habrá disputas post-implementación.</w:t>
      </w:r>
    </w:p>
    <w:p>
      <w:pPr>
        <w:pStyle w:val="BodyText"/>
      </w:pPr>
      <w:r>
        <w:rPr>
          <w:bCs/>
          <w:b/>
        </w:rPr>
        <w:t xml:space="preserve">Recomendación:</w:t>
      </w:r>
      <w:r>
        <w:br/>
      </w:r>
      <w:r>
        <w:t xml:space="preserve">Ajustar SLA a 500-800ms con validación offline en validador (fallback local) + sincronización diferida cuando recupera conexión. O eliminar HSM en nube para fase 1 y usar CBT offline.</w:t>
      </w:r>
    </w:p>
    <w:p>
      <w:r>
        <w:pict>
          <v:rect style="width:0;height:1.5pt" o:hralign="center" o:hrstd="t" o:hr="t"/>
        </w:pict>
      </w:r>
    </w:p>
    <w:bookmarkEnd w:id="47"/>
    <w:bookmarkStart w:id="48" w:name="X822201e062f957f424fe10c2e4b639aa3bcf28e"/>
    <w:p>
      <w:pPr>
        <w:pStyle w:val="Heading3"/>
      </w:pPr>
      <w:r>
        <w:t xml:space="preserve">Análisis Inquietud 12: Dimensionamiento ITS — Sobredimensionado</w:t>
      </w:r>
    </w:p>
    <w:p>
      <w:pPr>
        <w:pStyle w:val="FirstParagraph"/>
      </w:pPr>
      <w:r>
        <w:rPr>
          <w:bCs/>
          <w:b/>
        </w:rPr>
        <w:t xml:space="preserve">Evaluación INNOVADATACO: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Componente</w:t>
            </w:r>
          </w:p>
        </w:tc>
        <w:tc>
          <w:tcPr/>
          <w:p>
            <w:pPr>
              <w:pStyle w:val="Compact"/>
              <w:jc w:val="left"/>
            </w:pPr>
            <w:r>
              <w:t xml:space="preserve">Dimensionado para</w:t>
            </w:r>
          </w:p>
        </w:tc>
        <w:tc>
          <w:tcPr/>
          <w:p>
            <w:pPr>
              <w:pStyle w:val="Compact"/>
              <w:jc w:val="left"/>
            </w:pPr>
            <w:r>
              <w:t xml:space="preserve">Operación real</w:t>
            </w:r>
          </w:p>
        </w:tc>
        <w:tc>
          <w:tcPr/>
          <w:p>
            <w:pPr>
              <w:pStyle w:val="Compact"/>
              <w:jc w:val="left"/>
            </w:pPr>
            <w:r>
              <w:t xml:space="preserve">Exceso</w:t>
            </w:r>
          </w:p>
        </w:tc>
      </w:tr>
      <w:tr>
        <w:tc>
          <w:tcPr/>
          <w:p>
            <w:pPr>
              <w:pStyle w:val="Compact"/>
              <w:jc w:val="left"/>
            </w:pPr>
            <w:r>
              <w:t xml:space="preserve">Validadores</w:t>
            </w:r>
          </w:p>
        </w:tc>
        <w:tc>
          <w:tcPr/>
          <w:p>
            <w:pPr>
              <w:pStyle w:val="Compact"/>
              <w:jc w:val="left"/>
            </w:pPr>
            <w:r>
              <w:t xml:space="preserve">40 unidades</w:t>
            </w:r>
          </w:p>
        </w:tc>
        <w:tc>
          <w:tcPr/>
          <w:p>
            <w:pPr>
              <w:pStyle w:val="Compact"/>
              <w:jc w:val="left"/>
            </w:pPr>
            <w:r>
              <w:t xml:space="preserve">17 buses</w:t>
            </w:r>
          </w:p>
        </w:tc>
        <w:tc>
          <w:tcPr/>
          <w:p>
            <w:pPr>
              <w:pStyle w:val="Compact"/>
              <w:jc w:val="left"/>
            </w:pPr>
            <w:r>
              <w:t xml:space="preserve">135%</w:t>
            </w:r>
          </w:p>
        </w:tc>
      </w:tr>
      <w:tr>
        <w:tc>
          <w:tcPr/>
          <w:p>
            <w:pPr>
              <w:pStyle w:val="Compact"/>
              <w:jc w:val="left"/>
            </w:pPr>
            <w:r>
              <w:t xml:space="preserve">Routers</w:t>
            </w:r>
          </w:p>
        </w:tc>
        <w:tc>
          <w:tcPr/>
          <w:p>
            <w:pPr>
              <w:pStyle w:val="Compact"/>
              <w:jc w:val="left"/>
            </w:pPr>
            <w:r>
              <w:t xml:space="preserve">40 unidades</w:t>
            </w:r>
          </w:p>
        </w:tc>
        <w:tc>
          <w:tcPr/>
          <w:p>
            <w:pPr>
              <w:pStyle w:val="Compact"/>
              <w:jc w:val="left"/>
            </w:pPr>
            <w:r>
              <w:t xml:space="preserve">17 buses</w:t>
            </w:r>
          </w:p>
        </w:tc>
        <w:tc>
          <w:tcPr/>
          <w:p>
            <w:pPr>
              <w:pStyle w:val="Compact"/>
              <w:jc w:val="left"/>
            </w:pPr>
            <w:r>
              <w:t xml:space="preserve">135%</w:t>
            </w:r>
          </w:p>
        </w:tc>
      </w:tr>
      <w:tr>
        <w:tc>
          <w:tcPr/>
          <w:p>
            <w:pPr>
              <w:pStyle w:val="Compact"/>
              <w:jc w:val="left"/>
            </w:pPr>
            <w:r>
              <w:t xml:space="preserve">Torniquetes</w:t>
            </w:r>
          </w:p>
        </w:tc>
        <w:tc>
          <w:tcPr/>
          <w:p>
            <w:pPr>
              <w:pStyle w:val="Compact"/>
              <w:jc w:val="left"/>
            </w:pPr>
            <w:r>
              <w:t xml:space="preserve">40 unidades</w:t>
            </w:r>
          </w:p>
        </w:tc>
        <w:tc>
          <w:tcPr/>
          <w:p>
            <w:pPr>
              <w:pStyle w:val="Compact"/>
              <w:jc w:val="left"/>
            </w:pPr>
            <w:r>
              <w:t xml:space="preserve">17 buses</w:t>
            </w:r>
          </w:p>
        </w:tc>
        <w:tc>
          <w:tcPr/>
          <w:p>
            <w:pPr>
              <w:pStyle w:val="Compact"/>
              <w:jc w:val="left"/>
            </w:pPr>
            <w:r>
              <w:t xml:space="preserve">135%</w:t>
            </w:r>
          </w:p>
        </w:tc>
      </w:tr>
      <w:tr>
        <w:tc>
          <w:tcPr/>
          <w:p>
            <w:pPr>
              <w:pStyle w:val="Compact"/>
              <w:jc w:val="left"/>
            </w:pPr>
            <w:r>
              <w:t xml:space="preserve">Cámaras</w:t>
            </w:r>
          </w:p>
        </w:tc>
        <w:tc>
          <w:tcPr/>
          <w:p>
            <w:pPr>
              <w:pStyle w:val="Compact"/>
              <w:jc w:val="left"/>
            </w:pPr>
            <w:r>
              <w:t xml:space="preserve">40 unidades</w:t>
            </w:r>
          </w:p>
        </w:tc>
        <w:tc>
          <w:tcPr/>
          <w:p>
            <w:pPr>
              <w:pStyle w:val="Compact"/>
              <w:jc w:val="left"/>
            </w:pPr>
            <w:r>
              <w:t xml:space="preserve">17 buses</w:t>
            </w:r>
          </w:p>
        </w:tc>
        <w:tc>
          <w:tcPr/>
          <w:p>
            <w:pPr>
              <w:pStyle w:val="Compact"/>
              <w:jc w:val="left"/>
            </w:pPr>
            <w:r>
              <w:t xml:space="preserve">135%</w:t>
            </w:r>
          </w:p>
        </w:tc>
      </w:tr>
      <w:tr>
        <w:tc>
          <w:tcPr/>
          <w:p>
            <w:pPr>
              <w:pStyle w:val="Compact"/>
              <w:jc w:val="left"/>
            </w:pPr>
            <w:r>
              <w:t xml:space="preserve">Centro de control</w:t>
            </w:r>
          </w:p>
        </w:tc>
        <w:tc>
          <w:tcPr/>
          <w:p>
            <w:pPr>
              <w:pStyle w:val="Compact"/>
              <w:jc w:val="left"/>
            </w:pPr>
            <w:r>
              <w:t xml:space="preserve">Escala grande</w:t>
            </w:r>
          </w:p>
        </w:tc>
        <w:tc>
          <w:tcPr/>
          <w:p>
            <w:pPr>
              <w:pStyle w:val="Compact"/>
              <w:jc w:val="left"/>
            </w:pPr>
            <w:r>
              <w:t xml:space="preserve">5 rutas, 17 buses</w:t>
            </w:r>
          </w:p>
        </w:tc>
        <w:tc>
          <w:tcPr/>
          <w:p>
            <w:pPr>
              <w:pStyle w:val="Compact"/>
              <w:jc w:val="left"/>
            </w:pPr>
            <w:r>
              <w:t xml:space="preserve">~300%</w:t>
            </w:r>
          </w:p>
        </w:tc>
      </w:tr>
      <w:tr>
        <w:tc>
          <w:tcPr/>
          <w:p>
            <w:pPr>
              <w:pStyle w:val="Compact"/>
              <w:jc w:val="left"/>
            </w:pPr>
            <w:r>
              <w:t xml:space="preserve">Software</w:t>
            </w:r>
          </w:p>
        </w:tc>
        <w:tc>
          <w:tcPr/>
          <w:p>
            <w:pPr>
              <w:pStyle w:val="Compact"/>
              <w:jc w:val="left"/>
            </w:pPr>
            <w:r>
              <w:t xml:space="preserve">Licencias 40+</w:t>
            </w:r>
          </w:p>
        </w:tc>
        <w:tc>
          <w:tcPr/>
          <w:p>
            <w:pPr>
              <w:pStyle w:val="Compact"/>
              <w:jc w:val="left"/>
            </w:pPr>
            <w:r>
              <w:t xml:space="preserve">17 buses</w:t>
            </w:r>
          </w:p>
        </w:tc>
        <w:tc>
          <w:tcPr/>
          <w:p>
            <w:pPr>
              <w:pStyle w:val="Compact"/>
              <w:jc w:val="left"/>
            </w:pPr>
            <w:r>
              <w:t xml:space="preserve">~135%</w:t>
            </w:r>
          </w:p>
        </w:tc>
      </w:tr>
    </w:tbl>
    <w:p>
      <w:pPr>
        <w:pStyle w:val="BodyText"/>
      </w:pPr>
      <w:r>
        <w:rPr>
          <w:bCs/>
          <w:b/>
        </w:rPr>
        <w:t xml:space="preserve">Análisis:</w:t>
      </w:r>
      <w:r>
        <w:br/>
      </w:r>
      <w:r>
        <w:t xml:space="preserve">Sobredimensionar un sistema ITS para una escala mayor a la operación real tiene efectos negativos: (1) encarece el proceso reduciendo competencia, (2) genera mantenimiento de sistemas subutilizados, (3) dificulta demostrar retorno de inversión, (4) complica la operación con complejidad innecesaria. La justificación de MetroSabanas (</w:t>
      </w:r>
      <w:r>
        <w:t xml:space="preserve">“</w:t>
      </w:r>
      <w:r>
        <w:t xml:space="preserve">incorporación progresiva del resto de vehículos</w:t>
      </w:r>
      <w:r>
        <w:t xml:space="preserve">”</w:t>
      </w:r>
      <w:r>
        <w:t xml:space="preserve">) no es válida para un proceso de selección que solo compra 17 buses: la fase 2 no está contratada ni presupuestada.</w:t>
      </w:r>
    </w:p>
    <w:p>
      <w:pPr>
        <w:pStyle w:val="BodyText"/>
      </w:pPr>
      <w:r>
        <w:rPr>
          <w:bCs/>
          <w:b/>
        </w:rPr>
        <w:t xml:space="preserve">Recomendación:</w:t>
      </w:r>
      <w:r>
        <w:br/>
      </w:r>
      <w:r>
        <w:t xml:space="preserve">Dimensionar ITS para 17 buses (fase 1) con contrato de escalabilidad que permita agregar buses posteriores sin nueva licitación. Centro de control mínimo viable: 2 operadores, 1 supervisor, hardware para 20 buses máximo con opción de upgrade.</w:t>
      </w:r>
    </w:p>
    <w:p>
      <w:r>
        <w:pict>
          <v:rect style="width:0;height:1.5pt" o:hralign="center" o:hrstd="t" o:hr="t"/>
        </w:pict>
      </w:r>
    </w:p>
    <w:bookmarkEnd w:id="48"/>
    <w:bookmarkStart w:id="49" w:name="Xa99a4ab1f27ebfc81bcef3f8a154c362385ea98"/>
    <w:p>
      <w:pPr>
        <w:pStyle w:val="Heading3"/>
      </w:pPr>
      <w:r>
        <w:t xml:space="preserve">Análisis Inquietud 13: Equipos ITS para 40 vehículos — Proceso es para 17</w:t>
      </w:r>
    </w:p>
    <w:p>
      <w:pPr>
        <w:pStyle w:val="FirstParagraph"/>
      </w:pPr>
      <w:r>
        <w:rPr>
          <w:bCs/>
          <w:b/>
        </w:rPr>
        <w:t xml:space="preserve">Evaluación INNOVADATACO:</w:t>
      </w:r>
      <w:r>
        <w:br/>
      </w:r>
      <w:r>
        <w:t xml:space="preserve">Este es el mismo problema que la Inquietud 12, pero con énfasis en la inconsistencia formal del proceso: el documento de MetroSabanas dice</w:t>
      </w:r>
      <w:r>
        <w:t xml:space="preserve"> </w:t>
      </w:r>
      <w:r>
        <w:t xml:space="preserve">“</w:t>
      </w:r>
      <w:r>
        <w:t xml:space="preserve">17 microbuses, fase inicial</w:t>
      </w:r>
      <w:r>
        <w:t xml:space="preserve">”</w:t>
      </w:r>
      <w:r>
        <w:t xml:space="preserve">, pero los anexos técnicos dicen</w:t>
      </w:r>
      <w:r>
        <w:t xml:space="preserve"> </w:t>
      </w:r>
      <w:r>
        <w:t xml:space="preserve">“</w:t>
      </w:r>
      <w:r>
        <w:t xml:space="preserve">40 vehículos</w:t>
      </w:r>
      <w:r>
        <w:t xml:space="preserve">”</w:t>
      </w:r>
      <w:r>
        <w:t xml:space="preserve">. Esto es un</w:t>
      </w:r>
      <w:r>
        <w:t xml:space="preserve"> </w:t>
      </w:r>
      <w:r>
        <w:rPr>
          <w:bCs/>
          <w:b/>
        </w:rPr>
        <w:t xml:space="preserve">error de coherencia interna</w:t>
      </w:r>
      <w:r>
        <w:t xml:space="preserve"> </w:t>
      </w:r>
      <w:r>
        <w:t xml:space="preserve">que invalida el pliego: los oferentes no saben si deben cotizar para 17 o 40. Si cotizan para 40, el precio es mayor y pueden quedar por encima del presupuesto. Si cotizan para 17, incumplen el anexo técnico.</w:t>
      </w:r>
    </w:p>
    <w:p>
      <w:pPr>
        <w:pStyle w:val="BodyText"/>
      </w:pPr>
      <w:r>
        <w:rPr>
          <w:bCs/>
          <w:b/>
        </w:rPr>
        <w:t xml:space="preserve">Recomendación:</w:t>
      </w:r>
      <w:r>
        <w:br/>
      </w:r>
      <w:r>
        <w:t xml:space="preserve">Corregir urgentemente todos los anexos técnicos para reflejar 17 buses. Si se desea prever expansión, agregar cláusula de opción de compra escalable (no obligatoria).</w:t>
      </w:r>
    </w:p>
    <w:p>
      <w:r>
        <w:pict>
          <v:rect style="width:0;height:1.5pt" o:hralign="center" o:hrstd="t" o:hr="t"/>
        </w:pict>
      </w:r>
    </w:p>
    <w:bookmarkEnd w:id="49"/>
    <w:bookmarkStart w:id="50" w:name="X06a2fb92598959ac7f82c68f43c99555ba26c50"/>
    <w:p>
      <w:pPr>
        <w:pStyle w:val="Heading3"/>
      </w:pPr>
      <w:r>
        <w:t xml:space="preserve">Análisis Inquietud 14: Valor ITS $84.635 — Idéntico en 3 oferentes</w:t>
      </w:r>
    </w:p>
    <w:p>
      <w:pPr>
        <w:pStyle w:val="FirstParagraph"/>
      </w:pPr>
      <w:r>
        <w:rPr>
          <w:bCs/>
          <w:b/>
        </w:rPr>
        <w:t xml:space="preserve">Evaluación INNOVADATACO: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Escenario</w:t>
            </w:r>
          </w:p>
        </w:tc>
        <w:tc>
          <w:tcPr/>
          <w:p>
            <w:pPr>
              <w:pStyle w:val="Compact"/>
              <w:jc w:val="left"/>
            </w:pPr>
            <w:r>
              <w:t xml:space="preserve">Probabilidad</w:t>
            </w:r>
          </w:p>
        </w:tc>
        <w:tc>
          <w:tcPr/>
          <w:p>
            <w:pPr>
              <w:pStyle w:val="Compact"/>
              <w:jc w:val="left"/>
            </w:pPr>
            <w:r>
              <w:t xml:space="preserve">Implicación</w:t>
            </w:r>
          </w:p>
        </w:tc>
        <w:tc>
          <w:tcPr/>
          <w:p>
            <w:pPr>
              <w:pStyle w:val="Compact"/>
              <w:jc w:val="left"/>
            </w:pPr>
            <w:r>
              <w:t xml:space="preserve">Acción</w:t>
            </w:r>
          </w:p>
        </w:tc>
      </w:tr>
      <w:tr>
        <w:tc>
          <w:tcPr/>
          <w:p>
            <w:pPr>
              <w:pStyle w:val="Compact"/>
              <w:jc w:val="left"/>
            </w:pPr>
            <w:r>
              <w:t xml:space="preserve">Error de transcripción</w:t>
            </w:r>
          </w:p>
        </w:tc>
        <w:tc>
          <w:tcPr/>
          <w:p>
            <w:pPr>
              <w:pStyle w:val="Compact"/>
              <w:jc w:val="left"/>
            </w:pPr>
            <w:r>
              <w:t xml:space="preserve">Media</w:t>
            </w:r>
          </w:p>
        </w:tc>
        <w:tc>
          <w:tcPr/>
          <w:p>
            <w:pPr>
              <w:pStyle w:val="Compact"/>
              <w:jc w:val="left"/>
            </w:pPr>
            <w:r>
              <w:t xml:space="preserve">Faltan ceros, o es por transacción</w:t>
            </w:r>
          </w:p>
        </w:tc>
        <w:tc>
          <w:tcPr/>
          <w:p>
            <w:pPr>
              <w:pStyle w:val="Compact"/>
              <w:jc w:val="left"/>
            </w:pPr>
            <w:r>
              <w:t xml:space="preserve">Solicitar corrección</w:t>
            </w:r>
          </w:p>
        </w:tc>
      </w:tr>
      <w:tr>
        <w:tc>
          <w:tcPr/>
          <w:p>
            <w:pPr>
              <w:pStyle w:val="Compact"/>
              <w:jc w:val="left"/>
            </w:pPr>
            <w:r>
              <w:t xml:space="preserve">Colusión entre oferentes</w:t>
            </w:r>
          </w:p>
        </w:tc>
        <w:tc>
          <w:tcPr/>
          <w:p>
            <w:pPr>
              <w:pStyle w:val="Compact"/>
              <w:jc w:val="left"/>
            </w:pPr>
            <w:r>
              <w:t xml:space="preserve">Media</w:t>
            </w:r>
          </w:p>
        </w:tc>
        <w:tc>
          <w:tcPr/>
          <w:p>
            <w:pPr>
              <w:pStyle w:val="Compact"/>
              <w:jc w:val="left"/>
            </w:pPr>
            <w:r>
              <w:t xml:space="preserve">Cartel, delito penal</w:t>
            </w:r>
          </w:p>
        </w:tc>
        <w:tc>
          <w:tcPr/>
          <w:p>
            <w:pPr>
              <w:pStyle w:val="Compact"/>
              <w:jc w:val="left"/>
            </w:pPr>
            <w:r>
              <w:t xml:space="preserve">Denuncia a la SIC</w:t>
            </w:r>
          </w:p>
        </w:tc>
      </w:tr>
      <w:tr>
        <w:tc>
          <w:tcPr/>
          <w:p>
            <w:pPr>
              <w:pStyle w:val="Compact"/>
              <w:jc w:val="left"/>
            </w:pPr>
            <w:r>
              <w:t xml:space="preserve">Valor ficticio/placeholder</w:t>
            </w:r>
          </w:p>
        </w:tc>
        <w:tc>
          <w:tcPr/>
          <w:p>
            <w:pPr>
              <w:pStyle w:val="Compact"/>
              <w:jc w:val="left"/>
            </w:pPr>
            <w:r>
              <w:t xml:space="preserve">Alta</w:t>
            </w:r>
          </w:p>
        </w:tc>
        <w:tc>
          <w:tcPr/>
          <w:p>
            <w:pPr>
              <w:pStyle w:val="Compact"/>
              <w:jc w:val="left"/>
            </w:pPr>
            <w:r>
              <w:t xml:space="preserve">Fraude en proceso</w:t>
            </w:r>
          </w:p>
        </w:tc>
        <w:tc>
          <w:tcPr/>
          <w:p>
            <w:pPr>
              <w:pStyle w:val="Compact"/>
              <w:jc w:val="left"/>
            </w:pPr>
            <w:r>
              <w:t xml:space="preserve">Impugnación, nulidad</w:t>
            </w:r>
          </w:p>
        </w:tc>
      </w:tr>
    </w:tbl>
    <w:p>
      <w:pPr>
        <w:pStyle w:val="BodyText"/>
      </w:pPr>
      <w:r>
        <w:rPr>
          <w:bCs/>
          <w:b/>
        </w:rPr>
        <w:t xml:space="preserve">Análisis:</w:t>
      </w:r>
      <w:r>
        <w:br/>
      </w:r>
      <w:r>
        <w:t xml:space="preserve">Este es el hallazgo más grave. $84.635 pesos por unidad de ITS integrado es económicamente imposible. Un validador QR solamente cuesta más que eso. Los tres oferentes con el mismo número exacto sugiere coordinación o error sistémico en el proceso. Si es error, el proceso debe repetirse. Si es colusión, es delito de concierto para delinquir en la contratación pública (art. 433 Código Penal). Si es valor ficticio, el proceso carece de base económica y es nulo.</w:t>
      </w:r>
    </w:p>
    <w:p>
      <w:pPr>
        <w:pStyle w:val="BodyText"/>
      </w:pPr>
      <w:r>
        <w:rPr>
          <w:bCs/>
          <w:b/>
        </w:rPr>
        <w:t xml:space="preserve">Recomendación:</w:t>
      </w:r>
      <w:r>
        <w:br/>
      </w:r>
      <w:r>
        <w:t xml:space="preserve">1. Solicitar a los 3 oferentes cotizaciones desglosadas por componente con precios unitarios.</w:t>
      </w:r>
      <w:r>
        <w:br/>
      </w:r>
      <w:r>
        <w:t xml:space="preserve">2. Si los precios reales son coherentes y el $84.635 era error, corregir y continuar.</w:t>
      </w:r>
      <w:r>
        <w:br/>
      </w:r>
      <w:r>
        <w:t xml:space="preserve">3. Si los precios son consistentemente ficticios, declarar desierto el proceso y rehacer estudio de mercado con asesoría técnica independiente (INNOVADATACO).</w:t>
      </w:r>
      <w:r>
        <w:br/>
      </w:r>
      <w:r>
        <w:t xml:space="preserve">4. Evaluar denuncia a Superintendencia de Industria y Comercio (SIC) si hay indicios de colusión.</w:t>
      </w:r>
    </w:p>
    <w:p>
      <w:r>
        <w:pict>
          <v:rect style="width:0;height:1.5pt" o:hralign="center" o:hrstd="t" o:hr="t"/>
        </w:pict>
      </w:r>
    </w:p>
    <w:bookmarkEnd w:id="50"/>
    <w:bookmarkEnd w:id="51"/>
    <w:bookmarkStart w:id="53" w:name="síntesis-de-impacto-y-riesgo"/>
    <w:p>
      <w:pPr>
        <w:pStyle w:val="Heading2"/>
      </w:pPr>
      <w:r>
        <w:t xml:space="preserve">3. SÍNTESIS DE IMPACTO Y RIESGO</w:t>
      </w:r>
    </w:p>
    <w:bookmarkStart w:id="52" w:name="Xf7a86ebbab0bbb0c0310cef6f9d715a812eea6b"/>
    <w:p>
      <w:pPr>
        <w:pStyle w:val="Heading3"/>
      </w:pPr>
      <w:r>
        <w:t xml:space="preserve">Matriz de riesgo de las inquietudes del Ministerio</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Inquietud</w:t>
            </w:r>
          </w:p>
        </w:tc>
        <w:tc>
          <w:tcPr/>
          <w:p>
            <w:pPr>
              <w:pStyle w:val="Compact"/>
              <w:jc w:val="left"/>
            </w:pPr>
            <w:r>
              <w:t xml:space="preserve">Riesgo legal</w:t>
            </w:r>
          </w:p>
        </w:tc>
        <w:tc>
          <w:tcPr/>
          <w:p>
            <w:pPr>
              <w:pStyle w:val="Compact"/>
              <w:jc w:val="left"/>
            </w:pPr>
            <w:r>
              <w:t xml:space="preserve">Riesgo técnico</w:t>
            </w:r>
          </w:p>
        </w:tc>
        <w:tc>
          <w:tcPr/>
          <w:p>
            <w:pPr>
              <w:pStyle w:val="Compact"/>
              <w:jc w:val="left"/>
            </w:pPr>
            <w:r>
              <w:t xml:space="preserve">Riesgo financiero</w:t>
            </w:r>
          </w:p>
        </w:tc>
        <w:tc>
          <w:tcPr/>
          <w:p>
            <w:pPr>
              <w:pStyle w:val="Compact"/>
              <w:jc w:val="left"/>
            </w:pPr>
            <w:r>
              <w:t xml:space="preserve">Riesgo operativo</w:t>
            </w:r>
          </w:p>
        </w:tc>
        <w:tc>
          <w:tcPr/>
          <w:p>
            <w:pPr>
              <w:pStyle w:val="Compact"/>
              <w:jc w:val="left"/>
            </w:pPr>
            <w:r>
              <w:t xml:space="preserve">Nivel</w:t>
            </w:r>
          </w:p>
        </w:tc>
      </w:tr>
      <w:tr>
        <w:tc>
          <w:tcPr/>
          <w:p>
            <w:pPr>
              <w:pStyle w:val="Compact"/>
              <w:jc w:val="left"/>
            </w:pPr>
            <w:r>
              <w:t xml:space="preserve">1. Estudio mercado ITS</w:t>
            </w:r>
          </w:p>
        </w:tc>
        <w:tc>
          <w:tcPr/>
          <w:p>
            <w:pPr>
              <w:pStyle w:val="Compact"/>
              <w:jc w:val="left"/>
            </w:pPr>
            <w:r>
              <w:t xml:space="preserve">Impugnación, nulidad</w:t>
            </w:r>
          </w:p>
        </w:tc>
        <w:tc>
          <w:tcPr/>
          <w:p>
            <w:pPr>
              <w:pStyle w:val="Compact"/>
              <w:jc w:val="left"/>
            </w:pPr>
            <w:r>
              <w:t xml:space="preserve">Sistema mal diseñado</w:t>
            </w:r>
          </w:p>
        </w:tc>
        <w:tc>
          <w:tcPr/>
          <w:p>
            <w:pPr>
              <w:pStyle w:val="Compact"/>
              <w:jc w:val="left"/>
            </w:pPr>
            <w:r>
              <w:t xml:space="preserve">Sobrecosto</w:t>
            </w:r>
          </w:p>
        </w:tc>
        <w:tc>
          <w:tcPr/>
          <w:p>
            <w:pPr>
              <w:pStyle w:val="Compact"/>
              <w:jc w:val="left"/>
            </w:pPr>
            <w:r>
              <w:t xml:space="preserve">Falla arranque</w:t>
            </w:r>
          </w:p>
        </w:tc>
        <w:tc>
          <w:tcPr/>
          <w:p>
            <w:pPr>
              <w:pStyle w:val="Compact"/>
              <w:jc w:val="left"/>
            </w:pPr>
            <w:r>
              <w:t xml:space="preserve">🔴 Crítico</w:t>
            </w:r>
          </w:p>
        </w:tc>
      </w:tr>
      <w:tr>
        <w:tc>
          <w:tcPr/>
          <w:p>
            <w:pPr>
              <w:pStyle w:val="Compact"/>
              <w:jc w:val="left"/>
            </w:pPr>
            <w:r>
              <w:t xml:space="preserve">2. Unificación proceso</w:t>
            </w:r>
          </w:p>
        </w:tc>
        <w:tc>
          <w:tcPr/>
          <w:p>
            <w:pPr>
              <w:pStyle w:val="Compact"/>
              <w:jc w:val="left"/>
            </w:pPr>
            <w:r>
              <w:t xml:space="preserve">Nulidad por restricción</w:t>
            </w:r>
          </w:p>
        </w:tc>
        <w:tc>
          <w:tcPr/>
          <w:p>
            <w:pPr>
              <w:pStyle w:val="Compact"/>
              <w:jc w:val="left"/>
            </w:pPr>
            <w:r>
              <w:t xml:space="preserve">Responsabilidad difusa</w:t>
            </w:r>
          </w:p>
        </w:tc>
        <w:tc>
          <w:tcPr/>
          <w:p>
            <w:pPr>
              <w:pStyle w:val="Compact"/>
              <w:jc w:val="left"/>
            </w:pPr>
            <w:r>
              <w:t xml:space="preserve">Costos ocultos</w:t>
            </w:r>
          </w:p>
        </w:tc>
        <w:tc>
          <w:tcPr/>
          <w:p>
            <w:pPr>
              <w:pStyle w:val="Compact"/>
              <w:jc w:val="left"/>
            </w:pPr>
            <w:r>
              <w:t xml:space="preserve">Conflictos post-adjudicación</w:t>
            </w:r>
          </w:p>
        </w:tc>
        <w:tc>
          <w:tcPr/>
          <w:p>
            <w:pPr>
              <w:pStyle w:val="Compact"/>
              <w:jc w:val="left"/>
            </w:pPr>
            <w:r>
              <w:t xml:space="preserve">🔴 Crítico</w:t>
            </w:r>
          </w:p>
        </w:tc>
      </w:tr>
      <w:tr>
        <w:tc>
          <w:tcPr/>
          <w:p>
            <w:pPr>
              <w:pStyle w:val="Compact"/>
              <w:jc w:val="left"/>
            </w:pPr>
            <w:r>
              <w:t xml:space="preserve">3. Indicadores financieros</w:t>
            </w:r>
          </w:p>
        </w:tc>
        <w:tc>
          <w:tcPr/>
          <w:p>
            <w:pPr>
              <w:pStyle w:val="Compact"/>
              <w:jc w:val="left"/>
            </w:pPr>
            <w:r>
              <w:t xml:space="preserve">Impugnación</w:t>
            </w:r>
          </w:p>
        </w:tc>
        <w:tc>
          <w:tcPr/>
          <w:p>
            <w:pPr>
              <w:pStyle w:val="Compact"/>
              <w:jc w:val="left"/>
            </w:pPr>
            <w:r>
              <w:t xml:space="preserve">No aplica</w:t>
            </w:r>
          </w:p>
        </w:tc>
        <w:tc>
          <w:tcPr/>
          <w:p>
            <w:pPr>
              <w:pStyle w:val="Compact"/>
              <w:jc w:val="left"/>
            </w:pPr>
            <w:r>
              <w:t xml:space="preserve">Sesgo presupuesto</w:t>
            </w:r>
          </w:p>
        </w:tc>
        <w:tc>
          <w:tcPr/>
          <w:p>
            <w:pPr>
              <w:pStyle w:val="Compact"/>
              <w:jc w:val="left"/>
            </w:pPr>
            <w:r>
              <w:t xml:space="preserve">No aplica</w:t>
            </w:r>
          </w:p>
        </w:tc>
        <w:tc>
          <w:tcPr/>
          <w:p>
            <w:pPr>
              <w:pStyle w:val="Compact"/>
              <w:jc w:val="left"/>
            </w:pPr>
            <w:r>
              <w:t xml:space="preserve">🔴 Crítico</w:t>
            </w:r>
          </w:p>
        </w:tc>
      </w:tr>
      <w:tr>
        <w:tc>
          <w:tcPr/>
          <w:p>
            <w:pPr>
              <w:pStyle w:val="Compact"/>
              <w:jc w:val="left"/>
            </w:pPr>
            <w:r>
              <w:t xml:space="preserve">4. Ponderación técnica</w:t>
            </w:r>
          </w:p>
        </w:tc>
        <w:tc>
          <w:tcPr/>
          <w:p>
            <w:pPr>
              <w:pStyle w:val="Compact"/>
              <w:jc w:val="left"/>
            </w:pPr>
            <w:r>
              <w:t xml:space="preserve">Impugnación</w:t>
            </w:r>
          </w:p>
        </w:tc>
        <w:tc>
          <w:tcPr/>
          <w:p>
            <w:pPr>
              <w:pStyle w:val="Compact"/>
              <w:jc w:val="left"/>
            </w:pPr>
            <w:r>
              <w:t xml:space="preserve">Vehículos poco confiables</w:t>
            </w:r>
          </w:p>
        </w:tc>
        <w:tc>
          <w:tcPr/>
          <w:p>
            <w:pPr>
              <w:pStyle w:val="Compact"/>
              <w:jc w:val="left"/>
            </w:pPr>
            <w:r>
              <w:t xml:space="preserve">Mantenimiento alto</w:t>
            </w:r>
          </w:p>
        </w:tc>
        <w:tc>
          <w:tcPr/>
          <w:p>
            <w:pPr>
              <w:pStyle w:val="Compact"/>
              <w:jc w:val="left"/>
            </w:pPr>
            <w:r>
              <w:t xml:space="preserve">Baja disponibilidad flota</w:t>
            </w:r>
          </w:p>
        </w:tc>
        <w:tc>
          <w:tcPr/>
          <w:p>
            <w:pPr>
              <w:pStyle w:val="Compact"/>
              <w:jc w:val="left"/>
            </w:pPr>
            <w:r>
              <w:t xml:space="preserve">🟡 Mayor</w:t>
            </w:r>
          </w:p>
        </w:tc>
      </w:tr>
      <w:tr>
        <w:tc>
          <w:tcPr/>
          <w:p>
            <w:pPr>
              <w:pStyle w:val="Compact"/>
              <w:jc w:val="left"/>
            </w:pPr>
            <w:r>
              <w:t xml:space="preserve">5. Criterios calidad</w:t>
            </w:r>
          </w:p>
        </w:tc>
        <w:tc>
          <w:tcPr/>
          <w:p>
            <w:pPr>
              <w:pStyle w:val="Compact"/>
              <w:jc w:val="left"/>
            </w:pPr>
            <w:r>
              <w:t xml:space="preserve">Impugnación</w:t>
            </w:r>
          </w:p>
        </w:tc>
        <w:tc>
          <w:tcPr/>
          <w:p>
            <w:pPr>
              <w:pStyle w:val="Compact"/>
              <w:jc w:val="left"/>
            </w:pPr>
            <w:r>
              <w:t xml:space="preserve">Calidad subóptima</w:t>
            </w:r>
          </w:p>
        </w:tc>
        <w:tc>
          <w:tcPr/>
          <w:p>
            <w:pPr>
              <w:pStyle w:val="Compact"/>
              <w:jc w:val="left"/>
            </w:pPr>
            <w:r>
              <w:t xml:space="preserve">No aplica</w:t>
            </w:r>
          </w:p>
        </w:tc>
        <w:tc>
          <w:tcPr/>
          <w:p>
            <w:pPr>
              <w:pStyle w:val="Compact"/>
              <w:jc w:val="left"/>
            </w:pPr>
            <w:r>
              <w:t xml:space="preserve">Reclamos usuarios</w:t>
            </w:r>
          </w:p>
        </w:tc>
        <w:tc>
          <w:tcPr/>
          <w:p>
            <w:pPr>
              <w:pStyle w:val="Compact"/>
              <w:jc w:val="left"/>
            </w:pPr>
            <w:r>
              <w:t xml:space="preserve">🟡 Mayor</w:t>
            </w:r>
          </w:p>
        </w:tc>
      </w:tr>
      <w:tr>
        <w:tc>
          <w:tcPr/>
          <w:p>
            <w:pPr>
              <w:pStyle w:val="Compact"/>
              <w:jc w:val="left"/>
            </w:pPr>
            <w:r>
              <w:t xml:space="preserve">6. Umbral PYMES</w:t>
            </w:r>
          </w:p>
        </w:tc>
        <w:tc>
          <w:tcPr/>
          <w:p>
            <w:pPr>
              <w:pStyle w:val="Compact"/>
              <w:jc w:val="left"/>
            </w:pPr>
            <w:r>
              <w:t xml:space="preserve">Nulidad por normativa</w:t>
            </w:r>
          </w:p>
        </w:tc>
        <w:tc>
          <w:tcPr/>
          <w:p>
            <w:pPr>
              <w:pStyle w:val="Compact"/>
              <w:jc w:val="left"/>
            </w:pPr>
            <w:r>
              <w:t xml:space="preserve">No aplica</w:t>
            </w:r>
          </w:p>
        </w:tc>
        <w:tc>
          <w:tcPr/>
          <w:p>
            <w:pPr>
              <w:pStyle w:val="Compact"/>
              <w:jc w:val="left"/>
            </w:pPr>
            <w:r>
              <w:t xml:space="preserve">No aplica</w:t>
            </w:r>
          </w:p>
        </w:tc>
        <w:tc>
          <w:tcPr/>
          <w:p>
            <w:pPr>
              <w:pStyle w:val="Compact"/>
              <w:jc w:val="left"/>
            </w:pPr>
            <w:r>
              <w:t xml:space="preserve">Exclusión proveedores</w:t>
            </w:r>
          </w:p>
        </w:tc>
        <w:tc>
          <w:tcPr/>
          <w:p>
            <w:pPr>
              <w:pStyle w:val="Compact"/>
              <w:jc w:val="left"/>
            </w:pPr>
            <w:r>
              <w:t xml:space="preserve">🟡 Mayor</w:t>
            </w:r>
          </w:p>
        </w:tc>
      </w:tr>
      <w:tr>
        <w:tc>
          <w:tcPr/>
          <w:p>
            <w:pPr>
              <w:pStyle w:val="Compact"/>
              <w:jc w:val="left"/>
            </w:pPr>
            <w:r>
              <w:t xml:space="preserve">7. Tecnología buses</w:t>
            </w:r>
          </w:p>
        </w:tc>
        <w:tc>
          <w:tcPr/>
          <w:p>
            <w:pPr>
              <w:pStyle w:val="Compact"/>
              <w:jc w:val="left"/>
            </w:pPr>
            <w:r>
              <w:t xml:space="preserve">Impugnación</w:t>
            </w:r>
          </w:p>
        </w:tc>
        <w:tc>
          <w:tcPr/>
          <w:p>
            <w:pPr>
              <w:pStyle w:val="Compact"/>
              <w:jc w:val="left"/>
            </w:pPr>
            <w:r>
              <w:t xml:space="preserve">Incompatibilidad</w:t>
            </w:r>
          </w:p>
        </w:tc>
        <w:tc>
          <w:tcPr/>
          <w:p>
            <w:pPr>
              <w:pStyle w:val="Compact"/>
              <w:jc w:val="left"/>
            </w:pPr>
            <w:r>
              <w:t xml:space="preserve">Sobreinversión</w:t>
            </w:r>
          </w:p>
        </w:tc>
        <w:tc>
          <w:tcPr/>
          <w:p>
            <w:pPr>
              <w:pStyle w:val="Compact"/>
              <w:jc w:val="left"/>
            </w:pPr>
            <w:r>
              <w:t xml:space="preserve">Flota no operable</w:t>
            </w:r>
          </w:p>
        </w:tc>
        <w:tc>
          <w:tcPr/>
          <w:p>
            <w:pPr>
              <w:pStyle w:val="Compact"/>
              <w:jc w:val="left"/>
            </w:pPr>
            <w:r>
              <w:t xml:space="preserve">🔴 Crítico</w:t>
            </w:r>
          </w:p>
        </w:tc>
      </w:tr>
      <w:tr>
        <w:tc>
          <w:tcPr/>
          <w:p>
            <w:pPr>
              <w:pStyle w:val="Compact"/>
              <w:jc w:val="left"/>
            </w:pPr>
            <w:r>
              <w:t xml:space="preserve">8. Análisis demanda</w:t>
            </w:r>
          </w:p>
        </w:tc>
        <w:tc>
          <w:tcPr/>
          <w:p>
            <w:pPr>
              <w:pStyle w:val="Compact"/>
              <w:jc w:val="left"/>
            </w:pPr>
            <w:r>
              <w:t xml:space="preserve">Impugnación</w:t>
            </w:r>
          </w:p>
        </w:tc>
        <w:tc>
          <w:tcPr/>
          <w:p>
            <w:pPr>
              <w:pStyle w:val="Compact"/>
              <w:jc w:val="left"/>
            </w:pPr>
            <w:r>
              <w:t xml:space="preserve">No aplica</w:t>
            </w:r>
          </w:p>
        </w:tc>
        <w:tc>
          <w:tcPr/>
          <w:p>
            <w:pPr>
              <w:pStyle w:val="Compact"/>
              <w:jc w:val="left"/>
            </w:pPr>
            <w:r>
              <w:t xml:space="preserve">Presupuesto arbitrario</w:t>
            </w:r>
          </w:p>
        </w:tc>
        <w:tc>
          <w:tcPr/>
          <w:p>
            <w:pPr>
              <w:pStyle w:val="Compact"/>
              <w:jc w:val="left"/>
            </w:pPr>
            <w:r>
              <w:t xml:space="preserve">No aplica</w:t>
            </w:r>
          </w:p>
        </w:tc>
        <w:tc>
          <w:tcPr/>
          <w:p>
            <w:pPr>
              <w:pStyle w:val="Compact"/>
              <w:jc w:val="left"/>
            </w:pPr>
            <w:r>
              <w:t xml:space="preserve">🟡 Mayor</w:t>
            </w:r>
          </w:p>
        </w:tc>
      </w:tr>
      <w:tr>
        <w:tc>
          <w:tcPr/>
          <w:p>
            <w:pPr>
              <w:pStyle w:val="Compact"/>
              <w:jc w:val="left"/>
            </w:pPr>
            <w:r>
              <w:t xml:space="preserve">9. CBT + ABT</w:t>
            </w:r>
          </w:p>
        </w:tc>
        <w:tc>
          <w:tcPr/>
          <w:p>
            <w:pPr>
              <w:pStyle w:val="Compact"/>
              <w:jc w:val="left"/>
            </w:pPr>
            <w:r>
              <w:t xml:space="preserve">No aplica</w:t>
            </w:r>
          </w:p>
        </w:tc>
        <w:tc>
          <w:tcPr/>
          <w:p>
            <w:pPr>
              <w:pStyle w:val="Compact"/>
              <w:jc w:val="left"/>
            </w:pPr>
            <w:r>
              <w:t xml:space="preserve">Complejidad excesiva</w:t>
            </w:r>
          </w:p>
        </w:tc>
        <w:tc>
          <w:tcPr/>
          <w:p>
            <w:pPr>
              <w:pStyle w:val="Compact"/>
              <w:jc w:val="left"/>
            </w:pPr>
            <w:r>
              <w:t xml:space="preserve">Sobrecosto 40-60%</w:t>
            </w:r>
          </w:p>
        </w:tc>
        <w:tc>
          <w:tcPr/>
          <w:p>
            <w:pPr>
              <w:pStyle w:val="Compact"/>
              <w:jc w:val="left"/>
            </w:pPr>
            <w:r>
              <w:t xml:space="preserve">Falla recaudo arranque</w:t>
            </w:r>
          </w:p>
        </w:tc>
        <w:tc>
          <w:tcPr/>
          <w:p>
            <w:pPr>
              <w:pStyle w:val="Compact"/>
              <w:jc w:val="left"/>
            </w:pPr>
            <w:r>
              <w:t xml:space="preserve">🔴 Crítico</w:t>
            </w:r>
          </w:p>
        </w:tc>
      </w:tr>
      <w:tr>
        <w:tc>
          <w:tcPr/>
          <w:p>
            <w:pPr>
              <w:pStyle w:val="Compact"/>
              <w:jc w:val="left"/>
            </w:pPr>
            <w:r>
              <w:t xml:space="preserve">10. EMV Nivel 2</w:t>
            </w:r>
          </w:p>
        </w:tc>
        <w:tc>
          <w:tcPr/>
          <w:p>
            <w:pPr>
              <w:pStyle w:val="Compact"/>
              <w:jc w:val="left"/>
            </w:pPr>
            <w:r>
              <w:t xml:space="preserve">No aplica</w:t>
            </w:r>
          </w:p>
        </w:tc>
        <w:tc>
          <w:tcPr/>
          <w:p>
            <w:pPr>
              <w:pStyle w:val="Compact"/>
              <w:jc w:val="left"/>
            </w:pPr>
            <w:r>
              <w:t xml:space="preserve">Hardware más caro</w:t>
            </w:r>
          </w:p>
        </w:tc>
        <w:tc>
          <w:tcPr/>
          <w:p>
            <w:pPr>
              <w:pStyle w:val="Compact"/>
              <w:jc w:val="left"/>
            </w:pPr>
            <w:r>
              <w:t xml:space="preserve">Inversión sin retorno</w:t>
            </w:r>
          </w:p>
        </w:tc>
        <w:tc>
          <w:tcPr/>
          <w:p>
            <w:pPr>
              <w:pStyle w:val="Compact"/>
              <w:jc w:val="left"/>
            </w:pPr>
            <w:r>
              <w:t xml:space="preserve">Funcionalidad inactiva</w:t>
            </w:r>
          </w:p>
        </w:tc>
        <w:tc>
          <w:tcPr/>
          <w:p>
            <w:pPr>
              <w:pStyle w:val="Compact"/>
              <w:jc w:val="left"/>
            </w:pPr>
            <w:r>
              <w:t xml:space="preserve">🟡 Mayor</w:t>
            </w:r>
          </w:p>
        </w:tc>
      </w:tr>
      <w:tr>
        <w:tc>
          <w:tcPr/>
          <w:p>
            <w:pPr>
              <w:pStyle w:val="Compact"/>
              <w:jc w:val="left"/>
            </w:pPr>
            <w:r>
              <w:t xml:space="preserve">11. HSM 300ms</w:t>
            </w:r>
          </w:p>
        </w:tc>
        <w:tc>
          <w:tcPr/>
          <w:p>
            <w:pPr>
              <w:pStyle w:val="Compact"/>
              <w:jc w:val="left"/>
            </w:pPr>
            <w:r>
              <w:t xml:space="preserve">No aplica</w:t>
            </w:r>
          </w:p>
        </w:tc>
        <w:tc>
          <w:tcPr/>
          <w:p>
            <w:pPr>
              <w:pStyle w:val="Compact"/>
              <w:jc w:val="left"/>
            </w:pPr>
            <w:r>
              <w:t xml:space="preserve">Incumplimiento SLA</w:t>
            </w:r>
          </w:p>
        </w:tc>
        <w:tc>
          <w:tcPr/>
          <w:p>
            <w:pPr>
              <w:pStyle w:val="Compact"/>
              <w:jc w:val="left"/>
            </w:pPr>
            <w:r>
              <w:t xml:space="preserve">Penalidades</w:t>
            </w:r>
          </w:p>
        </w:tc>
        <w:tc>
          <w:tcPr/>
          <w:p>
            <w:pPr>
              <w:pStyle w:val="Compact"/>
              <w:jc w:val="left"/>
            </w:pPr>
            <w:r>
              <w:t xml:space="preserve">Validación lenta/fallida</w:t>
            </w:r>
          </w:p>
        </w:tc>
        <w:tc>
          <w:tcPr/>
          <w:p>
            <w:pPr>
              <w:pStyle w:val="Compact"/>
              <w:jc w:val="left"/>
            </w:pPr>
            <w:r>
              <w:t xml:space="preserve">🟡 Mayor</w:t>
            </w:r>
          </w:p>
        </w:tc>
      </w:tr>
      <w:tr>
        <w:tc>
          <w:tcPr/>
          <w:p>
            <w:pPr>
              <w:pStyle w:val="Compact"/>
              <w:jc w:val="left"/>
            </w:pPr>
            <w:r>
              <w:t xml:space="preserve">12. Dimensionamiento ITS</w:t>
            </w:r>
          </w:p>
        </w:tc>
        <w:tc>
          <w:tcPr/>
          <w:p>
            <w:pPr>
              <w:pStyle w:val="Compact"/>
              <w:jc w:val="left"/>
            </w:pPr>
            <w:r>
              <w:t xml:space="preserve">No aplica</w:t>
            </w:r>
          </w:p>
        </w:tc>
        <w:tc>
          <w:tcPr/>
          <w:p>
            <w:pPr>
              <w:pStyle w:val="Compact"/>
              <w:jc w:val="left"/>
            </w:pPr>
            <w:r>
              <w:t xml:space="preserve">Subutilización</w:t>
            </w:r>
          </w:p>
        </w:tc>
        <w:tc>
          <w:tcPr/>
          <w:p>
            <w:pPr>
              <w:pStyle w:val="Compact"/>
              <w:jc w:val="left"/>
            </w:pPr>
            <w:r>
              <w:t xml:space="preserve">Desperdicio 30-40%</w:t>
            </w:r>
          </w:p>
        </w:tc>
        <w:tc>
          <w:tcPr/>
          <w:p>
            <w:pPr>
              <w:pStyle w:val="Compact"/>
              <w:jc w:val="left"/>
            </w:pPr>
            <w:r>
              <w:t xml:space="preserve">Complejidad innecesaria</w:t>
            </w:r>
          </w:p>
        </w:tc>
        <w:tc>
          <w:tcPr/>
          <w:p>
            <w:pPr>
              <w:pStyle w:val="Compact"/>
              <w:jc w:val="left"/>
            </w:pPr>
            <w:r>
              <w:t xml:space="preserve">🔴 Crítico</w:t>
            </w:r>
          </w:p>
        </w:tc>
      </w:tr>
      <w:tr>
        <w:tc>
          <w:tcPr/>
          <w:p>
            <w:pPr>
              <w:pStyle w:val="Compact"/>
              <w:jc w:val="left"/>
            </w:pPr>
            <w:r>
              <w:t xml:space="preserve">13. Equipos para 40 vs 17</w:t>
            </w:r>
          </w:p>
        </w:tc>
        <w:tc>
          <w:tcPr/>
          <w:p>
            <w:pPr>
              <w:pStyle w:val="Compact"/>
              <w:jc w:val="left"/>
            </w:pPr>
            <w:r>
              <w:t xml:space="preserve">Impugnación</w:t>
            </w:r>
          </w:p>
        </w:tc>
        <w:tc>
          <w:tcPr/>
          <w:p>
            <w:pPr>
              <w:pStyle w:val="Compact"/>
              <w:jc w:val="left"/>
            </w:pPr>
            <w:r>
              <w:t xml:space="preserve">Incumplimiento anexo</w:t>
            </w:r>
          </w:p>
        </w:tc>
        <w:tc>
          <w:tcPr/>
          <w:p>
            <w:pPr>
              <w:pStyle w:val="Compact"/>
              <w:jc w:val="left"/>
            </w:pPr>
            <w:r>
              <w:t xml:space="preserve">Sobreinversión</w:t>
            </w:r>
          </w:p>
        </w:tc>
        <w:tc>
          <w:tcPr/>
          <w:p>
            <w:pPr>
              <w:pStyle w:val="Compact"/>
              <w:jc w:val="left"/>
            </w:pPr>
            <w:r>
              <w:t xml:space="preserve">No aplica</w:t>
            </w:r>
          </w:p>
        </w:tc>
        <w:tc>
          <w:tcPr/>
          <w:p>
            <w:pPr>
              <w:pStyle w:val="Compact"/>
              <w:jc w:val="left"/>
            </w:pPr>
            <w:r>
              <w:t xml:space="preserve">🔴 Crítico</w:t>
            </w:r>
          </w:p>
        </w:tc>
      </w:tr>
      <w:tr>
        <w:tc>
          <w:tcPr/>
          <w:p>
            <w:pPr>
              <w:pStyle w:val="Compact"/>
              <w:jc w:val="left"/>
            </w:pPr>
            <w:r>
              <w:t xml:space="preserve">14. Valor $84.635</w:t>
            </w:r>
          </w:p>
        </w:tc>
        <w:tc>
          <w:tcPr/>
          <w:p>
            <w:pPr>
              <w:pStyle w:val="Compact"/>
              <w:jc w:val="left"/>
            </w:pPr>
            <w:r>
              <w:t xml:space="preserve">Nulidad, fraude</w:t>
            </w:r>
          </w:p>
        </w:tc>
        <w:tc>
          <w:tcPr/>
          <w:p>
            <w:pPr>
              <w:pStyle w:val="Compact"/>
              <w:jc w:val="left"/>
            </w:pPr>
            <w:r>
              <w:t xml:space="preserve">No aplica</w:t>
            </w:r>
          </w:p>
        </w:tc>
        <w:tc>
          <w:tcPr/>
          <w:p>
            <w:pPr>
              <w:pStyle w:val="Compact"/>
              <w:jc w:val="left"/>
            </w:pPr>
            <w:r>
              <w:t xml:space="preserve">Precios ficticios</w:t>
            </w:r>
          </w:p>
        </w:tc>
        <w:tc>
          <w:tcPr/>
          <w:p>
            <w:pPr>
              <w:pStyle w:val="Compact"/>
              <w:jc w:val="left"/>
            </w:pPr>
            <w:r>
              <w:t xml:space="preserve">No aplica</w:t>
            </w:r>
          </w:p>
        </w:tc>
        <w:tc>
          <w:tcPr/>
          <w:p>
            <w:pPr>
              <w:pStyle w:val="Compact"/>
              <w:jc w:val="left"/>
            </w:pPr>
            <w:r>
              <w:t xml:space="preserve">🔴 Crítico</w:t>
            </w:r>
          </w:p>
        </w:tc>
      </w:tr>
    </w:tbl>
    <w:p>
      <w:pPr>
        <w:pStyle w:val="BodyText"/>
      </w:pPr>
      <w:r>
        <w:rPr>
          <w:bCs/>
          <w:b/>
        </w:rPr>
        <w:t xml:space="preserve">Total inquietudes:</w:t>
      </w:r>
      <w:r>
        <w:t xml:space="preserve"> </w:t>
      </w:r>
      <w:r>
        <w:t xml:space="preserve">14</w:t>
      </w:r>
      <w:r>
        <w:br/>
      </w:r>
      <w:r>
        <w:rPr>
          <w:bCs/>
          <w:b/>
        </w:rPr>
        <w:t xml:space="preserve">Críticas:</w:t>
      </w:r>
      <w:r>
        <w:t xml:space="preserve"> </w:t>
      </w:r>
      <w:r>
        <w:t xml:space="preserve">8 (57%)</w:t>
      </w:r>
      <w:r>
        <w:br/>
      </w:r>
      <w:r>
        <w:rPr>
          <w:bCs/>
          <w:b/>
        </w:rPr>
        <w:t xml:space="preserve">Mayores:</w:t>
      </w:r>
      <w:r>
        <w:t xml:space="preserve"> </w:t>
      </w:r>
      <w:r>
        <w:t xml:space="preserve">6 (43%)</w:t>
      </w:r>
      <w:r>
        <w:br/>
      </w:r>
      <w:r>
        <w:rPr>
          <w:bCs/>
          <w:b/>
        </w:rPr>
        <w:t xml:space="preserve">Positivas:</w:t>
      </w:r>
      <w:r>
        <w:t xml:space="preserve"> </w:t>
      </w:r>
      <w:r>
        <w:t xml:space="preserve">0</w:t>
      </w:r>
    </w:p>
    <w:p>
      <w:r>
        <w:pict>
          <v:rect style="width:0;height:1.5pt" o:hralign="center" o:hrstd="t" o:hr="t"/>
        </w:pict>
      </w:r>
    </w:p>
    <w:bookmarkEnd w:id="52"/>
    <w:bookmarkEnd w:id="53"/>
    <w:bookmarkStart w:id="57" w:name="recomendaciones-ejecutivas-innovadataco"/>
    <w:p>
      <w:pPr>
        <w:pStyle w:val="Heading2"/>
      </w:pPr>
      <w:r>
        <w:t xml:space="preserve">4. RECOMENDACIONES EJECUTIVAS INNOVADATACO</w:t>
      </w:r>
    </w:p>
    <w:bookmarkStart w:id="54" w:name="X92871d5e80232cf35f3b0607c9a3e28b99dc864"/>
    <w:p>
      <w:pPr>
        <w:pStyle w:val="Heading3"/>
      </w:pPr>
      <w:r>
        <w:t xml:space="preserve">A CORTO PLAZO (1-2 semanas) — Detener y corregir</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jc w:val="left"/>
            </w:pPr>
            <w:r>
              <w:t xml:space="preserve">#</w:t>
            </w:r>
          </w:p>
        </w:tc>
        <w:tc>
          <w:tcPr/>
          <w:p>
            <w:pPr>
              <w:pStyle w:val="Compact"/>
              <w:jc w:val="left"/>
            </w:pPr>
            <w:r>
              <w:t xml:space="preserve">Acción</w:t>
            </w:r>
          </w:p>
        </w:tc>
        <w:tc>
          <w:tcPr/>
          <w:p>
            <w:pPr>
              <w:pStyle w:val="Compact"/>
              <w:jc w:val="left"/>
            </w:pPr>
            <w:r>
              <w:t xml:space="preserve">Responsable</w:t>
            </w:r>
          </w:p>
        </w:tc>
        <w:tc>
          <w:tcPr/>
          <w:p>
            <w:pPr>
              <w:pStyle w:val="Compact"/>
              <w:jc w:val="left"/>
            </w:pPr>
            <w:r>
              <w:t xml:space="preserve">Producto</w:t>
            </w:r>
          </w:p>
        </w:tc>
      </w:tr>
      <w:tr>
        <w:tc>
          <w:tcPr/>
          <w:p>
            <w:pPr>
              <w:pStyle w:val="Compact"/>
              <w:jc w:val="left"/>
            </w:pPr>
            <w:r>
              <w:t xml:space="preserve">1</w:t>
            </w:r>
          </w:p>
        </w:tc>
        <w:tc>
          <w:tcPr/>
          <w:p>
            <w:pPr>
              <w:pStyle w:val="Compact"/>
              <w:jc w:val="left"/>
            </w:pPr>
            <w:r>
              <w:rPr>
                <w:bCs/>
                <w:b/>
              </w:rPr>
              <w:t xml:space="preserve">Suspender el proceso de adquisición</w:t>
            </w:r>
            <w:r>
              <w:t xml:space="preserve"> </w:t>
            </w:r>
            <w:r>
              <w:t xml:space="preserve">hasta corrección de inquietudes críticas</w:t>
            </w:r>
          </w:p>
        </w:tc>
        <w:tc>
          <w:tcPr/>
          <w:p>
            <w:pPr>
              <w:pStyle w:val="Compact"/>
              <w:jc w:val="left"/>
            </w:pPr>
            <w:r>
              <w:t xml:space="preserve">Metro Sabanas — Gerencia</w:t>
            </w:r>
          </w:p>
        </w:tc>
        <w:tc>
          <w:tcPr/>
          <w:p>
            <w:pPr>
              <w:pStyle w:val="Compact"/>
              <w:jc w:val="left"/>
            </w:pPr>
            <w:r>
              <w:t xml:space="preserve">Acta de suspensión temporal</w:t>
            </w:r>
          </w:p>
        </w:tc>
      </w:tr>
      <w:tr>
        <w:tc>
          <w:tcPr/>
          <w:p>
            <w:pPr>
              <w:pStyle w:val="Compact"/>
              <w:jc w:val="left"/>
            </w:pPr>
            <w:r>
              <w:t xml:space="preserve">2</w:t>
            </w:r>
          </w:p>
        </w:tc>
        <w:tc>
          <w:tcPr/>
          <w:p>
            <w:pPr>
              <w:pStyle w:val="Compact"/>
              <w:jc w:val="left"/>
            </w:pPr>
            <w:r>
              <w:rPr>
                <w:bCs/>
                <w:b/>
              </w:rPr>
              <w:t xml:space="preserve">Realizar estudio de mercado formal</w:t>
            </w:r>
            <w:r>
              <w:t xml:space="preserve"> </w:t>
            </w:r>
            <w:r>
              <w:t xml:space="preserve">con mínimo 5 cotizaciones desglosadas</w:t>
            </w:r>
          </w:p>
        </w:tc>
        <w:tc>
          <w:tcPr/>
          <w:p>
            <w:pPr>
              <w:pStyle w:val="Compact"/>
              <w:jc w:val="left"/>
            </w:pPr>
            <w:r>
              <w:t xml:space="preserve">INNOVADATACO + Metro Sabanas</w:t>
            </w:r>
          </w:p>
        </w:tc>
        <w:tc>
          <w:tcPr/>
          <w:p>
            <w:pPr>
              <w:pStyle w:val="Compact"/>
              <w:jc w:val="left"/>
            </w:pPr>
            <w:r>
              <w:t xml:space="preserve">Informe estudio de mercado ITS</w:t>
            </w:r>
          </w:p>
        </w:tc>
      </w:tr>
      <w:tr>
        <w:tc>
          <w:tcPr/>
          <w:p>
            <w:pPr>
              <w:pStyle w:val="Compact"/>
              <w:jc w:val="left"/>
            </w:pPr>
            <w:r>
              <w:t xml:space="preserve">3</w:t>
            </w:r>
          </w:p>
        </w:tc>
        <w:tc>
          <w:tcPr/>
          <w:p>
            <w:pPr>
              <w:pStyle w:val="Compact"/>
              <w:jc w:val="left"/>
            </w:pPr>
            <w:r>
              <w:rPr>
                <w:bCs/>
                <w:b/>
              </w:rPr>
              <w:t xml:space="preserve">Unificar criterio tecnológico de flota</w:t>
            </w:r>
            <w:r>
              <w:t xml:space="preserve"> </w:t>
            </w:r>
            <w:r>
              <w:t xml:space="preserve">con análisis TCO (Diesel vs GNV vs Eléctrico)</w:t>
            </w:r>
          </w:p>
        </w:tc>
        <w:tc>
          <w:tcPr/>
          <w:p>
            <w:pPr>
              <w:pStyle w:val="Compact"/>
              <w:jc w:val="left"/>
            </w:pPr>
            <w:r>
              <w:t xml:space="preserve">INNOVADATACO</w:t>
            </w:r>
          </w:p>
        </w:tc>
        <w:tc>
          <w:tcPr/>
          <w:p>
            <w:pPr>
              <w:pStyle w:val="Compact"/>
              <w:jc w:val="left"/>
            </w:pPr>
            <w:r>
              <w:t xml:space="preserve">Acta de decisión tecnológica</w:t>
            </w:r>
          </w:p>
        </w:tc>
      </w:tr>
      <w:tr>
        <w:tc>
          <w:tcPr/>
          <w:p>
            <w:pPr>
              <w:pStyle w:val="Compact"/>
              <w:jc w:val="left"/>
            </w:pPr>
            <w:r>
              <w:t xml:space="preserve">4</w:t>
            </w:r>
          </w:p>
        </w:tc>
        <w:tc>
          <w:tcPr/>
          <w:p>
            <w:pPr>
              <w:pStyle w:val="Compact"/>
              <w:jc w:val="left"/>
            </w:pPr>
            <w:r>
              <w:rPr>
                <w:bCs/>
                <w:b/>
              </w:rPr>
              <w:t xml:space="preserve">Corregir dimensionamiento ITS</w:t>
            </w:r>
            <w:r>
              <w:t xml:space="preserve"> </w:t>
            </w:r>
            <w:r>
              <w:t xml:space="preserve">a 17 buses en todos los anexos</w:t>
            </w:r>
          </w:p>
        </w:tc>
        <w:tc>
          <w:tcPr/>
          <w:p>
            <w:pPr>
              <w:pStyle w:val="Compact"/>
              <w:jc w:val="left"/>
            </w:pPr>
            <w:r>
              <w:t xml:space="preserve">Metro Sabanas — Área Técnica</w:t>
            </w:r>
          </w:p>
        </w:tc>
        <w:tc>
          <w:tcPr/>
          <w:p>
            <w:pPr>
              <w:pStyle w:val="Compact"/>
              <w:jc w:val="left"/>
            </w:pPr>
            <w:r>
              <w:t xml:space="preserve">Anexos técnicos corregidos</w:t>
            </w:r>
          </w:p>
        </w:tc>
      </w:tr>
      <w:tr>
        <w:tc>
          <w:tcPr/>
          <w:p>
            <w:pPr>
              <w:pStyle w:val="Compact"/>
              <w:jc w:val="left"/>
            </w:pPr>
            <w:r>
              <w:t xml:space="preserve">5</w:t>
            </w:r>
          </w:p>
        </w:tc>
        <w:tc>
          <w:tcPr/>
          <w:p>
            <w:pPr>
              <w:pStyle w:val="Compact"/>
              <w:jc w:val="left"/>
            </w:pPr>
            <w:r>
              <w:rPr>
                <w:bCs/>
                <w:b/>
              </w:rPr>
              <w:t xml:space="preserve">Investigar valor $84.635</w:t>
            </w:r>
            <w:r>
              <w:t xml:space="preserve"> </w:t>
            </w:r>
            <w:r>
              <w:t xml:space="preserve">— solicitar desglose a los 3 oferentes</w:t>
            </w:r>
          </w:p>
        </w:tc>
        <w:tc>
          <w:tcPr/>
          <w:p>
            <w:pPr>
              <w:pStyle w:val="Compact"/>
              <w:jc w:val="left"/>
            </w:pPr>
            <w:r>
              <w:t xml:space="preserve">Metro Sabanas — Área Contractual</w:t>
            </w:r>
          </w:p>
        </w:tc>
        <w:tc>
          <w:tcPr/>
          <w:p>
            <w:pPr>
              <w:pStyle w:val="Compact"/>
              <w:jc w:val="left"/>
            </w:pPr>
            <w:r>
              <w:t xml:space="preserve">Respuestas formales de oferentes</w:t>
            </w:r>
          </w:p>
        </w:tc>
      </w:tr>
      <w:tr>
        <w:tc>
          <w:tcPr/>
          <w:p>
            <w:pPr>
              <w:pStyle w:val="Compact"/>
              <w:jc w:val="left"/>
            </w:pPr>
            <w:r>
              <w:t xml:space="preserve">6</w:t>
            </w:r>
          </w:p>
        </w:tc>
        <w:tc>
          <w:tcPr/>
          <w:p>
            <w:pPr>
              <w:pStyle w:val="Compact"/>
              <w:jc w:val="left"/>
            </w:pPr>
            <w:r>
              <w:rPr>
                <w:bCs/>
                <w:b/>
              </w:rPr>
              <w:t xml:space="preserve">Separar o aclarar proceso</w:t>
            </w:r>
            <w:r>
              <w:t xml:space="preserve"> </w:t>
            </w:r>
            <w:r>
              <w:t xml:space="preserve">vehículo vs ITS con responsabilidades definidas</w:t>
            </w:r>
          </w:p>
        </w:tc>
        <w:tc>
          <w:tcPr/>
          <w:p>
            <w:pPr>
              <w:pStyle w:val="Compact"/>
              <w:jc w:val="left"/>
            </w:pPr>
            <w:r>
              <w:t xml:space="preserve">Metro Sabanas — Área Jurídica</w:t>
            </w:r>
          </w:p>
        </w:tc>
        <w:tc>
          <w:tcPr/>
          <w:p>
            <w:pPr>
              <w:pStyle w:val="Compact"/>
              <w:jc w:val="left"/>
            </w:pPr>
            <w:r>
              <w:t xml:space="preserve">Pliego modificado</w:t>
            </w:r>
          </w:p>
        </w:tc>
      </w:tr>
    </w:tbl>
    <w:bookmarkEnd w:id="54"/>
    <w:bookmarkStart w:id="55" w:name="Xf8a138f6d1df9449c1a6ae48602a14ea2d1dadc"/>
    <w:p>
      <w:pPr>
        <w:pStyle w:val="Heading3"/>
      </w:pPr>
      <w:r>
        <w:t xml:space="preserve">A MEDIANO PLAZO (2-4 semanas) — Reestructurar</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jc w:val="left"/>
            </w:pPr>
            <w:r>
              <w:t xml:space="preserve">#</w:t>
            </w:r>
          </w:p>
        </w:tc>
        <w:tc>
          <w:tcPr/>
          <w:p>
            <w:pPr>
              <w:pStyle w:val="Compact"/>
              <w:jc w:val="left"/>
            </w:pPr>
            <w:r>
              <w:t xml:space="preserve">Acción</w:t>
            </w:r>
          </w:p>
        </w:tc>
        <w:tc>
          <w:tcPr/>
          <w:p>
            <w:pPr>
              <w:pStyle w:val="Compact"/>
              <w:jc w:val="left"/>
            </w:pPr>
            <w:r>
              <w:t xml:space="preserve">Responsable</w:t>
            </w:r>
          </w:p>
        </w:tc>
        <w:tc>
          <w:tcPr/>
          <w:p>
            <w:pPr>
              <w:pStyle w:val="Compact"/>
              <w:jc w:val="left"/>
            </w:pPr>
            <w:r>
              <w:t xml:space="preserve">Producto</w:t>
            </w:r>
          </w:p>
        </w:tc>
      </w:tr>
      <w:tr>
        <w:tc>
          <w:tcPr/>
          <w:p>
            <w:pPr>
              <w:pStyle w:val="Compact"/>
              <w:jc w:val="left"/>
            </w:pPr>
            <w:r>
              <w:t xml:space="preserve">7</w:t>
            </w:r>
          </w:p>
        </w:tc>
        <w:tc>
          <w:tcPr/>
          <w:p>
            <w:pPr>
              <w:pStyle w:val="Compact"/>
              <w:jc w:val="left"/>
            </w:pPr>
            <w:r>
              <w:rPr>
                <w:bCs/>
                <w:b/>
              </w:rPr>
              <w:t xml:space="preserve">Simplificar arquitectura recaudo</w:t>
            </w:r>
            <w:r>
              <w:t xml:space="preserve"> </w:t>
            </w:r>
            <w:r>
              <w:t xml:space="preserve">a CBT inicial (Mifare Plus SL3), ABT como fase 2</w:t>
            </w:r>
          </w:p>
        </w:tc>
        <w:tc>
          <w:tcPr/>
          <w:p>
            <w:pPr>
              <w:pStyle w:val="Compact"/>
              <w:jc w:val="left"/>
            </w:pPr>
            <w:r>
              <w:t xml:space="preserve">INNOVADATACO</w:t>
            </w:r>
          </w:p>
        </w:tc>
        <w:tc>
          <w:tcPr/>
          <w:p>
            <w:pPr>
              <w:pStyle w:val="Compact"/>
              <w:jc w:val="left"/>
            </w:pPr>
            <w:r>
              <w:t xml:space="preserve">Documento de arquitectura simplificada</w:t>
            </w:r>
          </w:p>
        </w:tc>
      </w:tr>
      <w:tr>
        <w:tc>
          <w:tcPr/>
          <w:p>
            <w:pPr>
              <w:pStyle w:val="Compact"/>
              <w:jc w:val="left"/>
            </w:pPr>
            <w:r>
              <w:t xml:space="preserve">8</w:t>
            </w:r>
          </w:p>
        </w:tc>
        <w:tc>
          <w:tcPr/>
          <w:p>
            <w:pPr>
              <w:pStyle w:val="Compact"/>
              <w:jc w:val="left"/>
            </w:pPr>
            <w:r>
              <w:rPr>
                <w:bCs/>
                <w:b/>
              </w:rPr>
              <w:t xml:space="preserve">Postergar EMV Nivel 2</w:t>
            </w:r>
            <w:r>
              <w:t xml:space="preserve"> </w:t>
            </w:r>
            <w:r>
              <w:t xml:space="preserve">hasta acuerdo bancario firmado</w:t>
            </w:r>
          </w:p>
        </w:tc>
        <w:tc>
          <w:tcPr/>
          <w:p>
            <w:pPr>
              <w:pStyle w:val="Compact"/>
              <w:jc w:val="left"/>
            </w:pPr>
            <w:r>
              <w:t xml:space="preserve">Metro Sabanas — Gerencia</w:t>
            </w:r>
          </w:p>
        </w:tc>
        <w:tc>
          <w:tcPr/>
          <w:p>
            <w:pPr>
              <w:pStyle w:val="Compact"/>
              <w:jc w:val="left"/>
            </w:pPr>
            <w:r>
              <w:t xml:space="preserve">Cláusula de activación condicional</w:t>
            </w:r>
          </w:p>
        </w:tc>
      </w:tr>
      <w:tr>
        <w:tc>
          <w:tcPr/>
          <w:p>
            <w:pPr>
              <w:pStyle w:val="Compact"/>
              <w:jc w:val="left"/>
            </w:pPr>
            <w:r>
              <w:t xml:space="preserve">9</w:t>
            </w:r>
          </w:p>
        </w:tc>
        <w:tc>
          <w:tcPr/>
          <w:p>
            <w:pPr>
              <w:pStyle w:val="Compact"/>
              <w:jc w:val="left"/>
            </w:pPr>
            <w:r>
              <w:rPr>
                <w:bCs/>
                <w:b/>
              </w:rPr>
              <w:t xml:space="preserve">Ajustar SLA HSM</w:t>
            </w:r>
            <w:r>
              <w:t xml:space="preserve"> </w:t>
            </w:r>
            <w:r>
              <w:t xml:space="preserve">a 500-800ms con fallback offline</w:t>
            </w:r>
          </w:p>
        </w:tc>
        <w:tc>
          <w:tcPr/>
          <w:p>
            <w:pPr>
              <w:pStyle w:val="Compact"/>
              <w:jc w:val="left"/>
            </w:pPr>
            <w:r>
              <w:t xml:space="preserve">INNOVADATACO</w:t>
            </w:r>
          </w:p>
        </w:tc>
        <w:tc>
          <w:tcPr/>
          <w:p>
            <w:pPr>
              <w:pStyle w:val="Compact"/>
              <w:jc w:val="left"/>
            </w:pPr>
            <w:r>
              <w:t xml:space="preserve">Especificación técnica ajustada</w:t>
            </w:r>
          </w:p>
        </w:tc>
      </w:tr>
      <w:tr>
        <w:tc>
          <w:tcPr/>
          <w:p>
            <w:pPr>
              <w:pStyle w:val="Compact"/>
              <w:jc w:val="left"/>
            </w:pPr>
            <w:r>
              <w:t xml:space="preserve">10</w:t>
            </w:r>
          </w:p>
        </w:tc>
        <w:tc>
          <w:tcPr/>
          <w:p>
            <w:pPr>
              <w:pStyle w:val="Compact"/>
              <w:jc w:val="left"/>
            </w:pPr>
            <w:r>
              <w:rPr>
                <w:bCs/>
                <w:b/>
              </w:rPr>
              <w:t xml:space="preserve">Rehacer estudio de sector</w:t>
            </w:r>
            <w:r>
              <w:t xml:space="preserve"> </w:t>
            </w:r>
            <w:r>
              <w:t xml:space="preserve">con empresas reales del objeto (mínimo 10)</w:t>
            </w:r>
          </w:p>
        </w:tc>
        <w:tc>
          <w:tcPr/>
          <w:p>
            <w:pPr>
              <w:pStyle w:val="Compact"/>
              <w:jc w:val="left"/>
            </w:pPr>
            <w:r>
              <w:t xml:space="preserve">INNOVADATACO</w:t>
            </w:r>
          </w:p>
        </w:tc>
        <w:tc>
          <w:tcPr/>
          <w:p>
            <w:pPr>
              <w:pStyle w:val="Compact"/>
              <w:jc w:val="left"/>
            </w:pPr>
            <w:r>
              <w:t xml:space="preserve">Estudio de sector v2.0</w:t>
            </w:r>
          </w:p>
        </w:tc>
      </w:tr>
      <w:tr>
        <w:tc>
          <w:tcPr/>
          <w:p>
            <w:pPr>
              <w:pStyle w:val="Compact"/>
              <w:jc w:val="left"/>
            </w:pPr>
            <w:r>
              <w:t xml:space="preserve">11</w:t>
            </w:r>
          </w:p>
        </w:tc>
        <w:tc>
          <w:tcPr/>
          <w:p>
            <w:pPr>
              <w:pStyle w:val="Compact"/>
              <w:jc w:val="left"/>
            </w:pPr>
            <w:r>
              <w:rPr>
                <w:bCs/>
                <w:b/>
              </w:rPr>
              <w:t xml:space="preserve">Reequilibrar ponderación</w:t>
            </w:r>
            <w:r>
              <w:t xml:space="preserve"> </w:t>
            </w:r>
            <w:r>
              <w:t xml:space="preserve">técnica: vehículo 60%, ITS 40%</w:t>
            </w:r>
          </w:p>
        </w:tc>
        <w:tc>
          <w:tcPr/>
          <w:p>
            <w:pPr>
              <w:pStyle w:val="Compact"/>
              <w:jc w:val="left"/>
            </w:pPr>
            <w:r>
              <w:t xml:space="preserve">Metro Sabanas — Área Contractual</w:t>
            </w:r>
          </w:p>
        </w:tc>
        <w:tc>
          <w:tcPr/>
          <w:p>
            <w:pPr>
              <w:pStyle w:val="Compact"/>
              <w:jc w:val="left"/>
            </w:pPr>
            <w:r>
              <w:t xml:space="preserve">Matriz de ponderación corregida</w:t>
            </w:r>
          </w:p>
        </w:tc>
      </w:tr>
      <w:tr>
        <w:tc>
          <w:tcPr/>
          <w:p>
            <w:pPr>
              <w:pStyle w:val="Compact"/>
              <w:jc w:val="left"/>
            </w:pPr>
            <w:r>
              <w:t xml:space="preserve">12</w:t>
            </w:r>
          </w:p>
        </w:tc>
        <w:tc>
          <w:tcPr/>
          <w:p>
            <w:pPr>
              <w:pStyle w:val="Compact"/>
              <w:jc w:val="left"/>
            </w:pPr>
            <w:r>
              <w:rPr>
                <w:bCs/>
                <w:b/>
              </w:rPr>
              <w:t xml:space="preserve">Actualizar umbrales PYMES</w:t>
            </w:r>
            <w:r>
              <w:t xml:space="preserve"> </w:t>
            </w:r>
            <w:r>
              <w:t xml:space="preserve">conforme Decreto 0287/2026</w:t>
            </w:r>
          </w:p>
        </w:tc>
        <w:tc>
          <w:tcPr/>
          <w:p>
            <w:pPr>
              <w:pStyle w:val="Compact"/>
              <w:jc w:val="left"/>
            </w:pPr>
            <w:r>
              <w:t xml:space="preserve">Metro Sabanas — Área Jurídica</w:t>
            </w:r>
          </w:p>
        </w:tc>
        <w:tc>
          <w:tcPr/>
          <w:p>
            <w:pPr>
              <w:pStyle w:val="Compact"/>
              <w:jc w:val="left"/>
            </w:pPr>
            <w:r>
              <w:t xml:space="preserve">Pliego con inclusión diferencial</w:t>
            </w:r>
          </w:p>
        </w:tc>
      </w:tr>
    </w:tbl>
    <w:bookmarkEnd w:id="55"/>
    <w:bookmarkStart w:id="56" w:name="a-largo-plazo-1-2-meses-validar-y-lanzar"/>
    <w:p>
      <w:pPr>
        <w:pStyle w:val="Heading3"/>
      </w:pPr>
      <w:r>
        <w:t xml:space="preserve">A LARGO PLAZO (1-2 meses) — Validar y lanzar</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jc w:val="left"/>
            </w:pPr>
            <w:r>
              <w:t xml:space="preserve">#</w:t>
            </w:r>
          </w:p>
        </w:tc>
        <w:tc>
          <w:tcPr/>
          <w:p>
            <w:pPr>
              <w:pStyle w:val="Compact"/>
              <w:jc w:val="left"/>
            </w:pPr>
            <w:r>
              <w:t xml:space="preserve">Acción</w:t>
            </w:r>
          </w:p>
        </w:tc>
        <w:tc>
          <w:tcPr/>
          <w:p>
            <w:pPr>
              <w:pStyle w:val="Compact"/>
              <w:jc w:val="left"/>
            </w:pPr>
            <w:r>
              <w:t xml:space="preserve">Responsable</w:t>
            </w:r>
          </w:p>
        </w:tc>
        <w:tc>
          <w:tcPr/>
          <w:p>
            <w:pPr>
              <w:pStyle w:val="Compact"/>
              <w:jc w:val="left"/>
            </w:pPr>
            <w:r>
              <w:t xml:space="preserve">Producto</w:t>
            </w:r>
          </w:p>
        </w:tc>
      </w:tr>
      <w:tr>
        <w:tc>
          <w:tcPr/>
          <w:p>
            <w:pPr>
              <w:pStyle w:val="Compact"/>
              <w:jc w:val="left"/>
            </w:pPr>
            <w:r>
              <w:t xml:space="preserve">13</w:t>
            </w:r>
          </w:p>
        </w:tc>
        <w:tc>
          <w:tcPr/>
          <w:p>
            <w:pPr>
              <w:pStyle w:val="Compact"/>
              <w:jc w:val="left"/>
            </w:pPr>
            <w:r>
              <w:rPr>
                <w:bCs/>
                <w:b/>
              </w:rPr>
              <w:t xml:space="preserve">Benchmarking con 3-5 entes gestores</w:t>
            </w:r>
            <w:r>
              <w:t xml:space="preserve"> </w:t>
            </w:r>
            <w:r>
              <w:t xml:space="preserve">nacionales sobre calidad y ponderación</w:t>
            </w:r>
          </w:p>
        </w:tc>
        <w:tc>
          <w:tcPr/>
          <w:p>
            <w:pPr>
              <w:pStyle w:val="Compact"/>
              <w:jc w:val="left"/>
            </w:pPr>
            <w:r>
              <w:t xml:space="preserve">INNOVADATACO</w:t>
            </w:r>
          </w:p>
        </w:tc>
        <w:tc>
          <w:tcPr/>
          <w:p>
            <w:pPr>
              <w:pStyle w:val="Compact"/>
              <w:jc w:val="left"/>
            </w:pPr>
            <w:r>
              <w:t xml:space="preserve">Informe benchmarking</w:t>
            </w:r>
          </w:p>
        </w:tc>
      </w:tr>
      <w:tr>
        <w:tc>
          <w:tcPr/>
          <w:p>
            <w:pPr>
              <w:pStyle w:val="Compact"/>
              <w:jc w:val="left"/>
            </w:pPr>
            <w:r>
              <w:t xml:space="preserve">14</w:t>
            </w:r>
          </w:p>
        </w:tc>
        <w:tc>
          <w:tcPr/>
          <w:p>
            <w:pPr>
              <w:pStyle w:val="Compact"/>
              <w:jc w:val="left"/>
            </w:pPr>
            <w:r>
              <w:rPr>
                <w:bCs/>
                <w:b/>
              </w:rPr>
              <w:t xml:space="preserve">Prepublicación del pliego corregido</w:t>
            </w:r>
            <w:r>
              <w:t xml:space="preserve"> </w:t>
            </w:r>
            <w:r>
              <w:t xml:space="preserve">para observaciones públicas</w:t>
            </w:r>
          </w:p>
        </w:tc>
        <w:tc>
          <w:tcPr/>
          <w:p>
            <w:pPr>
              <w:pStyle w:val="Compact"/>
              <w:jc w:val="left"/>
            </w:pPr>
            <w:r>
              <w:t xml:space="preserve">Metro Sabanas</w:t>
            </w:r>
          </w:p>
        </w:tc>
        <w:tc>
          <w:tcPr/>
          <w:p>
            <w:pPr>
              <w:pStyle w:val="Compact"/>
              <w:jc w:val="left"/>
            </w:pPr>
            <w:r>
              <w:t xml:space="preserve">Pliego prepublicado</w:t>
            </w:r>
          </w:p>
        </w:tc>
      </w:tr>
      <w:tr>
        <w:tc>
          <w:tcPr/>
          <w:p>
            <w:pPr>
              <w:pStyle w:val="Compact"/>
              <w:jc w:val="left"/>
            </w:pPr>
            <w:r>
              <w:t xml:space="preserve">15</w:t>
            </w:r>
          </w:p>
        </w:tc>
        <w:tc>
          <w:tcPr/>
          <w:p>
            <w:pPr>
              <w:pStyle w:val="Compact"/>
              <w:jc w:val="left"/>
            </w:pPr>
            <w:r>
              <w:rPr>
                <w:bCs/>
                <w:b/>
              </w:rPr>
              <w:t xml:space="preserve">Lanzar proceso de selección</w:t>
            </w:r>
            <w:r>
              <w:t xml:space="preserve"> </w:t>
            </w:r>
            <w:r>
              <w:t xml:space="preserve">con bases técnicas y económicas sólidas</w:t>
            </w:r>
          </w:p>
        </w:tc>
        <w:tc>
          <w:tcPr/>
          <w:p>
            <w:pPr>
              <w:pStyle w:val="Compact"/>
              <w:jc w:val="left"/>
            </w:pPr>
            <w:r>
              <w:t xml:space="preserve">Metro Sabanas</w:t>
            </w:r>
          </w:p>
        </w:tc>
        <w:tc>
          <w:tcPr/>
          <w:p>
            <w:pPr>
              <w:pStyle w:val="Compact"/>
              <w:jc w:val="left"/>
            </w:pPr>
            <w:r>
              <w:t xml:space="preserve">Proceso licitatorio formal</w:t>
            </w:r>
          </w:p>
        </w:tc>
      </w:tr>
    </w:tbl>
    <w:p>
      <w:r>
        <w:pict>
          <v:rect style="width:0;height:1.5pt" o:hralign="center" o:hrstd="t" o:hr="t"/>
        </w:pict>
      </w:r>
    </w:p>
    <w:bookmarkEnd w:id="56"/>
    <w:bookmarkEnd w:id="57"/>
    <w:bookmarkStart w:id="58" w:name="propuesta-de-valoración-innovadataco"/>
    <w:p>
      <w:pPr>
        <w:pStyle w:val="Heading2"/>
      </w:pPr>
      <w:r>
        <w:t xml:space="preserve">5. PROPUESTA DE VALORACIÓN INNOVADATACO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Servicio</w:t>
            </w:r>
          </w:p>
        </w:tc>
        <w:tc>
          <w:tcPr/>
          <w:p>
            <w:pPr>
              <w:pStyle w:val="Compact"/>
              <w:jc w:val="left"/>
            </w:pPr>
            <w:r>
              <w:t xml:space="preserve">Duración</w:t>
            </w:r>
          </w:p>
        </w:tc>
        <w:tc>
          <w:tcPr/>
          <w:p>
            <w:pPr>
              <w:pStyle w:val="Compact"/>
              <w:jc w:val="left"/>
            </w:pPr>
            <w:r>
              <w:t xml:space="preserve">Valor estimado</w:t>
            </w:r>
          </w:p>
        </w:tc>
      </w:tr>
      <w:tr>
        <w:tc>
          <w:tcPr/>
          <w:p>
            <w:pPr>
              <w:pStyle w:val="Compact"/>
              <w:jc w:val="left"/>
            </w:pPr>
            <w:r>
              <w:t xml:space="preserve">Auditoría técnica del proceso de adquisición (14 inquietudes)</w:t>
            </w:r>
          </w:p>
        </w:tc>
        <w:tc>
          <w:tcPr/>
          <w:p>
            <w:pPr>
              <w:pStyle w:val="Compact"/>
              <w:jc w:val="left"/>
            </w:pPr>
            <w:r>
              <w:t xml:space="preserve">1 semana</w:t>
            </w:r>
          </w:p>
        </w:tc>
        <w:tc>
          <w:tcPr/>
          <w:p>
            <w:pPr>
              <w:pStyle w:val="Compact"/>
              <w:jc w:val="left"/>
            </w:pPr>
            <w:r>
              <w:t xml:space="preserve">$15M COP</w:t>
            </w:r>
          </w:p>
        </w:tc>
      </w:tr>
      <w:tr>
        <w:tc>
          <w:tcPr/>
          <w:p>
            <w:pPr>
              <w:pStyle w:val="Compact"/>
              <w:jc w:val="left"/>
            </w:pPr>
            <w:r>
              <w:t xml:space="preserve">Estudio de mercado ITS formal (5+ cotizaciones desglosadas)</w:t>
            </w:r>
          </w:p>
        </w:tc>
        <w:tc>
          <w:tcPr/>
          <w:p>
            <w:pPr>
              <w:pStyle w:val="Compact"/>
              <w:jc w:val="left"/>
            </w:pPr>
            <w:r>
              <w:t xml:space="preserve">1 semana</w:t>
            </w:r>
          </w:p>
        </w:tc>
        <w:tc>
          <w:tcPr/>
          <w:p>
            <w:pPr>
              <w:pStyle w:val="Compact"/>
              <w:jc w:val="left"/>
            </w:pPr>
            <w:r>
              <w:t xml:space="preserve">$20M COP</w:t>
            </w:r>
          </w:p>
        </w:tc>
      </w:tr>
      <w:tr>
        <w:tc>
          <w:tcPr/>
          <w:p>
            <w:pPr>
              <w:pStyle w:val="Compact"/>
              <w:jc w:val="left"/>
            </w:pPr>
            <w:r>
              <w:t xml:space="preserve">Corrección anexos técnicos + arquitectura simplificada (CBT fase 1)</w:t>
            </w:r>
          </w:p>
        </w:tc>
        <w:tc>
          <w:tcPr/>
          <w:p>
            <w:pPr>
              <w:pStyle w:val="Compact"/>
              <w:jc w:val="left"/>
            </w:pPr>
            <w:r>
              <w:t xml:space="preserve">1 semana</w:t>
            </w:r>
          </w:p>
        </w:tc>
        <w:tc>
          <w:tcPr/>
          <w:p>
            <w:pPr>
              <w:pStyle w:val="Compact"/>
              <w:jc w:val="left"/>
            </w:pPr>
            <w:r>
              <w:t xml:space="preserve">$15M COP</w:t>
            </w:r>
          </w:p>
        </w:tc>
      </w:tr>
      <w:tr>
        <w:tc>
          <w:tcPr/>
          <w:p>
            <w:pPr>
              <w:pStyle w:val="Compact"/>
              <w:jc w:val="left"/>
            </w:pPr>
            <w:r>
              <w:t xml:space="preserve">Reestructuración pliego (ponderación, PYMES, separación proceso)</w:t>
            </w:r>
          </w:p>
        </w:tc>
        <w:tc>
          <w:tcPr/>
          <w:p>
            <w:pPr>
              <w:pStyle w:val="Compact"/>
              <w:jc w:val="left"/>
            </w:pPr>
            <w:r>
              <w:t xml:space="preserve">1 semana</w:t>
            </w:r>
          </w:p>
        </w:tc>
        <w:tc>
          <w:tcPr/>
          <w:p>
            <w:pPr>
              <w:pStyle w:val="Compact"/>
              <w:jc w:val="left"/>
            </w:pPr>
            <w:r>
              <w:t xml:space="preserve">$10M COP</w:t>
            </w:r>
          </w:p>
        </w:tc>
      </w:tr>
      <w:tr>
        <w:tc>
          <w:tcPr/>
          <w:p>
            <w:pPr>
              <w:pStyle w:val="Compact"/>
              <w:jc w:val="left"/>
            </w:pPr>
            <w:r>
              <w:rPr>
                <w:bCs/>
                <w:b/>
              </w:rPr>
              <w:t xml:space="preserve">Total asesoría corrección proceso</w:t>
            </w:r>
          </w:p>
        </w:tc>
        <w:tc>
          <w:tcPr/>
          <w:p>
            <w:pPr>
              <w:pStyle w:val="Compact"/>
              <w:jc w:val="left"/>
            </w:pPr>
            <w:r>
              <w:rPr>
                <w:bCs/>
                <w:b/>
              </w:rPr>
              <w:t xml:space="preserve">4 semanas</w:t>
            </w:r>
          </w:p>
        </w:tc>
        <w:tc>
          <w:tcPr/>
          <w:p>
            <w:pPr>
              <w:pStyle w:val="Compact"/>
              <w:jc w:val="left"/>
            </w:pPr>
            <w:r>
              <w:rPr>
                <w:bCs/>
                <w:b/>
              </w:rPr>
              <w:t xml:space="preserve">$60M COP</w:t>
            </w:r>
          </w:p>
        </w:tc>
      </w:tr>
    </w:tbl>
    <w:p>
      <w:pPr>
        <w:pStyle w:val="BodyText"/>
      </w:pPr>
      <w:r>
        <w:rPr>
          <w:iCs/>
          <w:i/>
        </w:rPr>
        <w:t xml:space="preserve">Nota: Valor referencial. Ajustable según alcance final y complejidad de negociación con oferentes.</w:t>
      </w:r>
    </w:p>
    <w:p>
      <w:r>
        <w:pict>
          <v:rect style="width:0;height:1.5pt" o:hralign="center" o:hrstd="t" o:hr="t"/>
        </w:pict>
      </w:r>
    </w:p>
    <w:p>
      <w:pPr>
        <w:pStyle w:val="FirstParagraph"/>
      </w:pPr>
      <w:r>
        <w:rPr>
          <w:iCs/>
          <w:i/>
        </w:rPr>
        <w:t xml:space="preserve">Documento elaborado por ZEUS — Innovadataco</w:t>
      </w:r>
      <w:r>
        <w:br/>
      </w:r>
      <w:r>
        <w:rPr>
          <w:iCs/>
          <w:i/>
        </w:rPr>
        <w:t xml:space="preserve">Responsable técnico: Jelkin Zair Carrillo Franco, CEO Estratégico</w:t>
      </w:r>
      <w:r>
        <w:br/>
      </w:r>
      <w:r>
        <w:rPr>
          <w:iCs/>
          <w:i/>
        </w:rPr>
        <w:t xml:space="preserve">Fecha: 30 de mayo de 2026</w:t>
      </w:r>
      <w:r>
        <w:br/>
      </w:r>
      <w:r>
        <w:rPr>
          <w:iCs/>
          <w:i/>
        </w:rPr>
        <w:t xml:space="preserve">Clasificación: CONFIDENCIAL — USO INTERNO</w:t>
      </w:r>
      <w:r>
        <w:br/>
      </w:r>
      <w:r>
        <w:rPr>
          <w:iCs/>
          <w:i/>
        </w:rPr>
        <w:t xml:space="preserve">Repositorio: Innovadataco/IDC_PROYECTOS/PROYECTO-004-2026-SETP-SINCELEJO</w:t>
      </w:r>
      <w:r>
        <w:br/>
      </w:r>
      <w:r>
        <w:rPr>
          <w:iCs/>
          <w:i/>
        </w:rPr>
        <w:t xml:space="preserve">Fuente: Observaciones al proceso de adquisición de flota + ITS, Metro Sabanas S.A.S., mayo 2026</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2026-05-30T06:28:56Z</dcterms:created>
  <dcterms:modified xsi:type="dcterms:W3CDTF">2026-05-30T06:28:56Z</dcterms:modified>
</cp:coreProperties>
</file>

<file path=docProps/custom.xml><?xml version="1.0" encoding="utf-8"?>
<Properties xmlns="http://schemas.openxmlformats.org/officeDocument/2006/custom-properties" xmlns:vt="http://schemas.openxmlformats.org/officeDocument/2006/docPropsVTypes"/>
</file>