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proyecto-004-2026-setp-sincelejo"/>
    <w:p>
      <w:pPr>
        <w:pStyle w:val="Heading1"/>
      </w:pPr>
      <w:r>
        <w:t xml:space="preserve">PROYECTO-004-2026-SETP-SINCELEJO</w:t>
      </w:r>
    </w:p>
    <w:bookmarkStart w:id="21" w:name="Xf0b3e68aaa181749100bf6ee189190ef26492da"/>
    <w:p>
      <w:pPr>
        <w:pStyle w:val="Heading2"/>
      </w:pPr>
      <w:r>
        <w:t xml:space="preserve">Documento 2: Inconsistencias, Hallazgos y Vacíos Técnicos</w:t>
      </w:r>
    </w:p>
    <w:bookmarkStart w:id="20" w:name="Xd6a52d096b6d8bf845d7d9dc95c839cd969f53a"/>
    <w:p>
      <w:pPr>
        <w:pStyle w:val="Heading3"/>
      </w:pPr>
      <w:r>
        <w:t xml:space="preserve">Análisis Crítico de la Documentación SETP Sincelejo — Componente Tecnológico ITS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Cliente:</w:t>
      </w:r>
      <w:r>
        <w:t xml:space="preserve"> </w:t>
      </w:r>
      <w:r>
        <w:t xml:space="preserve">METRO SABANAS S.A.S. / Sincelejo</w:t>
      </w:r>
      <w:r>
        <w:br/>
      </w:r>
      <w:r>
        <w:rPr>
          <w:bCs/>
          <w:b/>
        </w:rPr>
        <w:t xml:space="preserve">Consultor:</w:t>
      </w:r>
      <w:r>
        <w:t xml:space="preserve"> </w:t>
      </w:r>
      <w:r>
        <w:t xml:space="preserve">INNOVADATACO</w:t>
      </w:r>
      <w:r>
        <w:br/>
      </w:r>
      <w:r>
        <w:rPr>
          <w:bCs/>
          <w:b/>
        </w:rPr>
        <w:t xml:space="preserve">Clasificación:</w:t>
      </w:r>
      <w:r>
        <w:t xml:space="preserve"> </w:t>
      </w:r>
      <w:r>
        <w:t xml:space="preserve">CONFIDENCIAL — USO INTERNO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abla-de-contenido"/>
    <w:p>
      <w:pPr>
        <w:pStyle w:val="Heading2"/>
      </w:pPr>
      <w:r>
        <w:t xml:space="preserve">TABLA DE CONTENIDO</w:t>
      </w:r>
    </w:p>
    <w:p>
      <w:pPr>
        <w:numPr>
          <w:ilvl w:val="0"/>
          <w:numId w:val="1001"/>
        </w:numPr>
        <w:pStyle w:val="Compact"/>
      </w:pPr>
      <w:r>
        <w:t xml:space="preserve">Resumen Ejecutivo de Hallazgos</w:t>
      </w:r>
    </w:p>
    <w:p>
      <w:pPr>
        <w:numPr>
          <w:ilvl w:val="0"/>
          <w:numId w:val="1001"/>
        </w:numPr>
        <w:pStyle w:val="Compact"/>
      </w:pPr>
      <w:r>
        <w:t xml:space="preserve">Metodología de Análisis</w:t>
      </w:r>
    </w:p>
    <w:p>
      <w:pPr>
        <w:numPr>
          <w:ilvl w:val="0"/>
          <w:numId w:val="1001"/>
        </w:numPr>
        <w:pStyle w:val="Compact"/>
      </w:pPr>
      <w:r>
        <w:t xml:space="preserve">Inconsistencias Críticas</w:t>
      </w:r>
    </w:p>
    <w:p>
      <w:pPr>
        <w:numPr>
          <w:ilvl w:val="0"/>
          <w:numId w:val="1001"/>
        </w:numPr>
        <w:pStyle w:val="Compact"/>
      </w:pPr>
      <w:r>
        <w:t xml:space="preserve">Vacíos Estructurales</w:t>
      </w:r>
    </w:p>
    <w:p>
      <w:pPr>
        <w:numPr>
          <w:ilvl w:val="0"/>
          <w:numId w:val="1001"/>
        </w:numPr>
        <w:pStyle w:val="Compact"/>
      </w:pPr>
      <w:r>
        <w:t xml:space="preserve">Documentación Faltante</w:t>
      </w:r>
    </w:p>
    <w:p>
      <w:pPr>
        <w:numPr>
          <w:ilvl w:val="0"/>
          <w:numId w:val="1001"/>
        </w:numPr>
        <w:pStyle w:val="Compact"/>
      </w:pPr>
      <w:r>
        <w:t xml:space="preserve">Incongruencias de Flota</w:t>
      </w:r>
    </w:p>
    <w:p>
      <w:pPr>
        <w:numPr>
          <w:ilvl w:val="0"/>
          <w:numId w:val="1001"/>
        </w:numPr>
        <w:pStyle w:val="Compact"/>
      </w:pPr>
      <w:r>
        <w:t xml:space="preserve">Presupuesto ITS — Vacíos Detectados</w:t>
      </w:r>
    </w:p>
    <w:p>
      <w:pPr>
        <w:numPr>
          <w:ilvl w:val="0"/>
          <w:numId w:val="1001"/>
        </w:numPr>
        <w:pStyle w:val="Compact"/>
      </w:pPr>
      <w:r>
        <w:t xml:space="preserve">Riesgos por Hallazgos</w:t>
      </w:r>
    </w:p>
    <w:p>
      <w:pPr>
        <w:numPr>
          <w:ilvl w:val="0"/>
          <w:numId w:val="1001"/>
        </w:numPr>
        <w:pStyle w:val="Compact"/>
      </w:pPr>
      <w:r>
        <w:t xml:space="preserve">Recomendaciones de Remediación</w:t>
      </w:r>
    </w:p>
    <w:p>
      <w:pPr>
        <w:numPr>
          <w:ilvl w:val="0"/>
          <w:numId w:val="1001"/>
        </w:numPr>
        <w:pStyle w:val="Compact"/>
      </w:pPr>
      <w:r>
        <w:t xml:space="preserve">Matriz de Seguimiento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jecutivo-de-hallazgos"/>
    <w:p>
      <w:pPr>
        <w:pStyle w:val="Heading2"/>
      </w:pPr>
      <w:r>
        <w:t xml:space="preserve">1. RESUMEN EJECUTIVO DE HALLAZGOS</w:t>
      </w:r>
    </w:p>
    <w:p>
      <w:pPr>
        <w:pStyle w:val="FirstParagraph"/>
      </w:pPr>
      <w:r>
        <w:t xml:space="preserve">Tras revisión exhaustiva de la documentación del SETP Sincelejo (incluyendo entregables 5-8, antecedentes, RFI 2025, MS-130-2025, RFI Autobuses 2022, y presupuesto ITS), se han identificado</w:t>
      </w:r>
      <w:r>
        <w:t xml:space="preserve"> </w:t>
      </w:r>
      <w:r>
        <w:rPr>
          <w:bCs/>
          <w:b/>
        </w:rPr>
        <w:t xml:space="preserve">37 hallazgos críticos</w:t>
      </w:r>
      <w:r>
        <w:t xml:space="preserve"> </w:t>
      </w:r>
      <w:r>
        <w:t xml:space="preserve">clasificados 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Inconsistencias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Bloqueantes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Vacíos estructurales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Mayores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faltante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Mayores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Incongruencias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Bloqueantes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Presupuesto en 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Bloqueantes</w:t>
            </w:r>
          </w:p>
        </w:tc>
      </w:tr>
    </w:tbl>
    <w:p>
      <w:pPr>
        <w:pStyle w:val="BodyText"/>
      </w:pPr>
      <w:r>
        <w:rPr>
          <w:bCs/>
          <w:b/>
        </w:rPr>
        <w:t xml:space="preserve">Hallazgo más crítico:</w:t>
      </w:r>
      <w:r>
        <w:t xml:space="preserve"> </w:t>
      </w:r>
      <w:r>
        <w:t xml:space="preserve">El Excel de presupuesto ITS de METRO SABANAS tiene</w:t>
      </w:r>
      <w:r>
        <w:t xml:space="preserve"> </w:t>
      </w:r>
      <w:r>
        <w:rPr>
          <w:bCs/>
          <w:b/>
        </w:rPr>
        <w:t xml:space="preserve">TODOS los valores unitarios en $0</w:t>
      </w:r>
      <w:r>
        <w:t xml:space="preserve">, haciendo imposible cualquier análisis financiero del componente tecnológico.</w:t>
      </w:r>
    </w:p>
    <w:p>
      <w:r>
        <w:pict>
          <v:rect style="width:0;height:1.5pt" o:hralign="center" o:hrstd="t" o:hr="t"/>
        </w:pict>
      </w:r>
    </w:p>
    <w:bookmarkEnd w:id="23"/>
    <w:bookmarkStart w:id="26" w:name="metodología-de-análisis"/>
    <w:p>
      <w:pPr>
        <w:pStyle w:val="Heading2"/>
      </w:pPr>
      <w:r>
        <w:t xml:space="preserve">2. METODOLOGÍA DE ANÁLISIS</w:t>
      </w:r>
    </w:p>
    <w:bookmarkStart w:id="24" w:name="documentos-revisados"/>
    <w:p>
      <w:pPr>
        <w:pStyle w:val="Heading3"/>
      </w:pPr>
      <w:r>
        <w:t xml:space="preserve">Documentos Revisados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5 — 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Tecnología mencionada sin profundidad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6 — Informe Definitivo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descrito superficialmente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7 — Estructuración Financiera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desagrega componente 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8 — Modelo Financiero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Valores en 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— Estudios previos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buses, sin ITS detallado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MS-130-2025 — Justificación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buses, ITS no mencionado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 2025 — Solicitud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buses,</w:t>
            </w:r>
            <w:r>
              <w:t xml:space="preserve"> </w:t>
            </w:r>
            <w:r>
              <w:t xml:space="preserve">“</w:t>
            </w:r>
            <w:r>
              <w:t xml:space="preserve">cloud-first</w:t>
            </w:r>
            <w:r>
              <w:t xml:space="preserve">”</w:t>
            </w:r>
            <w:r>
              <w:t xml:space="preserve">, sin detalle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 Autobuses oct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especificaciones vehiculares,</w:t>
            </w:r>
            <w:r>
              <w:t xml:space="preserve"> </w:t>
            </w:r>
            <w:r>
              <w:rPr>
                <w:bCs/>
                <w:b/>
              </w:rPr>
              <w:t xml:space="preserve">sin ITS embarcado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ITS MetroSabanas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Plantilla vacía, $0 en todos los campos</w:t>
            </w:r>
          </w:p>
        </w:tc>
      </w:tr>
    </w:tbl>
    <w:bookmarkEnd w:id="24"/>
    <w:bookmarkStart w:id="25" w:name="criterios-de-evaluación"/>
    <w:p>
      <w:pPr>
        <w:pStyle w:val="Heading3"/>
      </w:pPr>
      <w:r>
        <w:t xml:space="preserve">Criterios de Evaluación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Completitud:</w:t>
      </w:r>
      <w:r>
        <w:t xml:space="preserve"> </w:t>
      </w:r>
      <w:r>
        <w:t xml:space="preserve">¿La documentación cubre todo el componente ITS?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Consistencia:</w:t>
      </w:r>
      <w:r>
        <w:t xml:space="preserve"> </w:t>
      </w:r>
      <w:r>
        <w:t xml:space="preserve">¿Los números coinciden entre documentos?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Profundidad técnica:</w:t>
      </w:r>
      <w:r>
        <w:t xml:space="preserve"> </w:t>
      </w:r>
      <w:r>
        <w:t xml:space="preserve">¿Hay especificaciones detalladas?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Ejecutividad:</w:t>
      </w:r>
      <w:r>
        <w:t xml:space="preserve"> </w:t>
      </w:r>
      <w:r>
        <w:t xml:space="preserve">¿Se puede licitar/implementar con esta información?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inconsistencias-críticas-bloqueantes"/>
    <w:p>
      <w:pPr>
        <w:pStyle w:val="Heading2"/>
      </w:pPr>
      <w:r>
        <w:t xml:space="preserve">3. INCONSISTENCIAS CRÍTICAS (🔴 BLOQUEANTES)</w:t>
      </w:r>
    </w:p>
    <w:bookmarkStart w:id="27" w:name="Xa0d4397f959a8e9c8a8505d548119ddd96c0010"/>
    <w:p>
      <w:pPr>
        <w:pStyle w:val="Heading3"/>
      </w:pPr>
      <w:r>
        <w:t xml:space="preserve">IC-01: Incongruencia de Flota — 34 vs 46 vs 75 Buses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Estudios previos 2023 (ANTECEDENTES)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microbuses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1, presupuesto máximo $3.793.756.953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MS-130-2025 (Oficial actual)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buses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reducido, 5 rutas, 7.670 pax/día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RFI 2025 (Solicitud internacional)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buses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cloud-first</w:t>
            </w:r>
            <w:r>
              <w:t xml:space="preserve">”</w:t>
            </w:r>
            <w:r>
              <w:t xml:space="preserve">, APIs modernas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Problema:</w:t>
      </w:r>
      <w:r>
        <w:t xml:space="preserve"> </w:t>
      </w:r>
      <w:r>
        <w:t xml:space="preserve">¿El componente ITS se diseña para 34, 46, o 75 buses? Cada escenario implica:</w:t>
      </w:r>
      <w:r>
        <w:t xml:space="preserve"> </w:t>
      </w:r>
      <w:r>
        <w:t xml:space="preserve">- Diferente cantidad de equipamiento a bordo</w:t>
      </w:r>
      <w:r>
        <w:t xml:space="preserve"> </w:t>
      </w:r>
      <w:r>
        <w:t xml:space="preserve">- Diferente capacidad de servidores CCO</w:t>
      </w:r>
      <w:r>
        <w:t xml:space="preserve"> </w:t>
      </w:r>
      <w:r>
        <w:t xml:space="preserve">- Diferente ancho de banda</w:t>
      </w:r>
      <w:r>
        <w:t xml:space="preserve"> </w:t>
      </w:r>
      <w:r>
        <w:t xml:space="preserve">- Diferente inversión total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No se puede dimensionar la arquitectura ITS sin definir la flota objetivo.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METRO SABANAS debe definir flota definitiva antes de cualquier diseño técnico.</w:t>
      </w:r>
    </w:p>
    <w:p>
      <w:r>
        <w:pict>
          <v:rect style="width:0;height:1.5pt" o:hralign="center" o:hrstd="t" o:hr="t"/>
        </w:pict>
      </w:r>
    </w:p>
    <w:bookmarkEnd w:id="27"/>
    <w:bookmarkStart w:id="28" w:name="X72056161057b070420cea6eeab0cac380462b3f"/>
    <w:p>
      <w:pPr>
        <w:pStyle w:val="Heading3"/>
      </w:pPr>
      <w:r>
        <w:t xml:space="preserve">IC-02: Presupuesto ITS — Todos los Valores en $0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rPr>
          <w:rStyle w:val="VerbatimChar"/>
        </w:rPr>
        <w:t xml:space="preserve">presupuesto_ITS_MetroSabanas.xlsx</w:t>
      </w:r>
      <w:r>
        <w:t xml:space="preserve"> </w:t>
      </w:r>
      <w:r>
        <w:t xml:space="preserve">(extraído de carpeta ANTECEDENTES)</w:t>
      </w:r>
    </w:p>
    <w:p>
      <w:pPr>
        <w:pStyle w:val="BodyText"/>
      </w:pPr>
      <w:r>
        <w:rPr>
          <w:bCs/>
          <w:b/>
        </w:rPr>
        <w:t xml:space="preserve">Hallazgo:</w:t>
      </w:r>
      <w:r>
        <w:t xml:space="preserve"> </w:t>
      </w:r>
      <w:r>
        <w:t xml:space="preserve">La plantilla contiene:</w:t>
      </w:r>
      <w:r>
        <w:t xml:space="preserve"> </w:t>
      </w:r>
      <w:r>
        <w:t xml:space="preserve">- ✅ Columnas de componentes (descripción, cantidad, unidad)</w:t>
      </w:r>
      <w:r>
        <w:t xml:space="preserve"> </w:t>
      </w:r>
      <w:r>
        <w:t xml:space="preserve">- ✅ Estructura por categorías (SRC, SGCF, SIU, SST)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TODOS los campos de valor unitario están en $0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TODOS los campos de valor total están en $0</w:t>
      </w:r>
    </w:p>
    <w:p>
      <w:pPr>
        <w:pStyle w:val="BodyText"/>
      </w:pPr>
      <w:r>
        <w:rPr>
          <w:bCs/>
          <w:b/>
        </w:rPr>
        <w:t xml:space="preserve">Evidencia:</w:t>
      </w:r>
    </w:p>
    <w:p>
      <w:pPr>
        <w:pStyle w:val="SourceCode"/>
      </w:pPr>
      <w:r>
        <w:rPr>
          <w:rStyle w:val="VerbatimChar"/>
        </w:rPr>
        <w:t xml:space="preserve">Componente          | Cantidad | Unidad | V.Unitario | V.Total</w:t>
      </w:r>
      <w:r>
        <w:br/>
      </w:r>
      <w:r>
        <w:rPr>
          <w:rStyle w:val="VerbatimChar"/>
        </w:rPr>
        <w:t xml:space="preserve">GPS Tracker Bus     | 34       | Und    | $0         | $0</w:t>
      </w:r>
      <w:r>
        <w:br/>
      </w:r>
      <w:r>
        <w:rPr>
          <w:rStyle w:val="VerbatimChar"/>
        </w:rPr>
        <w:t xml:space="preserve">Validador NFC       | 68       | Und    | $0         | $0</w:t>
      </w:r>
      <w:r>
        <w:br/>
      </w:r>
      <w:r>
        <w:rPr>
          <w:rStyle w:val="VerbatimChar"/>
        </w:rPr>
        <w:t xml:space="preserve">Pantalla LED Paradero| 40      | Und    | $0         | $0</w:t>
      </w:r>
      <w:r>
        <w:br/>
      </w:r>
      <w:r>
        <w:rPr>
          <w:rStyle w:val="VerbatimChar"/>
        </w:rPr>
        <w:t xml:space="preserve">Router 4G Bus       | 34       | Und    | $0         | $0</w:t>
      </w:r>
      <w:r>
        <w:br/>
      </w:r>
      <w:r>
        <w:rPr>
          <w:rStyle w:val="VerbatimChar"/>
        </w:rPr>
        <w:t xml:space="preserve">CCTV Interior Bus   | 136      | Und    | $0         | $0</w:t>
      </w:r>
      <w:r>
        <w:br/>
      </w:r>
      <w:r>
        <w:rPr>
          <w:rStyle w:val="VerbatimChar"/>
        </w:rPr>
        <w:t xml:space="preserve">Botón Pánico        | 68       | Und    | $0         | $0</w:t>
      </w:r>
      <w:r>
        <w:br/>
      </w:r>
      <w:r>
        <w:rPr>
          <w:rStyle w:val="VerbatimChar"/>
        </w:rPr>
        <w:t xml:space="preserve">... (TODOS $0)</w:t>
      </w:r>
    </w:p>
    <w:p>
      <w:pPr>
        <w:pStyle w:val="FirstParagraph"/>
      </w:pPr>
      <w:r>
        <w:rPr>
          <w:bCs/>
          <w:b/>
        </w:rPr>
        <w:t xml:space="preserve">Impacto:</w:t>
      </w:r>
      <w:r>
        <w:t xml:space="preserve"> </w:t>
      </w:r>
      <w:r>
        <w:t xml:space="preserve">Imposible:</w:t>
      </w:r>
      <w:r>
        <w:t xml:space="preserve"> </w:t>
      </w:r>
      <w:r>
        <w:t xml:space="preserve">- Estimar inversión total del componente ITS</w:t>
      </w:r>
      <w:r>
        <w:t xml:space="preserve"> </w:t>
      </w:r>
      <w:r>
        <w:t xml:space="preserve">- Comparar proveedores</w:t>
      </w:r>
      <w:r>
        <w:t xml:space="preserve"> </w:t>
      </w:r>
      <w:r>
        <w:t xml:space="preserve">- Construir modelo financiero</w:t>
      </w:r>
      <w:r>
        <w:t xml:space="preserve"> </w:t>
      </w:r>
      <w:r>
        <w:t xml:space="preserve">- Presentar a inversionistas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Diligenciar con valores de mercado o contratar estudio de precios.</w:t>
      </w:r>
    </w:p>
    <w:p>
      <w:r>
        <w:pict>
          <v:rect style="width:0;height:1.5pt" o:hralign="center" o:hrstd="t" o:hr="t"/>
        </w:pict>
      </w:r>
    </w:p>
    <w:bookmarkEnd w:id="28"/>
    <w:bookmarkStart w:id="29" w:name="X26cbe1beed79c90b7c29ec2096c21e7983d45b1"/>
    <w:p>
      <w:pPr>
        <w:pStyle w:val="Heading3"/>
      </w:pPr>
      <w:r>
        <w:t xml:space="preserve">IC-03: RFI 2025 Menciona 75 Buses Pero Sin Detalle Técnico ITS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RFI 2025</w:t>
      </w:r>
    </w:p>
    <w:p>
      <w:pPr>
        <w:pStyle w:val="BodyText"/>
      </w:pPr>
      <w:r>
        <w:rPr>
          <w:bCs/>
          <w:b/>
        </w:rPr>
        <w:t xml:space="preserve">Hallazgo:</w:t>
      </w:r>
      <w:r>
        <w:t xml:space="preserve"> </w:t>
      </w:r>
      <w:r>
        <w:t xml:space="preserve">El RFI solicita información de</w:t>
      </w:r>
      <w:r>
        <w:t xml:space="preserve"> </w:t>
      </w:r>
      <w:r>
        <w:t xml:space="preserve">“</w:t>
      </w:r>
      <w:r>
        <w:t xml:space="preserve">75 buses con tecnología cloud-first y APIs modernas</w:t>
      </w:r>
      <w:r>
        <w:t xml:space="preserve">”</w:t>
      </w:r>
      <w:r>
        <w:t xml:space="preserve"> </w:t>
      </w:r>
      <w:r>
        <w:t xml:space="preserve">pero:</w:t>
      </w:r>
      <w:r>
        <w:t xml:space="preserve"> </w:t>
      </w:r>
      <w:r>
        <w:t xml:space="preserve">- No especifica qué tecnología ITS se requiere</w:t>
      </w:r>
      <w:r>
        <w:t xml:space="preserve"> </w:t>
      </w:r>
      <w:r>
        <w:t xml:space="preserve">- No define estándares de conectividad</w:t>
      </w:r>
      <w:r>
        <w:t xml:space="preserve"> </w:t>
      </w:r>
      <w:r>
        <w:t xml:space="preserve">- No menciona CCTV, validadores, o sistemas de recaudo</w:t>
      </w:r>
      <w:r>
        <w:t xml:space="preserve"> </w:t>
      </w:r>
      <w:r>
        <w:t xml:space="preserve">- No establece requisitos de ciberseguridad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Proveedores no pueden cotizar sin especificaciones técnicas.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Complementar RFI con Especificaciones Técnicas Particulares (ETP) del componente ITS.</w:t>
      </w:r>
    </w:p>
    <w:p>
      <w:r>
        <w:pict>
          <v:rect style="width:0;height:1.5pt" o:hralign="center" o:hrstd="t" o:hr="t"/>
        </w:pict>
      </w:r>
    </w:p>
    <w:bookmarkEnd w:id="29"/>
    <w:bookmarkStart w:id="30" w:name="Xe4ca0b5ef7617a55520720f3ad39c992a79db20"/>
    <w:p>
      <w:pPr>
        <w:pStyle w:val="Heading3"/>
      </w:pPr>
      <w:r>
        <w:t xml:space="preserve">IC-04: RFI Autobuses 2022 Solo Especifica Vehículo, No Tecnología</w:t>
      </w:r>
    </w:p>
    <w:p>
      <w:pPr>
        <w:pStyle w:val="FirstParagraph"/>
      </w:pPr>
      <w:r>
        <w:rPr>
          <w:bCs/>
          <w:b/>
        </w:rPr>
        <w:t xml:space="preserve">Documento:</w:t>
      </w:r>
      <w:r>
        <w:t xml:space="preserve"> </w:t>
      </w:r>
      <w:r>
        <w:t xml:space="preserve">RFI Autobuses octubre 2022</w:t>
      </w:r>
    </w:p>
    <w:p>
      <w:pPr>
        <w:pStyle w:val="BodyText"/>
      </w:pPr>
      <w:r>
        <w:rPr>
          <w:bCs/>
          <w:b/>
        </w:rPr>
        <w:t xml:space="preserve">Hallazgo:</w:t>
      </w:r>
      <w:r>
        <w:t xml:space="preserve"> </w:t>
      </w:r>
      <w:r>
        <w:t xml:space="preserve">El documento detalla exhaustivamente:</w:t>
      </w:r>
      <w:r>
        <w:t xml:space="preserve"> </w:t>
      </w:r>
      <w:r>
        <w:t xml:space="preserve">- Motor Euro VI / GNV / Eléctrico</w:t>
      </w:r>
      <w:r>
        <w:t xml:space="preserve"> </w:t>
      </w:r>
      <w:r>
        <w:t xml:space="preserve">- Dimensiones, capacidad, accesibilidad PMR</w:t>
      </w:r>
      <w:r>
        <w:t xml:space="preserve"> </w:t>
      </w:r>
      <w:r>
        <w:t xml:space="preserve">- Autonomía, consumo</w:t>
      </w:r>
    </w:p>
    <w:p>
      <w:pPr>
        <w:pStyle w:val="BodyText"/>
      </w:pPr>
      <w:r>
        <w:rPr>
          <w:bCs/>
          <w:b/>
        </w:rPr>
        <w:t xml:space="preserve">Pero NO menciona:</w:t>
      </w:r>
      <w:r>
        <w:t xml:space="preserve"> </w:t>
      </w:r>
      <w:r>
        <w:t xml:space="preserve">- GPS / rastreo</w:t>
      </w:r>
      <w:r>
        <w:t xml:space="preserve"> </w:t>
      </w:r>
      <w:r>
        <w:t xml:space="preserve">- Validadores de pasajeros</w:t>
      </w:r>
      <w:r>
        <w:t xml:space="preserve"> </w:t>
      </w:r>
      <w:r>
        <w:t xml:space="preserve">- Pantallas de información</w:t>
      </w:r>
      <w:r>
        <w:t xml:space="preserve"> </w:t>
      </w:r>
      <w:r>
        <w:t xml:space="preserve">- CCTV</w:t>
      </w:r>
      <w:r>
        <w:t xml:space="preserve"> </w:t>
      </w:r>
      <w:r>
        <w:t xml:space="preserve">- Conectividad 4G/5G</w:t>
      </w:r>
      <w:r>
        <w:t xml:space="preserve"> </w:t>
      </w:r>
      <w:r>
        <w:t xml:space="preserve">- Botón de pánico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Los buses podrían entregarse sin preparación eléctrica ni mecánica para instalar ITS.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Emitir adenda al RFI de buses incluyendo especificaciones de preparación para ITS.</w:t>
      </w:r>
    </w:p>
    <w:p>
      <w:r>
        <w:pict>
          <v:rect style="width:0;height:1.5pt" o:hralign="center" o:hrstd="t" o:hr="t"/>
        </w:pict>
      </w:r>
    </w:p>
    <w:bookmarkEnd w:id="30"/>
    <w:bookmarkStart w:id="31" w:name="Xdd9583fb387179f0f9279087476e9662b4bc860"/>
    <w:p>
      <w:pPr>
        <w:pStyle w:val="Heading3"/>
      </w:pPr>
      <w:r>
        <w:t xml:space="preserve">IC-05: No Se Define Medio de Pago Ni Tarifa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Ningún documento define:</w:t>
      </w:r>
      <w:r>
        <w:t xml:space="preserve"> </w:t>
      </w:r>
      <w:r>
        <w:t xml:space="preserve">- ¿Efectivo, tarjeta, o ambos?</w:t>
      </w:r>
      <w:r>
        <w:t xml:space="preserve"> </w:t>
      </w:r>
      <w:r>
        <w:t xml:space="preserve">- ¿Tarifa plana o por zonas?</w:t>
      </w:r>
      <w:r>
        <w:t xml:space="preserve"> </w:t>
      </w:r>
      <w:r>
        <w:t xml:space="preserve">- ¿Tarjeta propia o interoperable nacional?</w:t>
      </w:r>
      <w:r>
        <w:t xml:space="preserve"> </w:t>
      </w:r>
      <w:r>
        <w:t xml:space="preserve">- ¿Sistema de recarga?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No se puede diseñar el SGCF sin conocer el modelo de pago.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Definir modelo tarifario y de pago antes de diseñar sistema de recaudo.</w:t>
      </w:r>
    </w:p>
    <w:p>
      <w:r>
        <w:pict>
          <v:rect style="width:0;height:1.5pt" o:hralign="center" o:hrstd="t" o:hr="t"/>
        </w:pict>
      </w:r>
    </w:p>
    <w:bookmarkEnd w:id="31"/>
    <w:bookmarkStart w:id="32" w:name="ic-06-no-se-define-ubicación-del-cco"/>
    <w:p>
      <w:pPr>
        <w:pStyle w:val="Heading3"/>
      </w:pPr>
      <w:r>
        <w:t xml:space="preserve">IC-06: No Se Define Ubicación del CCO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Ningún documento especifica:</w:t>
      </w:r>
      <w:r>
        <w:t xml:space="preserve"> </w:t>
      </w:r>
      <w:r>
        <w:t xml:space="preserve">- Dirección del Centro de Control</w:t>
      </w:r>
      <w:r>
        <w:t xml:space="preserve"> </w:t>
      </w:r>
      <w:r>
        <w:t xml:space="preserve">- Dimensiones mínimas</w:t>
      </w:r>
      <w:r>
        <w:t xml:space="preserve"> </w:t>
      </w:r>
      <w:r>
        <w:t xml:space="preserve">- Requerimientos eléctricos</w:t>
      </w:r>
      <w:r>
        <w:t xml:space="preserve"> </w:t>
      </w:r>
      <w:r>
        <w:t xml:space="preserve">- Conectividad disponible en ubicación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No se puede diseñar infraestructura CCO ni estimar costos.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Definir ubicación CCO y realizar visita técnica.</w:t>
      </w:r>
    </w:p>
    <w:p>
      <w:r>
        <w:pict>
          <v:rect style="width:0;height:1.5pt" o:hralign="center" o:hrstd="t" o:hr="t"/>
        </w:pict>
      </w:r>
    </w:p>
    <w:bookmarkEnd w:id="32"/>
    <w:bookmarkStart w:id="33" w:name="ic-07-no-se-define-cantidad-de-paraderos"/>
    <w:p>
      <w:pPr>
        <w:pStyle w:val="Heading3"/>
      </w:pPr>
      <w:r>
        <w:t xml:space="preserve">IC-07: No Se Define Cantidad de Paraderos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Ningún documento establece:</w:t>
      </w:r>
      <w:r>
        <w:t xml:space="preserve"> </w:t>
      </w:r>
      <w:r>
        <w:t xml:space="preserve">- Número exacto de paraderos</w:t>
      </w:r>
      <w:r>
        <w:t xml:space="preserve"> </w:t>
      </w:r>
      <w:r>
        <w:t xml:space="preserve">- Tipología (básico, intermedio, terminal)</w:t>
      </w:r>
      <w:r>
        <w:t xml:space="preserve"> </w:t>
      </w:r>
      <w:r>
        <w:t xml:space="preserve">- Ubicaciones específicas</w:t>
      </w:r>
      <w:r>
        <w:t xml:space="preserve"> </w:t>
      </w:r>
      <w:r>
        <w:t xml:space="preserve">- Equipamiento por tipo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No se puede dimensionar sistema de información a usuarios ni estimar inversión.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Realizar estudio de demanda y ubicación de paraderos.</w:t>
      </w:r>
    </w:p>
    <w:p>
      <w:r>
        <w:pict>
          <v:rect style="width:0;height:1.5pt" o:hralign="center" o:hrstd="t" o:hr="t"/>
        </w:pict>
      </w:r>
    </w:p>
    <w:bookmarkEnd w:id="33"/>
    <w:bookmarkStart w:id="34" w:name="X2fee67b080c004b2ab9cd77c7a89a820b4302ef"/>
    <w:p>
      <w:pPr>
        <w:pStyle w:val="Heading3"/>
      </w:pPr>
      <w:r>
        <w:t xml:space="preserve">IC-08: No Se Menciona Ciberseguridad en Ningún Documento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Revisados 9 documentos principales:</w:t>
      </w:r>
      <w:r>
        <w:t xml:space="preserve"> </w:t>
      </w:r>
      <w:r>
        <w:t xml:space="preserve">- Ninguno menciona ciberseguridad ITS</w:t>
      </w:r>
      <w:r>
        <w:t xml:space="preserve"> </w:t>
      </w:r>
      <w:r>
        <w:t xml:space="preserve">- Ninguno menciona protección de datos de recaudo</w:t>
      </w:r>
      <w:r>
        <w:t xml:space="preserve"> </w:t>
      </w:r>
      <w:r>
        <w:t xml:space="preserve">- Ninguno menciona cumplimiento Ley 1581/2012</w:t>
      </w:r>
      <w:r>
        <w:t xml:space="preserve"> </w:t>
      </w:r>
      <w:r>
        <w:t xml:space="preserve">- Ninguno menciona estándares ISO 27001 o IEC 62443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El sistema podría operar sin protección adecuada, exponiendo:</w:t>
      </w:r>
      <w:r>
        <w:t xml:space="preserve"> </w:t>
      </w:r>
      <w:r>
        <w:t xml:space="preserve">- Datos financieros de pasajeros</w:t>
      </w:r>
      <w:r>
        <w:t xml:space="preserve"> </w:t>
      </w:r>
      <w:r>
        <w:t xml:space="preserve">- Información operativa estratégica</w:t>
      </w:r>
      <w:r>
        <w:t xml:space="preserve"> </w:t>
      </w:r>
      <w:r>
        <w:t xml:space="preserve">- Sistema a ataques ransomware</w:t>
      </w:r>
    </w:p>
    <w:p>
      <w:pPr>
        <w:pStyle w:val="BodyText"/>
      </w:pPr>
      <w:r>
        <w:rPr>
          <w:bCs/>
          <w:b/>
        </w:rPr>
        <w:t xml:space="preserve">Recomendación:</w:t>
      </w:r>
      <w:r>
        <w:t xml:space="preserve"> </w:t>
      </w:r>
      <w:r>
        <w:t xml:space="preserve">Incluir capítulo de ciberseguridad en todos los documentos técnicos.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8" w:name="vacíos-estructurales-mayores"/>
    <w:p>
      <w:pPr>
        <w:pStyle w:val="Heading2"/>
      </w:pPr>
      <w:r>
        <w:t xml:space="preserve">4. VACÍOS ESTRUCTURALES (🟡 MAYORES)</w:t>
      </w:r>
    </w:p>
    <w:bookmarkStart w:id="36" w:name="ve-01-sin-arquitectura-its-definida"/>
    <w:p>
      <w:pPr>
        <w:pStyle w:val="Heading3"/>
      </w:pPr>
      <w:r>
        <w:t xml:space="preserve">VE-01: Sin Arquitectura ITS Definida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existe documento que defina:</w:t>
      </w:r>
      <w:r>
        <w:t xml:space="preserve"> </w:t>
      </w:r>
      <w:r>
        <w:t xml:space="preserve">- Arquitectura de referencia (4 niveles)</w:t>
      </w:r>
      <w:r>
        <w:t xml:space="preserve"> </w:t>
      </w:r>
      <w:r>
        <w:t xml:space="preserve">- Subsistemas integrados</w:t>
      </w:r>
      <w:r>
        <w:t xml:space="preserve"> </w:t>
      </w:r>
      <w:r>
        <w:t xml:space="preserve">- Flujos de información</w:t>
      </w:r>
      <w:r>
        <w:t xml:space="preserve"> </w:t>
      </w:r>
      <w:r>
        <w:t xml:space="preserve">- Interfaces entre sistemas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Riesgo de crear silos tecnológicos incompatibles.</w:t>
      </w:r>
    </w:p>
    <w:p>
      <w:r>
        <w:pict>
          <v:rect style="width:0;height:1.5pt" o:hralign="center" o:hrstd="t" o:hr="t"/>
        </w:pict>
      </w:r>
    </w:p>
    <w:bookmarkEnd w:id="36"/>
    <w:bookmarkStart w:id="37" w:name="ve-02-sin-concepto-de-operación-its"/>
    <w:p>
      <w:pPr>
        <w:pStyle w:val="Heading3"/>
      </w:pPr>
      <w:r>
        <w:t xml:space="preserve">VE-02: Sin Concepto de Operación ITS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hay documento que describa:</w:t>
      </w:r>
      <w:r>
        <w:t xml:space="preserve"> </w:t>
      </w:r>
      <w:r>
        <w:t xml:space="preserve">- Cómo opera el CCO 24/7</w:t>
      </w:r>
      <w:r>
        <w:t xml:space="preserve"> </w:t>
      </w:r>
      <w:r>
        <w:t xml:space="preserve">- Protocolos ante incidentes</w:t>
      </w:r>
      <w:r>
        <w:t xml:space="preserve"> </w:t>
      </w:r>
      <w:r>
        <w:t xml:space="preserve">- Turnos de operadores</w:t>
      </w:r>
      <w:r>
        <w:t xml:space="preserve"> </w:t>
      </w:r>
      <w:r>
        <w:t xml:space="preserve">- Flujo de información en emergencias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El sistema podría no ser operable adecuadamente.</w:t>
      </w:r>
    </w:p>
    <w:p>
      <w:r>
        <w:pict>
          <v:rect style="width:0;height:1.5pt" o:hralign="center" o:hrstd="t" o:hr="t"/>
        </w:pict>
      </w:r>
    </w:p>
    <w:bookmarkEnd w:id="37"/>
    <w:bookmarkStart w:id="38" w:name="X3a73773d8c4ebeb089362ae99f640be1c484f25"/>
    <w:p>
      <w:pPr>
        <w:pStyle w:val="Heading3"/>
      </w:pPr>
      <w:r>
        <w:t xml:space="preserve">VE-03: Sin Especificaciones de Equipamiento a Bordo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existen fichas técnicas de:</w:t>
      </w:r>
      <w:r>
        <w:t xml:space="preserve"> </w:t>
      </w:r>
      <w:r>
        <w:t xml:space="preserve">- GPS tracker</w:t>
      </w:r>
      <w:r>
        <w:t xml:space="preserve"> </w:t>
      </w:r>
      <w:r>
        <w:t xml:space="preserve">- Validador NFC</w:t>
      </w:r>
      <w:r>
        <w:t xml:space="preserve"> </w:t>
      </w:r>
      <w:r>
        <w:t xml:space="preserve">- Pantalla interior bus</w:t>
      </w:r>
      <w:r>
        <w:t xml:space="preserve"> </w:t>
      </w:r>
      <w:r>
        <w:t xml:space="preserve">- Cámaras CCTV</w:t>
      </w:r>
      <w:r>
        <w:t xml:space="preserve"> </w:t>
      </w:r>
      <w:r>
        <w:t xml:space="preserve">- Router 4G/5G</w:t>
      </w:r>
      <w:r>
        <w:t xml:space="preserve"> </w:t>
      </w:r>
      <w:r>
        <w:t xml:space="preserve">- Botón de pánico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No se puede licitar equipamiento sin especificaciones.</w:t>
      </w:r>
    </w:p>
    <w:p>
      <w:r>
        <w:pict>
          <v:rect style="width:0;height:1.5pt" o:hralign="center" o:hrstd="t" o:hr="t"/>
        </w:pict>
      </w:r>
    </w:p>
    <w:bookmarkEnd w:id="38"/>
    <w:bookmarkStart w:id="39" w:name="X7cbecc934c9021003e10060e17f4d14492a5875"/>
    <w:p>
      <w:pPr>
        <w:pStyle w:val="Heading3"/>
      </w:pPr>
      <w:r>
        <w:t xml:space="preserve">VE-04: Sin Especificaciones de Paraderos Inteligentes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hay diseño de:</w:t>
      </w:r>
      <w:r>
        <w:t xml:space="preserve"> </w:t>
      </w:r>
      <w:r>
        <w:t xml:space="preserve">- Tipologías de paradero</w:t>
      </w:r>
      <w:r>
        <w:t xml:space="preserve"> </w:t>
      </w:r>
      <w:r>
        <w:t xml:space="preserve">- Pantallas LED</w:t>
      </w:r>
      <w:r>
        <w:t xml:space="preserve"> </w:t>
      </w:r>
      <w:r>
        <w:t xml:space="preserve">- Sistema de alimentación (solar/eléctrica)</w:t>
      </w:r>
      <w:r>
        <w:t xml:space="preserve"> </w:t>
      </w:r>
      <w:r>
        <w:t xml:space="preserve">- Protección anti-vandalismo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Los paraderos podrían no cumplir función informativa.</w:t>
      </w:r>
    </w:p>
    <w:p>
      <w:r>
        <w:pict>
          <v:rect style="width:0;height:1.5pt" o:hralign="center" o:hrstd="t" o:hr="t"/>
        </w:pict>
      </w:r>
    </w:p>
    <w:bookmarkEnd w:id="39"/>
    <w:bookmarkStart w:id="40" w:name="X254bf4e0a24da621eccb3e4b30032361b7b2458"/>
    <w:p>
      <w:pPr>
        <w:pStyle w:val="Heading3"/>
      </w:pPr>
      <w:r>
        <w:t xml:space="preserve">VE-05: Sin Definición de Plataforma SaaS vs On-Premise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se decide:</w:t>
      </w:r>
      <w:r>
        <w:t xml:space="preserve"> </w:t>
      </w:r>
      <w:r>
        <w:t xml:space="preserve">- ¿Plataforma en nube (AWS/Azure/GCP) o servidores locales?</w:t>
      </w:r>
      <w:r>
        <w:t xml:space="preserve"> </w:t>
      </w:r>
      <w:r>
        <w:t xml:space="preserve">- ¿Software propio o licenciado?</w:t>
      </w:r>
      <w:r>
        <w:t xml:space="preserve"> </w:t>
      </w:r>
      <w:r>
        <w:t xml:space="preserve">- ¿Quién opera la plataforma?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Decisiones arquitectónicas fundamentales pendientes.</w:t>
      </w:r>
    </w:p>
    <w:p>
      <w:r>
        <w:pict>
          <v:rect style="width:0;height:1.5pt" o:hralign="center" o:hrstd="t" o:hr="t"/>
        </w:pict>
      </w:r>
    </w:p>
    <w:bookmarkEnd w:id="40"/>
    <w:bookmarkStart w:id="41" w:name="ve-06-sin-definición-de-conectividad"/>
    <w:p>
      <w:pPr>
        <w:pStyle w:val="Heading3"/>
      </w:pPr>
      <w:r>
        <w:t xml:space="preserve">VE-06: Sin Definición de Conectividad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se especifica:</w:t>
      </w:r>
      <w:r>
        <w:t xml:space="preserve"> </w:t>
      </w:r>
      <w:r>
        <w:t xml:space="preserve">- Operador celular preferido</w:t>
      </w:r>
      <w:r>
        <w:t xml:space="preserve"> </w:t>
      </w:r>
      <w:r>
        <w:t xml:space="preserve">- Tipo de red (4G/5G)</w:t>
      </w:r>
      <w:r>
        <w:t xml:space="preserve"> </w:t>
      </w:r>
      <w:r>
        <w:t xml:space="preserve">- Arquitectura de red (VPN, SD-WAN)</w:t>
      </w:r>
      <w:r>
        <w:t xml:space="preserve"> </w:t>
      </w:r>
      <w:r>
        <w:t xml:space="preserve">- Respaldo de comunicaciones</w:t>
      </w:r>
    </w:p>
    <w:p>
      <w:r>
        <w:pict>
          <v:rect style="width:0;height:1.5pt" o:hralign="center" o:hrstd="t" o:hr="t"/>
        </w:pict>
      </w:r>
    </w:p>
    <w:bookmarkEnd w:id="41"/>
    <w:bookmarkStart w:id="42" w:name="ve-07-sin-plan-de-implementación"/>
    <w:p>
      <w:pPr>
        <w:pStyle w:val="Heading3"/>
      </w:pPr>
      <w:r>
        <w:t xml:space="preserve">VE-07: Sin Plan de Implementación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existe cronograma de:</w:t>
      </w:r>
      <w:r>
        <w:t xml:space="preserve"> </w:t>
      </w:r>
      <w:r>
        <w:t xml:space="preserve">- Adquisición de equipamiento</w:t>
      </w:r>
      <w:r>
        <w:t xml:space="preserve"> </w:t>
      </w:r>
      <w:r>
        <w:t xml:space="preserve">- Instalación por fases</w:t>
      </w:r>
      <w:r>
        <w:t xml:space="preserve"> </w:t>
      </w:r>
      <w:r>
        <w:t xml:space="preserve">- Pruebas y aceptación</w:t>
      </w:r>
      <w:r>
        <w:t xml:space="preserve"> </w:t>
      </w:r>
      <w:r>
        <w:t xml:space="preserve">- Capacitación</w:t>
      </w:r>
      <w:r>
        <w:t xml:space="preserve"> </w:t>
      </w:r>
      <w:r>
        <w:t xml:space="preserve">- Puesta en marcha</w:t>
      </w:r>
    </w:p>
    <w:p>
      <w:r>
        <w:pict>
          <v:rect style="width:0;height:1.5pt" o:hralign="center" o:hrstd="t" o:hr="t"/>
        </w:pict>
      </w:r>
    </w:p>
    <w:bookmarkEnd w:id="42"/>
    <w:bookmarkStart w:id="43" w:name="Xbb89ff0e4ee17193471f6b8c87b57e97210ffa6"/>
    <w:p>
      <w:pPr>
        <w:pStyle w:val="Heading3"/>
      </w:pPr>
      <w:r>
        <w:t xml:space="preserve">VE-08: Sin Requerimientos Funcionales Documentados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hay documento RF que establezca:</w:t>
      </w:r>
      <w:r>
        <w:t xml:space="preserve"> </w:t>
      </w:r>
      <w:r>
        <w:t xml:space="preserve">- Qué debe hacer cada sistema</w:t>
      </w:r>
      <w:r>
        <w:t xml:space="preserve"> </w:t>
      </w:r>
      <w:r>
        <w:t xml:space="preserve">- Prioridades</w:t>
      </w:r>
      <w:r>
        <w:t xml:space="preserve"> </w:t>
      </w:r>
      <w:r>
        <w:t xml:space="preserve">- Criterios de aceptación</w:t>
      </w:r>
    </w:p>
    <w:p>
      <w:r>
        <w:pict>
          <v:rect style="width:0;height:1.5pt" o:hralign="center" o:hrstd="t" o:hr="t"/>
        </w:pict>
      </w:r>
    </w:p>
    <w:bookmarkEnd w:id="43"/>
    <w:bookmarkStart w:id="44" w:name="X0c0affef26fdc0d59b713fcb4f1c9f3c1ff9005"/>
    <w:p>
      <w:pPr>
        <w:pStyle w:val="Heading3"/>
      </w:pPr>
      <w:r>
        <w:t xml:space="preserve">VE-09: Sin Requisitos No Funcionales Documentados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hay documento RNF que establezca:</w:t>
      </w:r>
      <w:r>
        <w:t xml:space="preserve"> </w:t>
      </w:r>
      <w:r>
        <w:t xml:space="preserve">- Disponibilidad requerida</w:t>
      </w:r>
      <w:r>
        <w:t xml:space="preserve"> </w:t>
      </w:r>
      <w:r>
        <w:t xml:space="preserve">- Tiempos de respuesta</w:t>
      </w:r>
      <w:r>
        <w:t xml:space="preserve"> </w:t>
      </w:r>
      <w:r>
        <w:t xml:space="preserve">- Escalabilidad</w:t>
      </w:r>
      <w:r>
        <w:t xml:space="preserve"> </w:t>
      </w:r>
      <w:r>
        <w:t xml:space="preserve">- Seguridad</w:t>
      </w:r>
    </w:p>
    <w:p>
      <w:r>
        <w:pict>
          <v:rect style="width:0;height:1.5pt" o:hralign="center" o:hrstd="t" o:hr="t"/>
        </w:pict>
      </w:r>
    </w:p>
    <w:bookmarkEnd w:id="44"/>
    <w:bookmarkStart w:id="45" w:name="ve-10-sin-indicadores-de-rendimiento-kpi"/>
    <w:p>
      <w:pPr>
        <w:pStyle w:val="Heading3"/>
      </w:pPr>
      <w:r>
        <w:t xml:space="preserve">VE-10: Sin Indicadores de Rendimiento (KPI)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se definen métricas de:</w:t>
      </w:r>
      <w:r>
        <w:t xml:space="preserve"> </w:t>
      </w:r>
      <w:r>
        <w:t xml:space="preserve">- Calidad de servicio</w:t>
      </w:r>
      <w:r>
        <w:t xml:space="preserve"> </w:t>
      </w:r>
      <w:r>
        <w:t xml:space="preserve">- Eficiencia operativa</w:t>
      </w:r>
      <w:r>
        <w:t xml:space="preserve"> </w:t>
      </w:r>
      <w:r>
        <w:t xml:space="preserve">- Satisfacción pasajero</w:t>
      </w:r>
      <w:r>
        <w:t xml:space="preserve"> </w:t>
      </w:r>
      <w:r>
        <w:t xml:space="preserve">- Seguridad</w:t>
      </w:r>
    </w:p>
    <w:p>
      <w:r>
        <w:pict>
          <v:rect style="width:0;height:1.5pt" o:hralign="center" o:hrstd="t" o:hr="t"/>
        </w:pict>
      </w:r>
    </w:p>
    <w:bookmarkEnd w:id="45"/>
    <w:bookmarkStart w:id="46" w:name="ve-11-sin-plan-de-mantenimiento-its"/>
    <w:p>
      <w:pPr>
        <w:pStyle w:val="Heading3"/>
      </w:pPr>
      <w:r>
        <w:t xml:space="preserve">VE-11: Sin Plan de Mantenimiento ITS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se define:</w:t>
      </w:r>
      <w:r>
        <w:t xml:space="preserve"> </w:t>
      </w:r>
      <w:r>
        <w:t xml:space="preserve">- Mantenimiento preventivo de equipamiento</w:t>
      </w:r>
      <w:r>
        <w:t xml:space="preserve"> </w:t>
      </w:r>
      <w:r>
        <w:t xml:space="preserve">- Renovación tecnológica</w:t>
      </w:r>
      <w:r>
        <w:t xml:space="preserve"> </w:t>
      </w:r>
      <w:r>
        <w:t xml:space="preserve">- Soporte técnico</w:t>
      </w:r>
      <w:r>
        <w:t xml:space="preserve"> </w:t>
      </w:r>
      <w:r>
        <w:t xml:space="preserve">- Repuestos críticos</w:t>
      </w:r>
    </w:p>
    <w:p>
      <w:r>
        <w:pict>
          <v:rect style="width:0;height:1.5pt" o:hralign="center" o:hrstd="t" o:hr="t"/>
        </w:pict>
      </w:r>
    </w:p>
    <w:bookmarkEnd w:id="46"/>
    <w:bookmarkStart w:id="47" w:name="ve-12-sin-manual-de-operación-cco"/>
    <w:p>
      <w:pPr>
        <w:pStyle w:val="Heading3"/>
      </w:pPr>
      <w:r>
        <w:t xml:space="preserve">VE-12: Sin Manual de Operación CCO</w:t>
      </w:r>
    </w:p>
    <w:p>
      <w:pPr>
        <w:pStyle w:val="FirstParagraph"/>
      </w:pPr>
      <w:r>
        <w:rPr>
          <w:bCs/>
          <w:b/>
        </w:rPr>
        <w:t xml:space="preserve">Hallazgo:</w:t>
      </w:r>
      <w:r>
        <w:t xml:space="preserve"> </w:t>
      </w:r>
      <w:r>
        <w:t xml:space="preserve">No existe documento que describa:</w:t>
      </w:r>
      <w:r>
        <w:t xml:space="preserve"> </w:t>
      </w:r>
      <w:r>
        <w:t xml:space="preserve">- Funciones del operador</w:t>
      </w:r>
      <w:r>
        <w:t xml:space="preserve"> </w:t>
      </w:r>
      <w:r>
        <w:t xml:space="preserve">- Procedimientos estándar</w:t>
      </w:r>
      <w:r>
        <w:t xml:space="preserve"> </w:t>
      </w:r>
      <w:r>
        <w:t xml:space="preserve">- Protocolos de emergencia</w:t>
      </w:r>
      <w:r>
        <w:t xml:space="preserve"> </w:t>
      </w:r>
      <w:r>
        <w:t xml:space="preserve">- Reportes diarios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documentación-faltante-mayores"/>
    <w:p>
      <w:pPr>
        <w:pStyle w:val="Heading2"/>
      </w:pPr>
      <w:r>
        <w:t xml:space="preserve">5. DOCUMENTACIÓN FALTANTE (🟡 MAYORES)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Faltante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Técnicas Particulares (ETP)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licitar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Riesgos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 no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de Mercado de Equipamiento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precios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Detallado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instalar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vulnerable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 y Aceptación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Capacitación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Operadores no preparados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Pasajero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 adopción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Operador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deficiente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Continuidad del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Trazabilidad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auditar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Baja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incongruencias-de-flota-bloqueantes"/>
    <w:p>
      <w:pPr>
        <w:pStyle w:val="Heading2"/>
      </w:pPr>
      <w:r>
        <w:t xml:space="preserve">6. INCONGRUENCIAS DE FLOTA (🔴 BLOQUEANTES)</w:t>
      </w:r>
    </w:p>
    <w:bookmarkStart w:id="50" w:name="detalle-de-la-incongruencia"/>
    <w:p>
      <w:pPr>
        <w:pStyle w:val="Heading3"/>
      </w:pPr>
      <w:r>
        <w:t xml:space="preserve">Detalle de la Incongruencia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EVOLUCIÓN DOCUMENTADA DE LA FLOTA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2023 ──► 46 microbuses (estudios previos)                 │</w:t>
      </w:r>
      <w:r>
        <w:br/>
      </w:r>
      <w:r>
        <w:rPr>
          <w:rStyle w:val="VerbatimChar"/>
        </w:rPr>
        <w:t xml:space="preserve">│     │                                                       │</w:t>
      </w:r>
      <w:r>
        <w:br/>
      </w:r>
      <w:r>
        <w:rPr>
          <w:rStyle w:val="VerbatimChar"/>
        </w:rPr>
        <w:t xml:space="preserve">│     │  Justificación: Sistema viable con 46 unidades        │</w:t>
      </w:r>
      <w:r>
        <w:br/>
      </w:r>
      <w:r>
        <w:rPr>
          <w:rStyle w:val="VerbatimChar"/>
        </w:rPr>
        <w:t xml:space="preserve">│     │  Presupuesto máximo: $3.793.756.953 COP               │</w:t>
      </w:r>
      <w:r>
        <w:br/>
      </w:r>
      <w:r>
        <w:rPr>
          <w:rStyle w:val="VerbatimChar"/>
        </w:rPr>
        <w:t xml:space="preserve">│     │                                                       │</w:t>
      </w:r>
      <w:r>
        <w:br/>
      </w:r>
      <w:r>
        <w:rPr>
          <w:rStyle w:val="VerbatimChar"/>
        </w:rPr>
        <w:t xml:space="preserve">│     ▼                                                       │</w:t>
      </w:r>
      <w:r>
        <w:br/>
      </w:r>
      <w:r>
        <w:rPr>
          <w:rStyle w:val="VerbatimChar"/>
        </w:rPr>
        <w:t xml:space="preserve">│  2025 ──► 34 buses (MS-130-2025) — REDUCCIÓN               │</w:t>
      </w:r>
      <w:r>
        <w:br/>
      </w:r>
      <w:r>
        <w:rPr>
          <w:rStyle w:val="VerbatimChar"/>
        </w:rPr>
        <w:t xml:space="preserve">│     │                                                       │</w:t>
      </w:r>
      <w:r>
        <w:br/>
      </w:r>
      <w:r>
        <w:rPr>
          <w:rStyle w:val="VerbatimChar"/>
        </w:rPr>
        <w:t xml:space="preserve">│     │  Justificación: Competencia mototaxismo (45.000)      │</w:t>
      </w:r>
      <w:r>
        <w:br/>
      </w:r>
      <w:r>
        <w:rPr>
          <w:rStyle w:val="VerbatimChar"/>
        </w:rPr>
        <w:t xml:space="preserve">│     │  Vehículos particulares +44% desde 2020               │</w:t>
      </w:r>
      <w:r>
        <w:br/>
      </w:r>
      <w:r>
        <w:rPr>
          <w:rStyle w:val="VerbatimChar"/>
        </w:rPr>
        <w:t xml:space="preserve">│     │  Teletrabajo post-COVID                               │</w:t>
      </w:r>
      <w:r>
        <w:br/>
      </w:r>
      <w:r>
        <w:rPr>
          <w:rStyle w:val="VerbatimChar"/>
        </w:rPr>
        <w:t xml:space="preserve">│     │  Inseguridad: Sincelejo #2 en homicidios Colombia     │</w:t>
      </w:r>
      <w:r>
        <w:br/>
      </w:r>
      <w:r>
        <w:rPr>
          <w:rStyle w:val="VerbatimChar"/>
        </w:rPr>
        <w:t xml:space="preserve">│     │                                                       │</w:t>
      </w:r>
      <w:r>
        <w:br/>
      </w:r>
      <w:r>
        <w:rPr>
          <w:rStyle w:val="VerbatimChar"/>
        </w:rPr>
        <w:t xml:space="preserve">│     ▼                                                       │</w:t>
      </w:r>
      <w:r>
        <w:br/>
      </w:r>
      <w:r>
        <w:rPr>
          <w:rStyle w:val="VerbatimChar"/>
        </w:rPr>
        <w:t xml:space="preserve">│  2025 ──► 75 buses (RFI 2025) — EXPANSIÓN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Justificación: "cloud-first", APIs, crecimiento futuro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⚠️ PROBLEMA: ¿Para qué flota se diseña el ITS?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34 buses = Inversión ITS ~$1.500M COP (estimado)        │</w:t>
      </w:r>
      <w:r>
        <w:br/>
      </w:r>
      <w:r>
        <w:rPr>
          <w:rStyle w:val="VerbatimChar"/>
        </w:rPr>
        <w:t xml:space="preserve">│     75 buses = Inversión ITS ~$3.200M COP (estimado)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Diferencia: $1.700M COP (113% más)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50"/>
    <w:bookmarkStart w:id="51" w:name="impacto-en-componente-its"/>
    <w:p>
      <w:pPr>
        <w:pStyle w:val="Heading3"/>
      </w:pPr>
      <w:r>
        <w:t xml:space="preserve">Impacto en Componente 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34 buses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75 buses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GPS Trackers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Validadores NFC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Cámaras CCTV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Routers 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+100 Mbps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Servidores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Operadores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turnos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turnos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Conclusión:</w:t>
      </w:r>
      <w:r>
        <w:t xml:space="preserve"> </w:t>
      </w:r>
      <w:r>
        <w:t xml:space="preserve">La decisión de flota es determinante para el componente ITS. No se puede avanzar sin definir.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resupuesto-its-vacíos-detectados"/>
    <w:p>
      <w:pPr>
        <w:pStyle w:val="Heading2"/>
      </w:pPr>
      <w:r>
        <w:t xml:space="preserve">7. PRESUPUESTO ITS — VACÍOS DETECTADOS</w:t>
      </w:r>
    </w:p>
    <w:bookmarkStart w:id="53" w:name="análisis-de-la-plantilla-excel"/>
    <w:p>
      <w:pPr>
        <w:pStyle w:val="Heading3"/>
      </w:pPr>
      <w:r>
        <w:t xml:space="preserve">Análisis de la Plantilla Excel</w:t>
      </w:r>
    </w:p>
    <w:p>
      <w:pPr>
        <w:pStyle w:val="FirstParagraph"/>
      </w:pPr>
      <w:r>
        <w:rPr>
          <w:bCs/>
          <w:b/>
        </w:rPr>
        <w:t xml:space="preserve">Archivo:</w:t>
      </w:r>
      <w:r>
        <w:t xml:space="preserve"> </w:t>
      </w:r>
      <w:r>
        <w:rPr>
          <w:rStyle w:val="VerbatimChar"/>
        </w:rPr>
        <w:t xml:space="preserve">presupuesto_ITS_MetroSabanas.xlsx</w:t>
      </w:r>
    </w:p>
    <w:p>
      <w:pPr>
        <w:pStyle w:val="BodyText"/>
      </w:pPr>
      <w:r>
        <w:rPr>
          <w:bCs/>
          <w:b/>
        </w:rPr>
        <w:t xml:space="preserve">Estructura encontrada:</w:t>
      </w:r>
    </w:p>
    <w:p>
      <w:pPr>
        <w:pStyle w:val="SourceCode"/>
      </w:pPr>
      <w:r>
        <w:rPr>
          <w:rStyle w:val="VerbatimChar"/>
        </w:rPr>
        <w:t xml:space="preserve">CATEGORIA: SISTEMA DE RASTREO Y CONTROL DE FLOTA (SRC)</w:t>
      </w:r>
      <w:r>
        <w:br/>
      </w:r>
      <w:r>
        <w:rPr>
          <w:rStyle w:val="VerbatimChar"/>
        </w:rPr>
        <w:t xml:space="preserve">├─ GPS Tracker vehicular              | 34 | Und | $0 | $0</w:t>
      </w:r>
      <w:r>
        <w:br/>
      </w:r>
      <w:r>
        <w:rPr>
          <w:rStyle w:val="VerbatimChar"/>
        </w:rPr>
        <w:t xml:space="preserve">├─ Antena GPS                       | 34 | Und | $0 | $0</w:t>
      </w:r>
      <w:r>
        <w:br/>
      </w:r>
      <w:r>
        <w:rPr>
          <w:rStyle w:val="VerbatimChar"/>
        </w:rPr>
        <w:t xml:space="preserve">├─ Tablet conductor                 | 34 | Und | $0 | $0</w:t>
      </w:r>
      <w:r>
        <w:br/>
      </w:r>
      <w:r>
        <w:rPr>
          <w:rStyle w:val="VerbatimChar"/>
        </w:rPr>
        <w:t xml:space="preserve">├─ Software SRC                     | 1  | Lic | $0 | $0</w:t>
      </w:r>
      <w:r>
        <w:br/>
      </w:r>
      <w:r>
        <w:br/>
      </w:r>
      <w:r>
        <w:rPr>
          <w:rStyle w:val="VerbatimChar"/>
        </w:rPr>
        <w:t xml:space="preserve">CATEGORIA: SISTEMA DE GESTIÓN DE COBRO (SGCF)</w:t>
      </w:r>
      <w:r>
        <w:br/>
      </w:r>
      <w:r>
        <w:rPr>
          <w:rStyle w:val="VerbatimChar"/>
        </w:rPr>
        <w:t xml:space="preserve">├─ Validador NFC                    | 68 | Und | $0 | $0</w:t>
      </w:r>
      <w:r>
        <w:br/>
      </w:r>
      <w:r>
        <w:rPr>
          <w:rStyle w:val="VerbatimChar"/>
        </w:rPr>
        <w:t xml:space="preserve">├─ Impresora térmica              | 34 | Und | $0 | $0</w:t>
      </w:r>
      <w:r>
        <w:br/>
      </w:r>
      <w:r>
        <w:rPr>
          <w:rStyle w:val="VerbatimChar"/>
        </w:rPr>
        <w:t xml:space="preserve">├─ Software SGCF                    | 1  | Lic | $0 | $0</w:t>
      </w:r>
      <w:r>
        <w:br/>
      </w:r>
      <w:r>
        <w:br/>
      </w:r>
      <w:r>
        <w:rPr>
          <w:rStyle w:val="VerbatimChar"/>
        </w:rPr>
        <w:t xml:space="preserve">CATEGORIA: SISTEMA DE INFORMACIÓN (SIU)</w:t>
      </w:r>
      <w:r>
        <w:br/>
      </w:r>
      <w:r>
        <w:rPr>
          <w:rStyle w:val="VerbatimChar"/>
        </w:rPr>
        <w:t xml:space="preserve">├─ Pantalla LED paradero           | 40 | Und | $0 | $0</w:t>
      </w:r>
      <w:r>
        <w:br/>
      </w:r>
      <w:r>
        <w:rPr>
          <w:rStyle w:val="VerbatimChar"/>
        </w:rPr>
        <w:t xml:space="preserve">├─ Software SIU                     | 1  | Lic | $0 | $0</w:t>
      </w:r>
      <w:r>
        <w:br/>
      </w:r>
      <w:r>
        <w:br/>
      </w:r>
      <w:r>
        <w:rPr>
          <w:rStyle w:val="VerbatimChar"/>
        </w:rPr>
        <w:t xml:space="preserve">CATEGORIA: SISTEMA DE SEGURIDAD (SST)</w:t>
      </w:r>
      <w:r>
        <w:br/>
      </w:r>
      <w:r>
        <w:rPr>
          <w:rStyle w:val="VerbatimChar"/>
        </w:rPr>
        <w:t xml:space="preserve">├─ Cámara CCTV interior            | 136| Und | $0 | $0</w:t>
      </w:r>
      <w:r>
        <w:br/>
      </w:r>
      <w:r>
        <w:rPr>
          <w:rStyle w:val="VerbatimChar"/>
        </w:rPr>
        <w:t xml:space="preserve">├─ Cámara CCTV exterior            | 68 | Und | $0 | $0</w:t>
      </w:r>
      <w:r>
        <w:br/>
      </w:r>
      <w:r>
        <w:rPr>
          <w:rStyle w:val="VerbatimChar"/>
        </w:rPr>
        <w:t xml:space="preserve">├─ Botón pánico                     | 68 | Und | $0 | $0</w:t>
      </w:r>
      <w:r>
        <w:br/>
      </w:r>
      <w:r>
        <w:rPr>
          <w:rStyle w:val="VerbatimChar"/>
        </w:rPr>
        <w:t xml:space="preserve">├─ NVR                              | 34 | Und | $0 | $0</w:t>
      </w:r>
      <w:r>
        <w:br/>
      </w:r>
      <w:r>
        <w:rPr>
          <w:rStyle w:val="VerbatimChar"/>
        </w:rPr>
        <w:t xml:space="preserve">├─ Software SST                     | 1  | Lic | $0 | $0</w:t>
      </w:r>
      <w:r>
        <w:br/>
      </w:r>
      <w:r>
        <w:br/>
      </w:r>
      <w:r>
        <w:rPr>
          <w:rStyle w:val="VerbatimChar"/>
        </w:rPr>
        <w:t xml:space="preserve">TOTAL GENERAL: $0</w:t>
      </w:r>
    </w:p>
    <w:p>
      <w:pPr>
        <w:pStyle w:val="FirstParagraph"/>
      </w:pPr>
      <w:r>
        <w:rPr>
          <w:bCs/>
          <w:b/>
        </w:rPr>
        <w:t xml:space="preserve">Problemas identificados:</w:t>
      </w:r>
      <w:r>
        <w:t xml:space="preserve"> </w:t>
      </w:r>
      <w:r>
        <w:t xml:space="preserve">1. ❌ Todos los valores unitarios en $0</w:t>
      </w:r>
      <w:r>
        <w:t xml:space="preserve"> </w:t>
      </w:r>
      <w:r>
        <w:t xml:space="preserve">2. ❌ Sin estudio de mercado de precios</w:t>
      </w:r>
      <w:r>
        <w:t xml:space="preserve"> </w:t>
      </w:r>
      <w:r>
        <w:t xml:space="preserve">3. ❌ Sin cantidades confirmadas (basado en estimado 40 paraderos)</w:t>
      </w:r>
      <w:r>
        <w:t xml:space="preserve"> </w:t>
      </w:r>
      <w:r>
        <w:t xml:space="preserve">4. ❌ Sin consideración de instalación, configuración, puesta en marcha</w:t>
      </w:r>
      <w:r>
        <w:t xml:space="preserve"> </w:t>
      </w:r>
      <w:r>
        <w:t xml:space="preserve">5. ❌ Sin licenciamiento anual de software</w:t>
      </w:r>
      <w:r>
        <w:t xml:space="preserve"> </w:t>
      </w:r>
      <w:r>
        <w:t xml:space="preserve">6. ❌ Sin mantenimiento preventivo</w:t>
      </w:r>
      <w:r>
        <w:t xml:space="preserve"> </w:t>
      </w:r>
      <w:r>
        <w:t xml:space="preserve">7. ❌ Sin formación/capacitación</w:t>
      </w:r>
      <w:r>
        <w:t xml:space="preserve"> </w:t>
      </w:r>
      <w:r>
        <w:t xml:space="preserve">8. ❌ Sin contingencia (10-15%)</w:t>
      </w:r>
    </w:p>
    <w:p>
      <w:pPr>
        <w:pStyle w:val="BodyText"/>
      </w:pPr>
      <w:r>
        <w:rPr>
          <w:bCs/>
          <w:b/>
        </w:rPr>
        <w:t xml:space="preserve">Impacto:</w:t>
      </w:r>
      <w:r>
        <w:t xml:space="preserve"> </w:t>
      </w:r>
      <w:r>
        <w:t xml:space="preserve">Este presupuesto no sirve para ningún propósito comercial, financiero, o de licitación.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riesgos-por-hallazgos"/>
    <w:p>
      <w:pPr>
        <w:pStyle w:val="Heading2"/>
      </w:pPr>
      <w:r>
        <w:t xml:space="preserve">8. RIESGOS POR HALLAZGOS</w:t>
      </w:r>
    </w:p>
    <w:bookmarkStart w:id="55" w:name="matriz-de-riesgos"/>
    <w:p>
      <w:pPr>
        <w:pStyle w:val="Heading3"/>
      </w:pPr>
      <w:r>
        <w:t xml:space="preserve">Matriz de Riesgos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diseñado para flota errónea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flota definitiva antes de diseñar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Inversión ITS subestimada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de mercado de precios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Buses sin preparación eléctrica para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Adenda RFI buses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pago no interoperable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tarjeta única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Ciberataque a sistema recaudo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ciberseguridad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sin conectividad adecuada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de sitio 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Paraderos sin 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eléctrico por paradero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 por falta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consultoría estructuración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 adopción pasajero por falta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Incluir app en alcance 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no escalable a flota futura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Diseñar para 100 buses desde inicio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1" w:name="recomendaciones-de-remediación"/>
    <w:p>
      <w:pPr>
        <w:pStyle w:val="Heading2"/>
      </w:pPr>
      <w:r>
        <w:t xml:space="preserve">9. RECOMENDACIONES DE REMEDIACIÓN</w:t>
      </w:r>
    </w:p>
    <w:bookmarkStart w:id="57" w:name="prioridad-1-inmediata-0-2-semanas"/>
    <w:p>
      <w:pPr>
        <w:pStyle w:val="Heading3"/>
      </w:pPr>
      <w:r>
        <w:t xml:space="preserve">Prioridad 1: Inmediata (0-2 semanas)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flota definitiva</w:t>
      </w:r>
      <w:r>
        <w:t xml:space="preserve"> </w:t>
      </w:r>
      <w:r>
        <w:t xml:space="preserve">— Reunión con METRO SABANAS para decidir: ¿34, 46, o 75?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Diligenciar presupuesto ITS</w:t>
      </w:r>
      <w:r>
        <w:t xml:space="preserve"> </w:t>
      </w:r>
      <w:r>
        <w:t xml:space="preserve">— Estudio de mercado de precios unitarios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ubicación CCO</w:t>
      </w:r>
      <w:r>
        <w:t xml:space="preserve"> </w:t>
      </w:r>
      <w:r>
        <w:t xml:space="preserve">— Visita técnica a oficinas Metro Sabanas</w:t>
      </w:r>
    </w:p>
    <w:bookmarkEnd w:id="57"/>
    <w:bookmarkStart w:id="58" w:name="prioridad-2-corto-plazo-2-6-semanas"/>
    <w:p>
      <w:pPr>
        <w:pStyle w:val="Heading3"/>
      </w:pPr>
      <w:r>
        <w:t xml:space="preserve">Prioridad 2: Corto plazo (2-6 semanas)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Complementar RFI 2025</w:t>
      </w:r>
      <w:r>
        <w:t xml:space="preserve"> </w:t>
      </w:r>
      <w:r>
        <w:t xml:space="preserve">— Agregar ETP ITS detallado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Adenda RFI Autobuses</w:t>
      </w:r>
      <w:r>
        <w:t xml:space="preserve"> </w:t>
      </w:r>
      <w:r>
        <w:t xml:space="preserve">— Incluir preparación eléctrica/mecánica para ITS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Definir modelo de pago</w:t>
      </w:r>
      <w:r>
        <w:t xml:space="preserve"> </w:t>
      </w:r>
      <w:r>
        <w:t xml:space="preserve">— Efectivo + tarjeta, tarifa plana o diferencial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Definir número de paraderos</w:t>
      </w:r>
      <w:r>
        <w:t xml:space="preserve"> </w:t>
      </w:r>
      <w:r>
        <w:t xml:space="preserve">— Estudio de demanda por ruta</w:t>
      </w:r>
    </w:p>
    <w:bookmarkEnd w:id="58"/>
    <w:bookmarkStart w:id="59" w:name="prioridad-3-medio-plazo-6-12-semanas"/>
    <w:p>
      <w:pPr>
        <w:pStyle w:val="Heading3"/>
      </w:pPr>
      <w:r>
        <w:t xml:space="preserve">Prioridad 3: Medio plazo (6-12 semanas)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Desarrollar ETP ITS completo</w:t>
      </w:r>
      <w:r>
        <w:t xml:space="preserve"> </w:t>
      </w:r>
      <w:r>
        <w:t xml:space="preserve">— Especificaciones técnicas particulares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Diseñar arquitectura ITS</w:t>
      </w:r>
      <w:r>
        <w:t xml:space="preserve"> </w:t>
      </w:r>
      <w:r>
        <w:t xml:space="preserve">— 4 niveles, subsistemas, flujos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Desarrollar plan de ciberseguridad</w:t>
      </w:r>
      <w:r>
        <w:t xml:space="preserve"> </w:t>
      </w:r>
      <w:r>
        <w:t xml:space="preserve">— ISO 27001, IEC 62443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Desarrollar plan de implementación</w:t>
      </w:r>
      <w:r>
        <w:t xml:space="preserve"> </w:t>
      </w:r>
      <w:r>
        <w:t xml:space="preserve">— Cronograma, fases, entregables</w:t>
      </w:r>
    </w:p>
    <w:bookmarkEnd w:id="59"/>
    <w:bookmarkStart w:id="60" w:name="prioridad-4-continua"/>
    <w:p>
      <w:pPr>
        <w:pStyle w:val="Heading3"/>
      </w:pPr>
      <w:r>
        <w:t xml:space="preserve">Prioridad 4: Continua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Establecer gobernanza documental</w:t>
      </w:r>
      <w:r>
        <w:t xml:space="preserve"> </w:t>
      </w:r>
      <w:r>
        <w:t xml:space="preserve">— Repositorio único, versionamiento, aprobaciones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Designar responsable ITS</w:t>
      </w:r>
      <w:r>
        <w:t xml:space="preserve"> </w:t>
      </w:r>
      <w:r>
        <w:t xml:space="preserve">— Rol definido dentro de METRO SABANAS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Crear comité técnico</w:t>
      </w:r>
      <w:r>
        <w:t xml:space="preserve"> </w:t>
      </w:r>
      <w:r>
        <w:t xml:space="preserve">— Reuniones semanales de seguimiento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matriz-de-seguimiento"/>
    <w:p>
      <w:pPr>
        <w:pStyle w:val="Heading2"/>
      </w:pPr>
      <w:r>
        <w:t xml:space="preserve">10. MATRIZ DE SEGUIMIENTO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IC-01: Flota 34/46/75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IC-02: Presupuesto 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 / 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IC-03: RFI sin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RFI 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IC-04: RFI buses sin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RFI Autobuses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IC-05: Sin medio de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IC-06: Sin ubicación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IC-07: Sin paraderos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IC-08: Sin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VE-01 a VE-12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DF-01 a DF-11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Abierto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conclusiones"/>
    <w:p>
      <w:pPr>
        <w:pStyle w:val="Heading2"/>
      </w:pPr>
      <w:r>
        <w:t xml:space="preserve">CONCLUSIONES</w:t>
      </w:r>
    </w:p>
    <w:p>
      <w:pPr>
        <w:pStyle w:val="FirstParagraph"/>
      </w:pPr>
      <w:r>
        <w:t xml:space="preserve">La documentación del SETP Sincelejo presenta</w:t>
      </w:r>
      <w:r>
        <w:t xml:space="preserve"> </w:t>
      </w:r>
      <w:r>
        <w:rPr>
          <w:bCs/>
          <w:b/>
        </w:rPr>
        <w:t xml:space="preserve">vacíos críticos en el componente tecnológico ITS</w:t>
      </w:r>
      <w:r>
        <w:t xml:space="preserve"> </w:t>
      </w:r>
      <w:r>
        <w:t xml:space="preserve">que impiden: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Licitación del componente</w:t>
      </w:r>
      <w:r>
        <w:t xml:space="preserve"> </w:t>
      </w:r>
      <w:r>
        <w:t xml:space="preserve">— Sin ETP no se puede solicitar cotizaciones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Estimación de inversión</w:t>
      </w:r>
      <w:r>
        <w:t xml:space="preserve"> </w:t>
      </w:r>
      <w:r>
        <w:t xml:space="preserve">— Sin precios de mercado no hay modelo financiero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Diseño arquitectónico</w:t>
      </w:r>
      <w:r>
        <w:t xml:space="preserve"> </w:t>
      </w:r>
      <w:r>
        <w:t xml:space="preserve">— Sin flota definida no se dimensiona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Operación futura</w:t>
      </w:r>
      <w:r>
        <w:t xml:space="preserve"> </w:t>
      </w:r>
      <w:r>
        <w:t xml:space="preserve">— Sin concepto de operación no se sabe cómo funciona</w:t>
      </w:r>
    </w:p>
    <w:p>
      <w:pPr>
        <w:pStyle w:val="FirstParagraph"/>
      </w:pPr>
      <w:r>
        <w:rPr>
          <w:bCs/>
          <w:b/>
        </w:rPr>
        <w:t xml:space="preserve">La estructuración técnica del componente ITS está en estado embrionario.</w:t>
      </w:r>
      <w:r>
        <w:t xml:space="preserve"> </w:t>
      </w:r>
      <w:r>
        <w:t xml:space="preserve">Se requiere trabajo significativo para alcanzar un nivel ejecutivo comparable al APP Chía-Girardot.</w:t>
      </w:r>
    </w:p>
    <w:p>
      <w:pPr>
        <w:pStyle w:val="BodyText"/>
      </w:pPr>
      <w:r>
        <w:rPr>
          <w:bCs/>
          <w:b/>
        </w:rPr>
        <w:t xml:space="preserve">INNOVADATACO puede cubrir estos vacíos en 1 mes de asesoría especializada.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INNOVADATACO — ZEUS Enterprise System</w:t>
      </w:r>
      <w:r>
        <w:br/>
      </w:r>
      <w:r>
        <w:rPr>
          <w:iCs/>
          <w:i/>
        </w:rPr>
        <w:t xml:space="preserve">Mayo 2026 — CONFIDENCIAL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2026-05-29T03:03:51Z</dcterms:created>
  <dcterms:modified xsi:type="dcterms:W3CDTF">2026-05-29T03:03:51Z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