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7" w:name="Xb8d68de061527f8697c4f5bcbda320515f6bafa"/>
    <w:p>
      <w:pPr>
        <w:pStyle w:val="Heading1"/>
      </w:pPr>
      <w:r>
        <w:t xml:space="preserve">SICOM — SUPER DOCUMENTO TÉCNICO Y FUNCIONAL</w:t>
      </w:r>
    </w:p>
    <w:p>
      <w:pPr>
        <w:pStyle w:val="FirstParagraph"/>
      </w:pPr>
      <w:r>
        <w:rPr>
          <w:bCs/>
          <w:b/>
        </w:rPr>
        <w:t xml:space="preserve">Sistema de Información de Combustibles Líquidos Derivados del Petróleo</w:t>
      </w:r>
      <w:r>
        <w:t xml:space="preserve"> </w:t>
      </w:r>
      <w:r>
        <w:rPr>
          <w:bCs/>
          <w:b/>
        </w:rPr>
        <w:t xml:space="preserve">Ministerio de Minas y Energía — Colombia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1.0 (Síntesis documental)</w:t>
      </w:r>
      <w:r>
        <w:br/>
      </w:r>
      <w:r>
        <w:rPr>
          <w:bCs/>
          <w:b/>
        </w:rPr>
        <w:t xml:space="preserve">Fecha de análisis:</w:t>
      </w:r>
      <w:r>
        <w:t xml:space="preserve"> </w:t>
      </w:r>
      <w:r>
        <w:t xml:space="preserve">Mayo 2026</w:t>
      </w:r>
      <w:r>
        <w:br/>
      </w:r>
      <w:r>
        <w:rPr>
          <w:bCs/>
          <w:b/>
        </w:rPr>
        <w:t xml:space="preserve">Fuente:</w:t>
      </w:r>
      <w:r>
        <w:t xml:space="preserve"> </w:t>
      </w:r>
      <w:r>
        <w:t xml:space="preserve">Carpeta documental SICOM (Google Drive) — 48 documentos técnicos analizados</w:t>
      </w:r>
      <w:r>
        <w:br/>
      </w:r>
      <w:r>
        <w:rPr>
          <w:bCs/>
          <w:b/>
        </w:rPr>
        <w:t xml:space="preserve">Alcance:</w:t>
      </w:r>
      <w:r>
        <w:t xml:space="preserve"> </w:t>
      </w:r>
      <w:r>
        <w:t xml:space="preserve">Arquitectura de procesos, funcionalidades, módulos, actores, infraestructura, seguridad y operación</w:t>
      </w:r>
    </w:p>
    <w:p>
      <w:r>
        <w:pict>
          <v:rect style="width:0;height:1.5pt" o:hralign="center" o:hrstd="t" o:hr="t"/>
        </w:pict>
      </w:r>
    </w:p>
    <w:bookmarkStart w:id="20" w:name="tabla-de-contenidos"/>
    <w:p>
      <w:pPr>
        <w:pStyle w:val="Heading2"/>
      </w:pPr>
      <w:r>
        <w:t xml:space="preserve">TABLA DE CONTENIDOS</w:t>
      </w:r>
    </w:p>
    <w:p>
      <w:pPr>
        <w:numPr>
          <w:ilvl w:val="0"/>
          <w:numId w:val="1001"/>
        </w:numPr>
        <w:pStyle w:val="Compact"/>
      </w:pPr>
      <w:hyperlink w:anchor="X5dd895b2072e59d4361bd2729ab69ff88775738">
        <w:r>
          <w:rPr>
            <w:rStyle w:val="Hyperlink"/>
          </w:rPr>
          <w:t xml:space="preserve">Resumen Ejecutivo</w:t>
        </w:r>
      </w:hyperlink>
    </w:p>
    <w:p>
      <w:pPr>
        <w:numPr>
          <w:ilvl w:val="0"/>
          <w:numId w:val="1001"/>
        </w:numPr>
        <w:pStyle w:val="Compact"/>
      </w:pPr>
      <w:hyperlink w:anchor="X75debdf519018e73c8d500c199ebde9db38f957">
        <w:r>
          <w:rPr>
            <w:rStyle w:val="Hyperlink"/>
          </w:rPr>
          <w:t xml:space="preserve">Visión General del SICOM</w:t>
        </w:r>
      </w:hyperlink>
    </w:p>
    <w:p>
      <w:pPr>
        <w:numPr>
          <w:ilvl w:val="0"/>
          <w:numId w:val="1001"/>
        </w:numPr>
        <w:pStyle w:val="Compact"/>
      </w:pPr>
      <w:hyperlink w:anchor="X1bb8e198e654e044030173ee265d32609e5b1c3">
        <w:r>
          <w:rPr>
            <w:rStyle w:val="Hyperlink"/>
          </w:rPr>
          <w:t xml:space="preserve">Marco Normativo</w:t>
        </w:r>
      </w:hyperlink>
    </w:p>
    <w:p>
      <w:pPr>
        <w:numPr>
          <w:ilvl w:val="0"/>
          <w:numId w:val="1001"/>
        </w:numPr>
        <w:pStyle w:val="Compact"/>
      </w:pPr>
      <w:hyperlink w:anchor="X0178f190b3a287aeb99bfa26c12c6e02716849f">
        <w:r>
          <w:rPr>
            <w:rStyle w:val="Hyperlink"/>
          </w:rPr>
          <w:t xml:space="preserve">Arquitectura de Procesos</w:t>
        </w:r>
      </w:hyperlink>
    </w:p>
    <w:p>
      <w:pPr>
        <w:numPr>
          <w:ilvl w:val="1"/>
          <w:numId w:val="1002"/>
        </w:numPr>
        <w:pStyle w:val="Compact"/>
      </w:pPr>
      <w:r>
        <w:t xml:space="preserve">4.1 Macroproceso de Combustibles Líquidos</w:t>
      </w:r>
    </w:p>
    <w:p>
      <w:pPr>
        <w:numPr>
          <w:ilvl w:val="1"/>
          <w:numId w:val="1002"/>
        </w:numPr>
        <w:pStyle w:val="Compact"/>
      </w:pPr>
      <w:r>
        <w:t xml:space="preserve">4.2 Procesos de Apoyo</w:t>
      </w:r>
    </w:p>
    <w:p>
      <w:pPr>
        <w:numPr>
          <w:ilvl w:val="1"/>
          <w:numId w:val="1002"/>
        </w:numPr>
        <w:pStyle w:val="Compact"/>
      </w:pPr>
      <w:r>
        <w:t xml:space="preserve">4.3 Procesos Principales (Core)</w:t>
      </w:r>
    </w:p>
    <w:p>
      <w:pPr>
        <w:numPr>
          <w:ilvl w:val="1"/>
          <w:numId w:val="1002"/>
        </w:numPr>
        <w:pStyle w:val="Compact"/>
      </w:pPr>
      <w:r>
        <w:t xml:space="preserve">4.4 Procesos de Control</w:t>
      </w:r>
    </w:p>
    <w:p>
      <w:pPr>
        <w:numPr>
          <w:ilvl w:val="0"/>
          <w:numId w:val="1001"/>
        </w:numPr>
        <w:pStyle w:val="Compact"/>
      </w:pPr>
      <w:hyperlink w:anchor="Xc679aa499fc933471668142d981f55542c6d8dd">
        <w:r>
          <w:rPr>
            <w:rStyle w:val="Hyperlink"/>
          </w:rPr>
          <w:t xml:space="preserve">Módulos del Sistema</w:t>
        </w:r>
      </w:hyperlink>
    </w:p>
    <w:p>
      <w:pPr>
        <w:numPr>
          <w:ilvl w:val="1"/>
          <w:numId w:val="1003"/>
        </w:numPr>
        <w:pStyle w:val="Compact"/>
      </w:pPr>
      <w:r>
        <w:t xml:space="preserve">5.1 Portal Web SICOM (Home)</w:t>
      </w:r>
    </w:p>
    <w:p>
      <w:pPr>
        <w:numPr>
          <w:ilvl w:val="1"/>
          <w:numId w:val="1003"/>
        </w:numPr>
        <w:pStyle w:val="Compact"/>
      </w:pPr>
      <w:r>
        <w:t xml:space="preserve">5.2 SIGDI — Sistema de Información Guías Digitales de Transporte</w:t>
      </w:r>
    </w:p>
    <w:p>
      <w:pPr>
        <w:numPr>
          <w:ilvl w:val="1"/>
          <w:numId w:val="1003"/>
        </w:numPr>
        <w:pStyle w:val="Compact"/>
      </w:pPr>
      <w:r>
        <w:t xml:space="preserve">5.3 BPM Bizagi</w:t>
      </w:r>
    </w:p>
    <w:p>
      <w:pPr>
        <w:numPr>
          <w:ilvl w:val="1"/>
          <w:numId w:val="1003"/>
        </w:numPr>
        <w:pStyle w:val="Compact"/>
      </w:pPr>
      <w:r>
        <w:t xml:space="preserve">5.4 BI — Business Intelligence / Calidad del Dato</w:t>
      </w:r>
    </w:p>
    <w:p>
      <w:pPr>
        <w:numPr>
          <w:ilvl w:val="1"/>
          <w:numId w:val="1003"/>
        </w:numPr>
        <w:pStyle w:val="Compact"/>
      </w:pPr>
      <w:r>
        <w:t xml:space="preserve">5.5 Call Center / Mesa de Ayuda</w:t>
      </w:r>
    </w:p>
    <w:p>
      <w:pPr>
        <w:numPr>
          <w:ilvl w:val="1"/>
          <w:numId w:val="1003"/>
        </w:numPr>
        <w:pStyle w:val="Compact"/>
      </w:pPr>
      <w:r>
        <w:t xml:space="preserve">5.6 Portal de Autogestión</w:t>
      </w:r>
    </w:p>
    <w:p>
      <w:pPr>
        <w:numPr>
          <w:ilvl w:val="0"/>
          <w:numId w:val="1001"/>
        </w:numPr>
        <w:pStyle w:val="Compact"/>
      </w:pPr>
      <w:hyperlink w:anchor="X20c5549daf864f2fa84c205b1bf896c0e4ae2b8">
        <w:r>
          <w:rPr>
            <w:rStyle w:val="Hyperlink"/>
          </w:rPr>
          <w:t xml:space="preserve">Actores, Roles y Responsables</w:t>
        </w:r>
      </w:hyperlink>
    </w:p>
    <w:p>
      <w:pPr>
        <w:numPr>
          <w:ilvl w:val="1"/>
          <w:numId w:val="1004"/>
        </w:numPr>
        <w:pStyle w:val="Compact"/>
      </w:pPr>
      <w:r>
        <w:t xml:space="preserve">6.1 Agentes de la Cadena</w:t>
      </w:r>
    </w:p>
    <w:p>
      <w:pPr>
        <w:numPr>
          <w:ilvl w:val="1"/>
          <w:numId w:val="1004"/>
        </w:numPr>
        <w:pStyle w:val="Compact"/>
      </w:pPr>
      <w:r>
        <w:t xml:space="preserve">6.2 Roles del Ministerio (MME)</w:t>
      </w:r>
    </w:p>
    <w:p>
      <w:pPr>
        <w:numPr>
          <w:ilvl w:val="1"/>
          <w:numId w:val="1004"/>
        </w:numPr>
        <w:pStyle w:val="Compact"/>
      </w:pPr>
      <w:r>
        <w:t xml:space="preserve">6.3 Equipo Operativo SICOM</w:t>
      </w:r>
    </w:p>
    <w:p>
      <w:pPr>
        <w:numPr>
          <w:ilvl w:val="0"/>
          <w:numId w:val="1001"/>
        </w:numPr>
        <w:pStyle w:val="Compact"/>
      </w:pPr>
      <w:hyperlink w:anchor="X601c64f74c6b22be1f789758f3907e56b0bbbb0">
        <w:r>
          <w:rPr>
            <w:rStyle w:val="Hyperlink"/>
          </w:rPr>
          <w:t xml:space="preserve">Funcionalidades Detalladas</w:t>
        </w:r>
      </w:hyperlink>
    </w:p>
    <w:p>
      <w:pPr>
        <w:numPr>
          <w:ilvl w:val="1"/>
          <w:numId w:val="1005"/>
        </w:numPr>
        <w:pStyle w:val="Compact"/>
      </w:pPr>
      <w:r>
        <w:t xml:space="preserve">7.1 Gestión de Agentes</w:t>
      </w:r>
    </w:p>
    <w:p>
      <w:pPr>
        <w:numPr>
          <w:ilvl w:val="1"/>
          <w:numId w:val="1005"/>
        </w:numPr>
        <w:pStyle w:val="Compact"/>
      </w:pPr>
      <w:r>
        <w:t xml:space="preserve">7.2 Gestión de Plantas</w:t>
      </w:r>
    </w:p>
    <w:p>
      <w:pPr>
        <w:numPr>
          <w:ilvl w:val="1"/>
          <w:numId w:val="1005"/>
        </w:numPr>
        <w:pStyle w:val="Compact"/>
      </w:pPr>
      <w:r>
        <w:t xml:space="preserve">7.3 Gestión de Vehículos</w:t>
      </w:r>
    </w:p>
    <w:p>
      <w:pPr>
        <w:numPr>
          <w:ilvl w:val="1"/>
          <w:numId w:val="1005"/>
        </w:numPr>
        <w:pStyle w:val="Compact"/>
      </w:pPr>
      <w:r>
        <w:t xml:space="preserve">7.4 Órdenes de Pedido</w:t>
      </w:r>
    </w:p>
    <w:p>
      <w:pPr>
        <w:numPr>
          <w:ilvl w:val="1"/>
          <w:numId w:val="1005"/>
        </w:numPr>
        <w:pStyle w:val="Compact"/>
      </w:pPr>
      <w:r>
        <w:t xml:space="preserve">7.5 Guías Digitales (SIGDI)</w:t>
      </w:r>
    </w:p>
    <w:p>
      <w:pPr>
        <w:numPr>
          <w:ilvl w:val="1"/>
          <w:numId w:val="1005"/>
        </w:numPr>
        <w:pStyle w:val="Compact"/>
      </w:pPr>
      <w:r>
        <w:t xml:space="preserve">7.6 Monitoreo y Cumplidos</w:t>
      </w:r>
    </w:p>
    <w:p>
      <w:pPr>
        <w:numPr>
          <w:ilvl w:val="1"/>
          <w:numId w:val="1005"/>
        </w:numPr>
        <w:pStyle w:val="Compact"/>
      </w:pPr>
      <w:r>
        <w:t xml:space="preserve">7.7 Precios y Volúmenes</w:t>
      </w:r>
    </w:p>
    <w:p>
      <w:pPr>
        <w:numPr>
          <w:ilvl w:val="1"/>
          <w:numId w:val="1005"/>
        </w:numPr>
        <w:pStyle w:val="Compact"/>
      </w:pPr>
      <w:r>
        <w:t xml:space="preserve">7.8 Declaración de Información</w:t>
      </w:r>
    </w:p>
    <w:p>
      <w:pPr>
        <w:numPr>
          <w:ilvl w:val="1"/>
          <w:numId w:val="1005"/>
        </w:numPr>
        <w:pStyle w:val="Compact"/>
      </w:pPr>
      <w:r>
        <w:t xml:space="preserve">7.9 Gestión de Usuarios y Perfiles</w:t>
      </w:r>
    </w:p>
    <w:p>
      <w:pPr>
        <w:numPr>
          <w:ilvl w:val="0"/>
          <w:numId w:val="1001"/>
        </w:numPr>
        <w:pStyle w:val="Compact"/>
      </w:pPr>
      <w:hyperlink w:anchor="X7e390839fce1ccec3ee251b68e1727148ce87ce">
        <w:r>
          <w:rPr>
            <w:rStyle w:val="Hyperlink"/>
          </w:rPr>
          <w:t xml:space="preserve">Infraestructura Tecnológica</w:t>
        </w:r>
      </w:hyperlink>
    </w:p>
    <w:p>
      <w:pPr>
        <w:numPr>
          <w:ilvl w:val="1"/>
          <w:numId w:val="1006"/>
        </w:numPr>
        <w:pStyle w:val="Compact"/>
      </w:pPr>
      <w:r>
        <w:t xml:space="preserve">8.1 Arquitectura de Red</w:t>
      </w:r>
    </w:p>
    <w:p>
      <w:pPr>
        <w:numPr>
          <w:ilvl w:val="1"/>
          <w:numId w:val="1006"/>
        </w:numPr>
        <w:pStyle w:val="Compact"/>
      </w:pPr>
      <w:r>
        <w:t xml:space="preserve">8.2 Seguridad Perimetral</w:t>
      </w:r>
    </w:p>
    <w:p>
      <w:pPr>
        <w:numPr>
          <w:ilvl w:val="1"/>
          <w:numId w:val="1006"/>
        </w:numPr>
        <w:pStyle w:val="Compact"/>
      </w:pPr>
      <w:r>
        <w:t xml:space="preserve">8.3 WAF — Web Application Firewall</w:t>
      </w:r>
    </w:p>
    <w:p>
      <w:pPr>
        <w:numPr>
          <w:ilvl w:val="1"/>
          <w:numId w:val="1006"/>
        </w:numPr>
        <w:pStyle w:val="Compact"/>
      </w:pPr>
      <w:r>
        <w:t xml:space="preserve">8.4 Balanceadores y ADC</w:t>
      </w:r>
    </w:p>
    <w:p>
      <w:pPr>
        <w:numPr>
          <w:ilvl w:val="1"/>
          <w:numId w:val="1006"/>
        </w:numPr>
        <w:pStyle w:val="Compact"/>
      </w:pPr>
      <w:r>
        <w:t xml:space="preserve">8.5 Bases de Datos</w:t>
      </w:r>
    </w:p>
    <w:p>
      <w:pPr>
        <w:numPr>
          <w:ilvl w:val="1"/>
          <w:numId w:val="1006"/>
        </w:numPr>
        <w:pStyle w:val="Compact"/>
      </w:pPr>
      <w:r>
        <w:t xml:space="preserve">8.6 Servidores y Virtualización</w:t>
      </w:r>
    </w:p>
    <w:p>
      <w:pPr>
        <w:numPr>
          <w:ilvl w:val="1"/>
          <w:numId w:val="1006"/>
        </w:numPr>
        <w:pStyle w:val="Compact"/>
      </w:pPr>
      <w:r>
        <w:t xml:space="preserve">8.7 DRP — Disaster Recovery Plan</w:t>
      </w:r>
    </w:p>
    <w:p>
      <w:pPr>
        <w:numPr>
          <w:ilvl w:val="0"/>
          <w:numId w:val="1001"/>
        </w:numPr>
        <w:pStyle w:val="Compact"/>
      </w:pPr>
      <w:hyperlink w:anchor="X3721edd35e0c080a40da1faad6aef266bcaf950">
        <w:r>
          <w:rPr>
            <w:rStyle w:val="Hyperlink"/>
          </w:rPr>
          <w:t xml:space="preserve">Seguridad de la Información</w:t>
        </w:r>
      </w:hyperlink>
    </w:p>
    <w:p>
      <w:pPr>
        <w:numPr>
          <w:ilvl w:val="1"/>
          <w:numId w:val="1007"/>
        </w:numPr>
        <w:pStyle w:val="Compact"/>
      </w:pPr>
      <w:r>
        <w:t xml:space="preserve">9.1 Ethical Hacking y Pentesting</w:t>
      </w:r>
    </w:p>
    <w:p>
      <w:pPr>
        <w:numPr>
          <w:ilvl w:val="1"/>
          <w:numId w:val="1007"/>
        </w:numPr>
        <w:pStyle w:val="Compact"/>
      </w:pPr>
      <w:r>
        <w:t xml:space="preserve">9.2 Análisis de Vulnerabilidades</w:t>
      </w:r>
    </w:p>
    <w:p>
      <w:pPr>
        <w:numPr>
          <w:ilvl w:val="1"/>
          <w:numId w:val="1007"/>
        </w:numPr>
        <w:pStyle w:val="Compact"/>
      </w:pPr>
      <w:r>
        <w:t xml:space="preserve">9.3 Gestión de Incidentes</w:t>
      </w:r>
    </w:p>
    <w:p>
      <w:pPr>
        <w:numPr>
          <w:ilvl w:val="1"/>
          <w:numId w:val="1007"/>
        </w:numPr>
        <w:pStyle w:val="Compact"/>
      </w:pPr>
      <w:r>
        <w:t xml:space="preserve">9.4 Comité de Seguridad</w:t>
      </w:r>
    </w:p>
    <w:p>
      <w:pPr>
        <w:numPr>
          <w:ilvl w:val="0"/>
          <w:numId w:val="1001"/>
        </w:numPr>
        <w:pStyle w:val="Compact"/>
      </w:pPr>
      <w:hyperlink w:anchor="Xac7f3eba5d156a31df368748b71539f6fbb6b25">
        <w:r>
          <w:rPr>
            <w:rStyle w:val="Hyperlink"/>
          </w:rPr>
          <w:t xml:space="preserve">Operación y Soporte</w:t>
        </w:r>
      </w:hyperlink>
    </w:p>
    <w:p>
      <w:pPr>
        <w:numPr>
          <w:ilvl w:val="1"/>
          <w:numId w:val="1008"/>
        </w:numPr>
        <w:pStyle w:val="Compact"/>
      </w:pPr>
      <w:r>
        <w:t xml:space="preserve">10.1 Mesa de Ayuda (N1 / N2)</w:t>
      </w:r>
    </w:p>
    <w:p>
      <w:pPr>
        <w:numPr>
          <w:ilvl w:val="1"/>
          <w:numId w:val="1008"/>
        </w:numPr>
        <w:pStyle w:val="Compact"/>
      </w:pPr>
      <w:r>
        <w:t xml:space="preserve">10.2 Sistema de Tickets (Aranda)</w:t>
      </w:r>
    </w:p>
    <w:p>
      <w:pPr>
        <w:numPr>
          <w:ilvl w:val="1"/>
          <w:numId w:val="1008"/>
        </w:numPr>
        <w:pStyle w:val="Compact"/>
      </w:pPr>
      <w:r>
        <w:t xml:space="preserve">10.3 Centro de Contacto (WolKVOX)</w:t>
      </w:r>
    </w:p>
    <w:p>
      <w:pPr>
        <w:numPr>
          <w:ilvl w:val="1"/>
          <w:numId w:val="1008"/>
        </w:numPr>
        <w:pStyle w:val="Compact"/>
      </w:pPr>
      <w:r>
        <w:t xml:space="preserve">10.4 Capacitaciones y Formación</w:t>
      </w:r>
    </w:p>
    <w:p>
      <w:pPr>
        <w:numPr>
          <w:ilvl w:val="0"/>
          <w:numId w:val="1001"/>
        </w:numPr>
        <w:pStyle w:val="Compact"/>
      </w:pPr>
      <w:hyperlink w:anchor="X96b6285cd06086496508e239f77314d11618619">
        <w:r>
          <w:rPr>
            <w:rStyle w:val="Hyperlink"/>
          </w:rPr>
          <w:t xml:space="preserve">Integraciones y APIs</w:t>
        </w:r>
      </w:hyperlink>
    </w:p>
    <w:p>
      <w:pPr>
        <w:numPr>
          <w:ilvl w:val="0"/>
          <w:numId w:val="1001"/>
        </w:numPr>
        <w:pStyle w:val="Compact"/>
      </w:pPr>
      <w:hyperlink w:anchor="X96b6285cd06086496508e239f77314d11618619">
        <w:r>
          <w:rPr>
            <w:rStyle w:val="Hyperlink"/>
          </w:rPr>
          <w:t xml:space="preserve">Integraciones y APIs</w:t>
        </w:r>
      </w:hyperlink>
    </w:p>
    <w:p>
      <w:pPr>
        <w:numPr>
          <w:ilvl w:val="0"/>
          <w:numId w:val="1001"/>
        </w:numPr>
        <w:pStyle w:val="Compact"/>
      </w:pPr>
      <w:hyperlink w:anchor="Xbad62ec161a6e875bc8cd2bdedeac1b6e007afa">
        <w:r>
          <w:rPr>
            <w:rStyle w:val="Hyperlink"/>
          </w:rPr>
          <w:t xml:space="preserve">Gobernanza del Proyecto y Control de Cambios</w:t>
        </w:r>
      </w:hyperlink>
    </w:p>
    <w:p>
      <w:pPr>
        <w:numPr>
          <w:ilvl w:val="1"/>
          <w:numId w:val="1009"/>
        </w:numPr>
        <w:pStyle w:val="Compact"/>
      </w:pPr>
      <w:r>
        <w:t xml:space="preserve">13.1 Comité de Control de Cambios</w:t>
      </w:r>
    </w:p>
    <w:p>
      <w:pPr>
        <w:numPr>
          <w:ilvl w:val="1"/>
          <w:numId w:val="1009"/>
        </w:numPr>
        <w:pStyle w:val="Compact"/>
      </w:pPr>
      <w:r>
        <w:t xml:space="preserve">13.2 Proceso de Cambios (RFC)</w:t>
      </w:r>
    </w:p>
    <w:p>
      <w:pPr>
        <w:numPr>
          <w:ilvl w:val="1"/>
          <w:numId w:val="1009"/>
        </w:numPr>
        <w:pStyle w:val="Compact"/>
      </w:pPr>
      <w:r>
        <w:t xml:space="preserve">13.3 Políticas del Comité</w:t>
      </w:r>
    </w:p>
    <w:p>
      <w:pPr>
        <w:numPr>
          <w:ilvl w:val="0"/>
          <w:numId w:val="1001"/>
        </w:numPr>
        <w:pStyle w:val="Compact"/>
      </w:pPr>
      <w:hyperlink w:anchor="Xb6ecd4ab5f46d3f8078aa60012176324e563201">
        <w:r>
          <w:rPr>
            <w:rStyle w:val="Hyperlink"/>
          </w:rPr>
          <w:t xml:space="preserve">Migración a Gas</w:t>
        </w:r>
      </w:hyperlink>
    </w:p>
    <w:p>
      <w:pPr>
        <w:numPr>
          <w:ilvl w:val="1"/>
          <w:numId w:val="1010"/>
        </w:numPr>
        <w:pStyle w:val="Compact"/>
      </w:pPr>
      <w:r>
        <w:t xml:space="preserve">14.1 Alcance de la Migración</w:t>
      </w:r>
    </w:p>
    <w:p>
      <w:pPr>
        <w:numPr>
          <w:ilvl w:val="1"/>
          <w:numId w:val="1010"/>
        </w:numPr>
        <w:pStyle w:val="Compact"/>
      </w:pPr>
      <w:r>
        <w:t xml:space="preserve">14.2 Componentes de la Migración</w:t>
      </w:r>
    </w:p>
    <w:p>
      <w:pPr>
        <w:numPr>
          <w:ilvl w:val="1"/>
          <w:numId w:val="1010"/>
        </w:numPr>
        <w:pStyle w:val="Compact"/>
      </w:pPr>
      <w:r>
        <w:t xml:space="preserve">14.3 Historias de Usuario (HU)</w:t>
      </w:r>
    </w:p>
    <w:p>
      <w:pPr>
        <w:numPr>
          <w:ilvl w:val="1"/>
          <w:numId w:val="1010"/>
        </w:numPr>
        <w:pStyle w:val="Compact"/>
      </w:pPr>
      <w:r>
        <w:t xml:space="preserve">14.4 Procesos BPM a Migrar</w:t>
      </w:r>
    </w:p>
    <w:p>
      <w:pPr>
        <w:numPr>
          <w:ilvl w:val="0"/>
          <w:numId w:val="1001"/>
        </w:numPr>
        <w:pStyle w:val="Compact"/>
      </w:pPr>
      <w:hyperlink w:anchor="X34229b04188bb9b39c80986d2ffda775eaf5cd5">
        <w:r>
          <w:rPr>
            <w:rStyle w:val="Hyperlink"/>
          </w:rPr>
          <w:t xml:space="preserve">Indicadores y Reportes de Servicio (ANS)</w:t>
        </w:r>
      </w:hyperlink>
    </w:p>
    <w:p>
      <w:pPr>
        <w:numPr>
          <w:ilvl w:val="0"/>
          <w:numId w:val="1001"/>
        </w:numPr>
        <w:pStyle w:val="Compact"/>
      </w:pPr>
      <w:hyperlink w:anchor="X221970d12733e264698db01aad36f3e6a62a121">
        <w:r>
          <w:rPr>
            <w:rStyle w:val="Hyperlink"/>
          </w:rPr>
          <w:t xml:space="preserve">Riesgos y Controles</w:t>
        </w:r>
      </w:hyperlink>
    </w:p>
    <w:p>
      <w:pPr>
        <w:numPr>
          <w:ilvl w:val="0"/>
          <w:numId w:val="1001"/>
        </w:numPr>
        <w:pStyle w:val="Compact"/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numPr>
          <w:ilvl w:val="0"/>
          <w:numId w:val="1001"/>
        </w:numPr>
        <w:pStyle w:val="Compact"/>
      </w:pPr>
      <w:hyperlink w:anchor="anexo-a-historial-de-rfcs-documentados">
        <w:r>
          <w:rPr>
            <w:rStyle w:val="Hyperlink"/>
          </w:rPr>
          <w:t xml:space="preserve">Anexo A: Historial de RFCs</w:t>
        </w:r>
      </w:hyperlink>
    </w:p>
    <w:p>
      <w:pPr>
        <w:numPr>
          <w:ilvl w:val="0"/>
          <w:numId w:val="1001"/>
        </w:numPr>
        <w:pStyle w:val="Compact"/>
      </w:pPr>
      <w:hyperlink w:anchor="anexo-b-control-de-cambios">
        <w:r>
          <w:rPr>
            <w:rStyle w:val="Hyperlink"/>
          </w:rPr>
          <w:t xml:space="preserve">Anexo B: Control de Cambios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SICOM</w:t>
      </w:r>
      <w:r>
        <w:t xml:space="preserve"> </w:t>
      </w:r>
      <w:r>
        <w:t xml:space="preserve">(Sistema de Información de Combustibles Líquidos Derivados del Petróleo) es la plataforma tecnológica del Ministerio de Minas y Energía de Colombia encargada de organizar, controlar y sistematizar la comercialización, distribución, transporte y almacenamiento de combustibles líquidos derivados del petróleo, alcohol carburante y biodiesel a nivel nacional.</w:t>
      </w:r>
    </w:p>
    <w:p>
      <w:pPr>
        <w:pStyle w:val="BodyText"/>
      </w:pPr>
      <w:r>
        <w:t xml:space="preserve">El sistema integra a todos los agentes de la cadena de distribución en una única plataforma de información, gestionando desde la creación de agentes y sus plantas, hasta la generación de órdenes de pedido, guías digitales de transporte, monitoreo de vehículos, registro de precios, control de volúmenes y declaración de información operativa.</w:t>
      </w:r>
    </w:p>
    <w:p>
      <w:pPr>
        <w:pStyle w:val="BodyText"/>
      </w:pPr>
      <w:r>
        <w:t xml:space="preserve">El SICOM está construido sobre una arquitectura BPM (Business Process Management) usando</w:t>
      </w:r>
      <w:r>
        <w:t xml:space="preserve"> </w:t>
      </w:r>
      <w:r>
        <w:rPr>
          <w:bCs/>
          <w:b/>
        </w:rPr>
        <w:t xml:space="preserve">Bizagi</w:t>
      </w:r>
      <w:r>
        <w:t xml:space="preserve">, con múltiples módulos integrados: portal web, SIGDI (guías digitales), BI (Business Intelligence), call center, portal de autogestión, y está respaldado por una infraestructura de alta disponibilidad con medidas de seguridad de nivel empresarial.</w:t>
      </w:r>
    </w:p>
    <w:p>
      <w:r>
        <w:pict>
          <v:rect style="width:0;height:1.5pt" o:hralign="center" o:hrstd="t" o:hr="t"/>
        </w:pict>
      </w:r>
    </w:p>
    <w:bookmarkEnd w:id="21"/>
    <w:bookmarkStart w:id="27" w:name="visión-general-del-sicom"/>
    <w:p>
      <w:pPr>
        <w:pStyle w:val="Heading2"/>
      </w:pPr>
      <w:r>
        <w:t xml:space="preserve">2. VISIÓN GENERAL DEL SICOM</w:t>
      </w:r>
    </w:p>
    <w:bookmarkStart w:id="22" w:name="definición"/>
    <w:p>
      <w:pPr>
        <w:pStyle w:val="Heading3"/>
      </w:pPr>
      <w:r>
        <w:t xml:space="preserve">2.1 Definición</w:t>
      </w:r>
    </w:p>
    <w:p>
      <w:pPr>
        <w:pStyle w:val="BlockText"/>
      </w:pPr>
      <w:r>
        <w:rPr>
          <w:bCs/>
          <w:b/>
        </w:rPr>
        <w:t xml:space="preserve">SICOM</w:t>
      </w:r>
      <w:r>
        <w:t xml:space="preserve"> </w:t>
      </w:r>
      <w:r>
        <w:t xml:space="preserve">es el Sistema de Información de la Cadena de Distribución de Combustibles Líquidos Derivados del Petróleo del Ministerio de Minas y Energía, el cual integra a los agentes de la cadena a nivel nacional en un solo sistema de información y mediante el cual se organiza, controla y sistematiza la comercialización, distribución, transporte y almacenamiento de combustibles líquidos derivados del petróleo, alcohol carburante y biodiesel.</w:t>
      </w:r>
    </w:p>
    <w:bookmarkEnd w:id="22"/>
    <w:bookmarkStart w:id="23" w:name="tipos-de-combustibles-gestionados"/>
    <w:p>
      <w:pPr>
        <w:pStyle w:val="Heading3"/>
      </w:pPr>
      <w:r>
        <w:t xml:space="preserve">2.2 Tipos de Combustibles Gestionados</w:t>
      </w:r>
    </w:p>
    <w:p>
      <w:pPr>
        <w:numPr>
          <w:ilvl w:val="0"/>
          <w:numId w:val="1011"/>
        </w:numPr>
        <w:pStyle w:val="Compact"/>
      </w:pPr>
      <w:r>
        <w:t xml:space="preserve">Gasolina motor (extra, corriente, oxigenada)</w:t>
      </w:r>
    </w:p>
    <w:p>
      <w:pPr>
        <w:numPr>
          <w:ilvl w:val="0"/>
          <w:numId w:val="1011"/>
        </w:numPr>
        <w:pStyle w:val="Compact"/>
      </w:pPr>
      <w:r>
        <w:t xml:space="preserve">Combustibles de aviación (avgas, jet fuel)</w:t>
      </w:r>
    </w:p>
    <w:p>
      <w:pPr>
        <w:numPr>
          <w:ilvl w:val="0"/>
          <w:numId w:val="1011"/>
        </w:numPr>
        <w:pStyle w:val="Compact"/>
      </w:pPr>
      <w:r>
        <w:t xml:space="preserve">Queroseno</w:t>
      </w:r>
    </w:p>
    <w:p>
      <w:pPr>
        <w:numPr>
          <w:ilvl w:val="0"/>
          <w:numId w:val="1011"/>
        </w:numPr>
        <w:pStyle w:val="Compact"/>
      </w:pPr>
      <w:r>
        <w:t xml:space="preserve">Diésel extra / diésel de bajo azufre</w:t>
      </w:r>
    </w:p>
    <w:p>
      <w:pPr>
        <w:numPr>
          <w:ilvl w:val="0"/>
          <w:numId w:val="1011"/>
        </w:numPr>
        <w:pStyle w:val="Compact"/>
      </w:pPr>
      <w:r>
        <w:t xml:space="preserve">Diésel corriente (ACPM)</w:t>
      </w:r>
    </w:p>
    <w:p>
      <w:pPr>
        <w:numPr>
          <w:ilvl w:val="0"/>
          <w:numId w:val="1011"/>
        </w:numPr>
        <w:pStyle w:val="Compact"/>
      </w:pPr>
      <w:r>
        <w:t xml:space="preserve">Diésel marino / fluvial</w:t>
      </w:r>
    </w:p>
    <w:p>
      <w:pPr>
        <w:numPr>
          <w:ilvl w:val="0"/>
          <w:numId w:val="1011"/>
        </w:numPr>
        <w:pStyle w:val="Compact"/>
      </w:pPr>
      <w:r>
        <w:t xml:space="preserve">Combustible para quemadores industriales (fuel oil / combustóleo)</w:t>
      </w:r>
    </w:p>
    <w:p>
      <w:pPr>
        <w:numPr>
          <w:ilvl w:val="0"/>
          <w:numId w:val="1011"/>
        </w:numPr>
        <w:pStyle w:val="Compact"/>
      </w:pPr>
      <w:r>
        <w:t xml:space="preserve">Alcohol carburante</w:t>
      </w:r>
    </w:p>
    <w:p>
      <w:pPr>
        <w:numPr>
          <w:ilvl w:val="0"/>
          <w:numId w:val="1011"/>
        </w:numPr>
        <w:pStyle w:val="Compact"/>
      </w:pPr>
      <w:r>
        <w:t xml:space="preserve">Biodiesel</w:t>
      </w:r>
    </w:p>
    <w:bookmarkEnd w:id="23"/>
    <w:bookmarkStart w:id="24" w:name="tipos-de-agentes-de-la-cadena"/>
    <w:p>
      <w:pPr>
        <w:pStyle w:val="Heading3"/>
      </w:pPr>
      <w:r>
        <w:t xml:space="preserve">2.3 Tipos de Agentes de la Cadena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69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 crudo para producir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 combustibles al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Almacenador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instalaciones de 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Mayorista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Distribuye al por mayor mediante plantas de abastecimiento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Transporta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Minorista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estaciones de servicio (EDS) o comercializadores industriales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 Consumidor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grandes volúmenes de combustible</w:t>
            </w:r>
          </w:p>
        </w:tc>
      </w:tr>
    </w:tbl>
    <w:bookmarkEnd w:id="24"/>
    <w:bookmarkStart w:id="25" w:name="tipos-de-estaciones-de-servicio-eds"/>
    <w:p>
      <w:pPr>
        <w:pStyle w:val="Heading3"/>
      </w:pPr>
      <w:r>
        <w:t xml:space="preserve">2.4 Tipos de Estaciones de Servicio (EDS)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Automotriz</w:t>
      </w:r>
      <w:r>
        <w:t xml:space="preserve">: Surtidores fijos para vehículos automotores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Aviación</w:t>
      </w:r>
      <w:r>
        <w:t xml:space="preserve">: Combustibles para aeronaves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Marítima</w:t>
      </w:r>
      <w:r>
        <w:t xml:space="preserve">: Combustibles para embarcaciones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Fluvial</w:t>
      </w:r>
      <w:r>
        <w:t xml:space="preserve">: Combustibles para transporte fluvial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Mixta</w:t>
      </w:r>
      <w:r>
        <w:t xml:space="preserve">: Combustibles líquidos y gaseosos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Privada</w:t>
      </w:r>
      <w:r>
        <w:t xml:space="preserve">: Exclusiva para flota propia de una empresa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Pública</w:t>
      </w:r>
      <w:r>
        <w:t xml:space="preserve">: Abierta al público general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Dedicada</w:t>
      </w:r>
      <w:r>
        <w:t xml:space="preserve">: Solo un tipo de combustible</w:t>
      </w:r>
    </w:p>
    <w:bookmarkEnd w:id="25"/>
    <w:bookmarkStart w:id="26" w:name="plataformas-del-sicom"/>
    <w:p>
      <w:pPr>
        <w:pStyle w:val="Heading3"/>
      </w:pPr>
      <w:r>
        <w:t xml:space="preserve">2.5 Plataformas del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3028"/>
        <w:gridCol w:w="2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Portal Web SICOM (Home)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principal de gestión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Nuevo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evolutiva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UX y nuevos módulos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https://sigdi.sicom.gov.co/guias/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digitales de transporte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Portal de Autogestión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 en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casos y solicitudes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 (BPM)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procesos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marco-normativo"/>
    <w:p>
      <w:pPr>
        <w:pStyle w:val="Heading2"/>
      </w:pPr>
      <w:r>
        <w:t xml:space="preserve">3. MARCO NORMATIVO</w:t>
      </w:r>
    </w:p>
    <w:p>
      <w:pPr>
        <w:pStyle w:val="FirstParagraph"/>
      </w:pPr>
      <w:r>
        <w:t xml:space="preserve">El SICOM opera bajo el siguiente marco normativo principal: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1073 de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Único del Sector Minas y Energía. Normativa principal que regula el SICOM.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1135 de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Modificaciones y actualizaciones al régimen de combustibles.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Resolución SIGDI 40483 de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 el Sistema de Información de Guías Digitales de Transporte.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Resolución 0242 de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regulatorio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1120 de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Disposiciones sobre comercialización de combustibles.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7" w:name="arquitectura-de-procesos"/>
    <w:p>
      <w:pPr>
        <w:pStyle w:val="Heading2"/>
      </w:pPr>
      <w:r>
        <w:t xml:space="preserve">4. ARQUITECTURA DE PROCESOS</w:t>
      </w:r>
    </w:p>
    <w:p>
      <w:pPr>
        <w:pStyle w:val="FirstParagraph"/>
      </w:pPr>
      <w:r>
        <w:t xml:space="preserve">El SICOM está diseñado sobre una arquitectura de procesos BPMN (Business Process Model and Notation), implementada en la plataforma</w:t>
      </w:r>
      <w:r>
        <w:t xml:space="preserve"> </w:t>
      </w:r>
      <w:r>
        <w:rPr>
          <w:bCs/>
          <w:b/>
        </w:rPr>
        <w:t xml:space="preserve">Bizagi</w:t>
      </w:r>
      <w:r>
        <w:t xml:space="preserve">. Los procesos se dividen en tres grandes grupos:</w:t>
      </w:r>
    </w:p>
    <w:bookmarkStart w:id="29" w:name="macroproceso-de-combustibles-líquidos"/>
    <w:p>
      <w:pPr>
        <w:pStyle w:val="Heading3"/>
      </w:pPr>
      <w:r>
        <w:t xml:space="preserve">4.1 Macroproceso de Combustibles Líquidos</w:t>
      </w:r>
    </w:p>
    <w:p>
      <w:pPr>
        <w:pStyle w:val="FirstParagraph"/>
      </w:pPr>
      <w:r>
        <w:t xml:space="preserve">El macroproceso describe el flujo end-to-end de la cadena de suministro de combustibles líquidos, desde la creación de agentes hasta la generación de órdenes de pedido, despacho, transporte y cierre.</w:t>
      </w:r>
    </w:p>
    <w:p>
      <w:pPr>
        <w:pStyle w:val="SourceCode"/>
      </w:pPr>
      <w:r>
        <w:rPr>
          <w:rStyle w:val="VerbatimChar"/>
        </w:rPr>
        <w:t xml:space="preserve">[Agente] → [Creación/Validación] → [Orden de Pedido] → [Despacho] → [Transporte/SIGDI] → [Cierre/Cumplido] → [Monitoreo]</w:t>
      </w:r>
    </w:p>
    <w:bookmarkEnd w:id="29"/>
    <w:bookmarkStart w:id="31" w:name="procesos-de-apoyo-m-126"/>
    <w:p>
      <w:pPr>
        <w:pStyle w:val="Heading3"/>
      </w:pPr>
      <w:r>
        <w:t xml:space="preserve">4.2 Procesos de Apoyo (M-126)</w:t>
      </w:r>
    </w:p>
    <w:p>
      <w:pPr>
        <w:pStyle w:val="FirstParagraph"/>
      </w:pPr>
      <w:r>
        <w:t xml:space="preserve">Los procesos de apoyo alimentan y soportan los procesos principales de generación de órdenes de pedido.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nuevo agente en el portal web. Incluye validación por dos roles del MME. Genera código SICOM de 6 dígitos.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Validar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reusable de validación de datos por funcionarios del MME (Responsable Funcional + Coordinador).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Modificación de datos del agente ya existente. Incluye subproceso de validación.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Creación, modificación, inactivación de usuarios principales y secundarios por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Acuerdos y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acuerdos comerciales y catálogo de productos entre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Plantas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y actualización de plantas de abastecimiento asociadas a cada agente. Incluye EDS automotriz, aviación, marítima, fluvial, industrial.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Vehículos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vehículos autorizados para transporte de combustibles.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Validación Documentos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SOAT, pólizas, revisión técnico-mecánica, licencias de conducción.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 automáticos)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Mezclas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mezclas de combustibles (gasolina corriente oxigenada, extra oxigenada).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</w:tbl>
    <w:bookmarkStart w:id="30" w:name="reglas-de-negocio-clave-crear-agente"/>
    <w:p>
      <w:pPr>
        <w:pStyle w:val="Heading4"/>
      </w:pPr>
      <w:r>
        <w:t xml:space="preserve">Reglas de Negocio Clave — Crear Agente</w:t>
      </w:r>
    </w:p>
    <w:p>
      <w:pPr>
        <w:numPr>
          <w:ilvl w:val="0"/>
          <w:numId w:val="1013"/>
        </w:numPr>
        <w:pStyle w:val="Compact"/>
      </w:pPr>
      <w:r>
        <w:t xml:space="preserve">No se permite crear una razón social con el mismo NIT/RUT existente.</w:t>
      </w:r>
    </w:p>
    <w:p>
      <w:pPr>
        <w:numPr>
          <w:ilvl w:val="0"/>
          <w:numId w:val="1013"/>
        </w:numPr>
        <w:pStyle w:val="Compact"/>
      </w:pPr>
      <w:r>
        <w:t xml:space="preserve">Un NIT puede tener múltiples códigos SICOM asociados.</w:t>
      </w:r>
    </w:p>
    <w:p>
      <w:pPr>
        <w:numPr>
          <w:ilvl w:val="0"/>
          <w:numId w:val="1013"/>
        </w:numPr>
        <w:pStyle w:val="Compact"/>
      </w:pPr>
      <w:r>
        <w:t xml:space="preserve">El código SICOM tiene 6 dígitos: 2 primeros = tipo de agente, 4 últimos = consecutivo.</w:t>
      </w:r>
    </w:p>
    <w:p>
      <w:pPr>
        <w:numPr>
          <w:ilvl w:val="0"/>
          <w:numId w:val="1013"/>
        </w:numPr>
        <w:pStyle w:val="Compact"/>
      </w:pPr>
      <w:r>
        <w:t xml:space="preserve">Las direcciones se normalizan automáticamente.</w:t>
      </w:r>
    </w:p>
    <w:p>
      <w:pPr>
        <w:numPr>
          <w:ilvl w:val="0"/>
          <w:numId w:val="1013"/>
        </w:numPr>
        <w:pStyle w:val="Compact"/>
      </w:pPr>
      <w:r>
        <w:t xml:space="preserve">Correos electrónicos y páginas web se validan automáticamente.</w:t>
      </w:r>
    </w:p>
    <w:p>
      <w:pPr>
        <w:numPr>
          <w:ilvl w:val="0"/>
          <w:numId w:val="1013"/>
        </w:numPr>
        <w:pStyle w:val="Compact"/>
      </w:pPr>
      <w:r>
        <w:t xml:space="preserve">Si la EDS es operada por propietario, los datos son no editables; si es arrendatario, permite edición.</w:t>
      </w:r>
    </w:p>
    <w:p>
      <w:pPr>
        <w:numPr>
          <w:ilvl w:val="0"/>
          <w:numId w:val="1013"/>
        </w:numPr>
        <w:pStyle w:val="Compact"/>
      </w:pPr>
      <w:r>
        <w:t xml:space="preserve">Solo se permite adjuntar documentos en PDF.</w:t>
      </w:r>
    </w:p>
    <w:p>
      <w:pPr>
        <w:numPr>
          <w:ilvl w:val="0"/>
          <w:numId w:val="1013"/>
        </w:numPr>
        <w:pStyle w:val="Compact"/>
      </w:pPr>
      <w:r>
        <w:t xml:space="preserve">Duración de validación: 60 días.</w:t>
      </w:r>
    </w:p>
    <w:bookmarkEnd w:id="30"/>
    <w:bookmarkEnd w:id="31"/>
    <w:bookmarkStart w:id="34" w:name="procesos-principales-core-m-127"/>
    <w:p>
      <w:pPr>
        <w:pStyle w:val="Heading3"/>
      </w:pPr>
      <w:r>
        <w:t xml:space="preserve">4.3 Procesos Principales / Core (M-127)</w:t>
      </w:r>
    </w:p>
    <w:p>
      <w:pPr>
        <w:pStyle w:val="FirstParagraph"/>
      </w:pPr>
      <w:r>
        <w:t xml:space="preserve">Los procesos principales gestionan la generación y ejecución de órdenes de pedido.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3321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Simple (OPS)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más común. Permite solicitar múltiples productos. Genera cumplido si aplica. Posibilidad de devoluciones en aceptación, despacho y cierre.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Solicitante → Agente Proveedor → Puesto de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con programación temporal recurrente.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por un agente individual.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Anticipada por 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con nominación de volúmenes.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de 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de combustibles entre instalaciones del mismo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Solicitudes OP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de solicitudes de órdenes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Despachos OP 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despachos para órdenes anticipadas individuales.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Despachos OP Anticipada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despachos para órdenes anticipadas por nominación.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Cargue Masivo de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batch para cargar múltiples entregas simultáneamente.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Órdenes de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Modificación de órdenes existentes.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Recepción Guía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de recepción y validación de guías digitales de transporte.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SIGDI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Monitoreo de Vehículos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de seguimiento de vehículos en tránsito.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+ Agente</w:t>
            </w:r>
          </w:p>
        </w:tc>
      </w:tr>
    </w:tbl>
    <w:bookmarkStart w:id="32" w:name="flujo-de-orden-de-pedido-simple"/>
    <w:p>
      <w:pPr>
        <w:pStyle w:val="Heading4"/>
      </w:pPr>
      <w:r>
        <w:t xml:space="preserve">Flujo de Orden de Pedido Simple</w:t>
      </w:r>
    </w:p>
    <w:p>
      <w:pPr>
        <w:pStyle w:val="SourceCode"/>
      </w:pPr>
      <w:r>
        <w:rPr>
          <w:rStyle w:val="VerbatimChar"/>
        </w:rPr>
        <w:t xml:space="preserve">1. Agente Solicitante CREA la orden de pedido</w:t>
      </w:r>
      <w:r>
        <w:br/>
      </w:r>
      <w:r>
        <w:rPr>
          <w:rStyle w:val="VerbatimChar"/>
        </w:rPr>
        <w:t xml:space="preserve">2. Sistema GENERA y envía resultado del cumplido (si aplica)</w:t>
      </w:r>
      <w:r>
        <w:br/>
      </w:r>
      <w:r>
        <w:rPr>
          <w:rStyle w:val="VerbatimChar"/>
        </w:rPr>
        <w:t xml:space="preserve">3. Sistema CARGA vehículos del proveedor</w:t>
      </w:r>
      <w:r>
        <w:br/>
      </w:r>
      <w:r>
        <w:rPr>
          <w:rStyle w:val="VerbatimChar"/>
        </w:rPr>
        <w:t xml:space="preserve">4. Agente Proveedor ACEPTA la orden</w:t>
      </w:r>
      <w:r>
        <w:br/>
      </w:r>
      <w:r>
        <w:rPr>
          <w:rStyle w:val="VerbatimChar"/>
        </w:rPr>
        <w:t xml:space="preserve">   → Si rechaza: notifica rechazo, fin del proceso</w:t>
      </w:r>
      <w:r>
        <w:br/>
      </w:r>
      <w:r>
        <w:rPr>
          <w:rStyle w:val="VerbatimChar"/>
        </w:rPr>
        <w:t xml:space="preserve">5. Agente Proveedor DESPACHA la orden</w:t>
      </w:r>
      <w:r>
        <w:br/>
      </w:r>
      <w:r>
        <w:rPr>
          <w:rStyle w:val="VerbatimChar"/>
        </w:rPr>
        <w:t xml:space="preserve">   → Si rechaza: notifica rechazo, fin del proceso</w:t>
      </w:r>
      <w:r>
        <w:br/>
      </w:r>
      <w:r>
        <w:rPr>
          <w:rStyle w:val="VerbatimChar"/>
        </w:rPr>
        <w:t xml:space="preserve">6. Subproceso: RECEPCIÓN GUÍA DIGITAL</w:t>
      </w:r>
      <w:r>
        <w:br/>
      </w:r>
      <w:r>
        <w:rPr>
          <w:rStyle w:val="VerbatimChar"/>
        </w:rPr>
        <w:t xml:space="preserve">7. Subproceso: MONITOREO VEHÍCULOS</w:t>
      </w:r>
      <w:r>
        <w:br/>
      </w:r>
      <w:r>
        <w:rPr>
          <w:rStyle w:val="VerbatimChar"/>
        </w:rPr>
        <w:t xml:space="preserve">8. Puesto de Control VALIDA Y REGISTRA cumplido</w:t>
      </w:r>
      <w:r>
        <w:br/>
      </w:r>
      <w:r>
        <w:rPr>
          <w:rStyle w:val="VerbatimChar"/>
        </w:rPr>
        <w:t xml:space="preserve">9. Agente Solicitante DILIGENCIA cumplimiento de requisitos</w:t>
      </w:r>
      <w:r>
        <w:br/>
      </w:r>
      <w:r>
        <w:rPr>
          <w:rStyle w:val="VerbatimChar"/>
        </w:rPr>
        <w:t xml:space="preserve">10. Agente/Cierre CIERRA la orden de pedido</w:t>
      </w:r>
    </w:p>
    <w:bookmarkEnd w:id="32"/>
    <w:bookmarkStart w:id="33" w:name="estados-de-una-orden-de-pedido"/>
    <w:p>
      <w:pPr>
        <w:pStyle w:val="Heading4"/>
      </w:pPr>
      <w:r>
        <w:t xml:space="preserve">Estados de una Orden de Pedido</w:t>
      </w:r>
    </w:p>
    <w:p>
      <w:pPr>
        <w:numPr>
          <w:ilvl w:val="0"/>
          <w:numId w:val="1014"/>
        </w:numPr>
        <w:pStyle w:val="Compact"/>
      </w:pPr>
      <w:r>
        <w:t xml:space="preserve">Solicitud</w:t>
      </w:r>
    </w:p>
    <w:p>
      <w:pPr>
        <w:numPr>
          <w:ilvl w:val="0"/>
          <w:numId w:val="1014"/>
        </w:numPr>
        <w:pStyle w:val="Compact"/>
      </w:pPr>
      <w:r>
        <w:t xml:space="preserve">Aceptada</w:t>
      </w:r>
    </w:p>
    <w:p>
      <w:pPr>
        <w:numPr>
          <w:ilvl w:val="0"/>
          <w:numId w:val="1014"/>
        </w:numPr>
        <w:pStyle w:val="Compact"/>
      </w:pPr>
      <w:r>
        <w:t xml:space="preserve">Despachada</w:t>
      </w:r>
    </w:p>
    <w:p>
      <w:pPr>
        <w:numPr>
          <w:ilvl w:val="0"/>
          <w:numId w:val="1014"/>
        </w:numPr>
        <w:pStyle w:val="Compact"/>
      </w:pPr>
      <w:r>
        <w:t xml:space="preserve">En tránsito (monitoreo)</w:t>
      </w:r>
    </w:p>
    <w:p>
      <w:pPr>
        <w:numPr>
          <w:ilvl w:val="0"/>
          <w:numId w:val="1014"/>
        </w:numPr>
        <w:pStyle w:val="Compact"/>
      </w:pPr>
      <w:r>
        <w:t xml:space="preserve">Cumplido validado</w:t>
      </w:r>
    </w:p>
    <w:p>
      <w:pPr>
        <w:numPr>
          <w:ilvl w:val="0"/>
          <w:numId w:val="1014"/>
        </w:numPr>
        <w:pStyle w:val="Compact"/>
      </w:pPr>
      <w:r>
        <w:t xml:space="preserve">Cerrada</w:t>
      </w:r>
    </w:p>
    <w:p>
      <w:pPr>
        <w:numPr>
          <w:ilvl w:val="0"/>
          <w:numId w:val="1014"/>
        </w:numPr>
        <w:pStyle w:val="Compact"/>
      </w:pPr>
      <w:r>
        <w:t xml:space="preserve">Rechazada</w:t>
      </w:r>
    </w:p>
    <w:p>
      <w:pPr>
        <w:numPr>
          <w:ilvl w:val="0"/>
          <w:numId w:val="1014"/>
        </w:numPr>
        <w:pStyle w:val="Compact"/>
      </w:pPr>
      <w:r>
        <w:t xml:space="preserve">Anulada</w:t>
      </w:r>
    </w:p>
    <w:bookmarkEnd w:id="33"/>
    <w:bookmarkEnd w:id="34"/>
    <w:bookmarkStart w:id="36" w:name="procesos-de-control-m-128"/>
    <w:p>
      <w:pPr>
        <w:pStyle w:val="Heading3"/>
      </w:pPr>
      <w:r>
        <w:t xml:space="preserve">4.4 Procesos de Control (M-128)</w:t>
      </w:r>
    </w:p>
    <w:p>
      <w:pPr>
        <w:pStyle w:val="FirstParagraph"/>
      </w:pPr>
      <w:r>
        <w:t xml:space="preserve">Los procesos de control permiten al Ministerio regular y supervisar la operación de los agentes.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Inhabilitar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Desactivación total de agente, plantas y usuarios asociados.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Líder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Notificar Vigencia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automáticas por vencimiento de documentos de agentes/plantas/vehículos.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 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precios de combustibles por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 Precios Mínimos y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Fijación de rangos de precios por parte del MME.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 Volumen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cupos máximos de compra por agente/producto.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Solicitudes Volumen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de solicitudes de incremento de cupos.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Asignación/Reasignación Volúmenes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Reasignación de cupos entre agentes o productos.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Declaración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periódico de operaciones por parte de los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Cargue Masivo Declaración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batch de declaraciones de información.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Declaración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de declaraciones enviadas.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Bloqueo/Desbloqueo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acceso temporal por incumplimiento o vencimiento de documentos.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 automáticos) + Operador Líder</w:t>
            </w:r>
          </w:p>
        </w:tc>
      </w:tr>
    </w:tbl>
    <w:bookmarkStart w:id="35" w:name="jobs-automáticos-de-control-cron-jobs"/>
    <w:p>
      <w:pPr>
        <w:pStyle w:val="Heading4"/>
      </w:pPr>
      <w:r>
        <w:t xml:space="preserve">Jobs Automáticos de Control (Cron Jobs)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741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JobAlerVencPoliVehi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vencimiento póliza vehicular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JobValDocsAg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documentos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JobValDocsPlan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documentos planta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módulos-del-sistema"/>
    <w:p>
      <w:pPr>
        <w:pStyle w:val="Heading2"/>
      </w:pPr>
      <w:r>
        <w:t xml:space="preserve">5. MÓDULOS DEL SISTEMA</w:t>
      </w:r>
    </w:p>
    <w:bookmarkStart w:id="38" w:name="portal-web-sicom-home"/>
    <w:p>
      <w:pPr>
        <w:pStyle w:val="Heading3"/>
      </w:pPr>
      <w:r>
        <w:t xml:space="preserve">5.1 Portal Web SICOM (Home)</w:t>
      </w:r>
    </w:p>
    <w:p>
      <w:pPr>
        <w:pStyle w:val="FirstParagraph"/>
      </w:pPr>
      <w:r>
        <w:t xml:space="preserve">Es el punto de entrada principal para todos los agentes de la cadena.</w:t>
      </w:r>
    </w:p>
    <w:p>
      <w:pPr>
        <w:pStyle w:val="BodyText"/>
      </w:pPr>
      <w:r>
        <w:rPr>
          <w:bCs/>
          <w:b/>
        </w:rPr>
        <w:t xml:space="preserve">Funcionalidades:</w:t>
      </w:r>
      <w:r>
        <w:t xml:space="preserve"> </w:t>
      </w:r>
      <w:r>
        <w:t xml:space="preserve">- Autenticación con usuario y contraseña</w:t>
      </w:r>
      <w:r>
        <w:t xml:space="preserve"> </w:t>
      </w:r>
      <w:r>
        <w:t xml:space="preserve">- Registro de nuevos agentes (solicitud de creación)</w:t>
      </w:r>
      <w:r>
        <w:t xml:space="preserve"> </w:t>
      </w:r>
      <w:r>
        <w:t xml:space="preserve">- Gestión de órdenes de pedido</w:t>
      </w:r>
      <w:r>
        <w:t xml:space="preserve"> </w:t>
      </w:r>
      <w:r>
        <w:t xml:space="preserve">- Consulta de estados de agente</w:t>
      </w:r>
      <w:r>
        <w:t xml:space="preserve"> </w:t>
      </w:r>
      <w:r>
        <w:t xml:space="preserve">- Actualización de documentos vencidos</w:t>
      </w:r>
      <w:r>
        <w:t xml:space="preserve"> </w:t>
      </w:r>
      <w:r>
        <w:t xml:space="preserve">- Asociación de vehículos</w:t>
      </w:r>
      <w:r>
        <w:t xml:space="preserve"> </w:t>
      </w:r>
      <w:r>
        <w:t xml:space="preserve">- Creación de usuarios secundarios</w:t>
      </w:r>
      <w:r>
        <w:t xml:space="preserve"> </w:t>
      </w:r>
      <w:r>
        <w:t xml:space="preserve">- Inactivación de usuarios secundarios</w:t>
      </w:r>
      <w:r>
        <w:t xml:space="preserve"> </w:t>
      </w:r>
      <w:r>
        <w:t xml:space="preserve">- Registro de precios</w:t>
      </w:r>
      <w:r>
        <w:t xml:space="preserve"> </w:t>
      </w:r>
      <w:r>
        <w:t xml:space="preserve">- Declaración de información</w:t>
      </w:r>
      <w:r>
        <w:t xml:space="preserve"> </w:t>
      </w:r>
      <w:r>
        <w:t xml:space="preserve">- Portal de autogestión para radicación de casos</w:t>
      </w:r>
    </w:p>
    <w:bookmarkEnd w:id="38"/>
    <w:bookmarkStart w:id="39" w:name="Xccc974b3dbb8df89c75619ace8e2f6eb96d93af"/>
    <w:p>
      <w:pPr>
        <w:pStyle w:val="Heading3"/>
      </w:pPr>
      <w:r>
        <w:t xml:space="preserve">5.2 SIGDI — Sistema de Información Guías Digitales de Transporte</w:t>
      </w:r>
    </w:p>
    <w:p>
      <w:pPr>
        <w:pStyle w:val="FirstParagraph"/>
      </w:pPr>
      <w:r>
        <w:t xml:space="preserve">SIGDI es el módulo encargado de la generación de guías digitales de transporte para las órdenes de pedido despachadas en SICOM.</w:t>
      </w:r>
    </w:p>
    <w:p>
      <w:pPr>
        <w:pStyle w:val="BodyText"/>
      </w:pPr>
      <w:r>
        <w:rPr>
          <w:bCs/>
          <w:b/>
        </w:rPr>
        <w:t xml:space="preserve">Funcionalidades principales: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Generación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automática de guía digital a partir de orden de pedido en estado</w:t>
            </w:r>
            <w:r>
              <w:t xml:space="preserve"> </w:t>
            </w:r>
            <w:r>
              <w:t xml:space="preserve">“</w:t>
            </w:r>
            <w:r>
              <w:t xml:space="preserve">despachado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 de 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15 dígitos generado automáticamente por SICOM para cada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Consecutivo de 16 dígitos (inicia con 6 dígitos del código SICOM)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autenticidad mediante código enviado por correo electrónico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 Manifiesto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precintos, código de manifiesto y empresa transportadora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Previsualización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previa de guía en PDF con marca de agua</w:t>
            </w:r>
            <w:r>
              <w:t xml:space="preserve"> </w:t>
            </w:r>
            <w:r>
              <w:t xml:space="preserve">“</w:t>
            </w:r>
            <w:r>
              <w:t xml:space="preserve">diligenciamiento</w:t>
            </w:r>
            <w:r>
              <w:t xml:space="preserve">”</w:t>
            </w:r>
            <w:r>
              <w:t xml:space="preserve"> </w:t>
            </w:r>
            <w:r>
              <w:t xml:space="preserve">(sin vigencia)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 electrónica de la guía con fecha/hora de salida, vigencia, marca de agua</w:t>
            </w:r>
            <w:r>
              <w:t xml:space="preserve"> </w:t>
            </w:r>
            <w:r>
              <w:t xml:space="preserve">“</w:t>
            </w:r>
            <w:r>
              <w:t xml:space="preserve">vigente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Histórico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todas las guías generadas por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Reporte de Novedades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de ajustes realizados en SICOM sobre guías vigentes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de firma en formato imagen (PNG, JPEG, JPG) o dibujo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Aprobación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del sistema aprueba las firmas cargadas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Flujo SIGDI:</w:t>
      </w:r>
    </w:p>
    <w:p>
      <w:pPr>
        <w:pStyle w:val="SourceCode"/>
      </w:pPr>
      <w:r>
        <w:rPr>
          <w:rStyle w:val="VerbatimChar"/>
        </w:rPr>
        <w:t xml:space="preserve">1. Orden de pedido en SICOM → Estado "Despachado"</w:t>
      </w:r>
      <w:r>
        <w:br/>
      </w:r>
      <w:r>
        <w:rPr>
          <w:rStyle w:val="VerbatimChar"/>
        </w:rPr>
        <w:t xml:space="preserve">2. Planta ingresa a SIGDI con usuario/clave de SICOM</w:t>
      </w:r>
      <w:r>
        <w:br/>
      </w:r>
      <w:r>
        <w:rPr>
          <w:rStyle w:val="VerbatimChar"/>
        </w:rPr>
        <w:t xml:space="preserve">3. Verificación de firma (código por correo)</w:t>
      </w:r>
      <w:r>
        <w:br/>
      </w:r>
      <w:r>
        <w:rPr>
          <w:rStyle w:val="VerbatimChar"/>
        </w:rPr>
        <w:t xml:space="preserve">4. Ingreso de código de autorización (15 dígitos)</w:t>
      </w:r>
      <w:r>
        <w:br/>
      </w:r>
      <w:r>
        <w:rPr>
          <w:rStyle w:val="VerbatimChar"/>
        </w:rPr>
        <w:t xml:space="preserve">5. Sistema carga datos de la orden (NO EDITABLES)</w:t>
      </w:r>
      <w:r>
        <w:br/>
      </w:r>
      <w:r>
        <w:rPr>
          <w:rStyle w:val="VerbatimChar"/>
        </w:rPr>
        <w:t xml:space="preserve">6. Registro de manifiesto y precintos</w:t>
      </w:r>
      <w:r>
        <w:br/>
      </w:r>
      <w:r>
        <w:rPr>
          <w:rStyle w:val="VerbatimChar"/>
        </w:rPr>
        <w:t xml:space="preserve">7. Registro de guía → Botones "Previsualizar" y "Firmar"</w:t>
      </w:r>
      <w:r>
        <w:br/>
      </w:r>
      <w:r>
        <w:rPr>
          <w:rStyle w:val="VerbatimChar"/>
        </w:rPr>
        <w:t xml:space="preserve">8. Previsualización: PDF sin firma, sin vigencia, marca de agua "diligenciamiento"</w:t>
      </w:r>
      <w:r>
        <w:br/>
      </w:r>
      <w:r>
        <w:rPr>
          <w:rStyle w:val="VerbatimChar"/>
        </w:rPr>
        <w:t xml:space="preserve">9. Firma: Sistema valida actualizaciones en SICOM, firma digital, genera guía vigente</w:t>
      </w:r>
      <w:r>
        <w:br/>
      </w:r>
      <w:r>
        <w:rPr>
          <w:rStyle w:val="VerbatimChar"/>
        </w:rPr>
        <w:t xml:space="preserve">10. Guía firmada: PDF con firma, fecha/hora salida, vigencia (horas), marca "vigente"</w:t>
      </w:r>
      <w:r>
        <w:br/>
      </w:r>
      <w:r>
        <w:rPr>
          <w:rStyle w:val="VerbatimChar"/>
        </w:rPr>
        <w:t xml:space="preserve">11. Correo electrónico de confirmación al agente</w:t>
      </w:r>
      <w:r>
        <w:br/>
      </w:r>
      <w:r>
        <w:rPr>
          <w:rStyle w:val="VerbatimChar"/>
        </w:rPr>
        <w:t xml:space="preserve">12. Histórico disponible para descarga e impresión</w:t>
      </w:r>
    </w:p>
    <w:p>
      <w:pPr>
        <w:pStyle w:val="FirstParagraph"/>
      </w:pPr>
      <w:r>
        <w:rPr>
          <w:bCs/>
          <w:b/>
        </w:rPr>
        <w:t xml:space="preserve">Nota clave:</w:t>
      </w:r>
      <w:r>
        <w:t xml:space="preserve"> </w:t>
      </w:r>
      <w:r>
        <w:t xml:space="preserve">Los datos de la guía NO son editables en SIGDI. Si requieren cambio, se debe ajustar la orden de pedido en SICOM y devolverla al estado</w:t>
      </w:r>
      <w:r>
        <w:t xml:space="preserve"> </w:t>
      </w:r>
      <w:r>
        <w:t xml:space="preserve">“</w:t>
      </w:r>
      <w:r>
        <w:t xml:space="preserve">despachado</w:t>
      </w:r>
      <w:r>
        <w:t xml:space="preserve">”</w:t>
      </w:r>
      <w:r>
        <w:t xml:space="preserve">.</w:t>
      </w:r>
    </w:p>
    <w:bookmarkEnd w:id="39"/>
    <w:bookmarkStart w:id="40" w:name="bpm-bizagi"/>
    <w:p>
      <w:pPr>
        <w:pStyle w:val="Heading3"/>
      </w:pPr>
      <w:r>
        <w:t xml:space="preserve">5.3 BPM Bizagi</w:t>
      </w:r>
    </w:p>
    <w:p>
      <w:pPr>
        <w:pStyle w:val="FirstParagraph"/>
      </w:pPr>
      <w:r>
        <w:t xml:space="preserve">Bizagi es el motor de workflows que orquesta todos los procesos del SICOM.</w:t>
      </w:r>
    </w:p>
    <w:p>
      <w:pPr>
        <w:pStyle w:val="BodyText"/>
      </w:pPr>
      <w:r>
        <w:rPr>
          <w:bCs/>
          <w:b/>
        </w:rPr>
        <w:t xml:space="preserve">Características:</w:t>
      </w:r>
      <w:r>
        <w:t xml:space="preserve"> </w:t>
      </w:r>
      <w:r>
        <w:t xml:space="preserve">- Procesos modelados en BPMN 2.0</w:t>
      </w:r>
      <w:r>
        <w:t xml:space="preserve"> </w:t>
      </w:r>
      <w:r>
        <w:t xml:space="preserve">- Subprocesos reusables (ej:</w:t>
      </w:r>
      <w:r>
        <w:t xml:space="preserve"> </w:t>
      </w:r>
      <w:r>
        <w:t xml:space="preserve">“</w:t>
      </w:r>
      <w:r>
        <w:t xml:space="preserve">Validar Información</w:t>
      </w:r>
      <w:r>
        <w:t xml:space="preserve">”</w:t>
      </w:r>
      <w:r>
        <w:t xml:space="preserve">)</w:t>
      </w:r>
      <w:r>
        <w:t xml:space="preserve"> </w:t>
      </w:r>
      <w:r>
        <w:t xml:space="preserve">- Tareas de servicio (scripts automáticos)</w:t>
      </w:r>
      <w:r>
        <w:t xml:space="preserve"> </w:t>
      </w:r>
      <w:r>
        <w:t xml:space="preserve">- Tareas de usuario (asignación por roles)</w:t>
      </w:r>
      <w:r>
        <w:t xml:space="preserve"> </w:t>
      </w:r>
      <w:r>
        <w:t xml:space="preserve">- Compuertas exclusivas de divergencia</w:t>
      </w:r>
      <w:r>
        <w:t xml:space="preserve"> </w:t>
      </w:r>
      <w:r>
        <w:t xml:space="preserve">- Eventos de inicio por mensaje (SOAP)</w:t>
      </w:r>
      <w:r>
        <w:t xml:space="preserve"> </w:t>
      </w:r>
      <w:r>
        <w:t xml:space="preserve">- Eventos intermedios de anulación y devolución</w:t>
      </w:r>
      <w:r>
        <w:t xml:space="preserve"> </w:t>
      </w:r>
      <w:r>
        <w:t xml:space="preserve">- Duraciones configurables por actividad</w:t>
      </w:r>
      <w:r>
        <w:t xml:space="preserve"> </w:t>
      </w:r>
      <w:r>
        <w:t xml:space="preserve">- Notificaciones automáticas por correo electrónico</w:t>
      </w:r>
    </w:p>
    <w:bookmarkEnd w:id="40"/>
    <w:bookmarkStart w:id="41" w:name="Xf4f9ae24c4588d3a683cf8ebddbd47b74418854"/>
    <w:p>
      <w:pPr>
        <w:pStyle w:val="Heading3"/>
      </w:pPr>
      <w:r>
        <w:t xml:space="preserve">5.4 BI — Business Intelligence / Calidad del Dato</w:t>
      </w:r>
    </w:p>
    <w:p>
      <w:pPr>
        <w:pStyle w:val="FirstParagraph"/>
      </w:pPr>
      <w:r>
        <w:t xml:space="preserve">El módulo de BI proporciona inteligencia de negocio y control de calidad del dato.</w:t>
      </w:r>
    </w:p>
    <w:p>
      <w:pPr>
        <w:pStyle w:val="BodyText"/>
      </w:pPr>
      <w:r>
        <w:rPr>
          <w:bCs/>
          <w:b/>
        </w:rPr>
        <w:t xml:space="preserve">Componentes:</w:t>
      </w:r>
      <w:r>
        <w:t xml:space="preserve"> </w:t>
      </w:r>
      <w:r>
        <w:t xml:space="preserve">- Cubos OLAP para análisis multidimensional</w:t>
      </w:r>
      <w:r>
        <w:t xml:space="preserve"> </w:t>
      </w:r>
      <w:r>
        <w:t xml:space="preserve">- Tableros de control (dashboards)</w:t>
      </w:r>
      <w:r>
        <w:t xml:space="preserve"> </w:t>
      </w:r>
      <w:r>
        <w:t xml:space="preserve">- Reportes de calidad del dato</w:t>
      </w:r>
      <w:r>
        <w:t xml:space="preserve"> </w:t>
      </w:r>
      <w:r>
        <w:t xml:space="preserve">- Seguimiento quincenal de calidad</w:t>
      </w:r>
      <w:r>
        <w:t xml:space="preserve"> </w:t>
      </w:r>
      <w:r>
        <w:t xml:space="preserve">- Matrices de competencias y seguimiento</w:t>
      </w:r>
      <w:r>
        <w:t xml:space="preserve"> </w:t>
      </w:r>
      <w:r>
        <w:t xml:space="preserve">- Informes trimestrales al MME</w:t>
      </w:r>
    </w:p>
    <w:p>
      <w:pPr>
        <w:pStyle w:val="BodyText"/>
      </w:pPr>
      <w:r>
        <w:rPr>
          <w:bCs/>
          <w:b/>
        </w:rPr>
        <w:t xml:space="preserve">Tipos de reportes:</w:t>
      </w:r>
      <w:r>
        <w:t xml:space="preserve"> </w:t>
      </w:r>
      <w:r>
        <w:t xml:space="preserve">- Calidad del dato por agente</w:t>
      </w:r>
      <w:r>
        <w:t xml:space="preserve"> </w:t>
      </w:r>
      <w:r>
        <w:t xml:space="preserve">- Calidad del dato por proceso</w:t>
      </w:r>
      <w:r>
        <w:t xml:space="preserve"> </w:t>
      </w:r>
      <w:r>
        <w:t xml:space="preserve">- Estadísticas de cumplimiento</w:t>
      </w:r>
      <w:r>
        <w:t xml:space="preserve"> </w:t>
      </w:r>
      <w:r>
        <w:t xml:space="preserve">- Alertas de inconsistencias</w:t>
      </w:r>
    </w:p>
    <w:bookmarkEnd w:id="41"/>
    <w:bookmarkStart w:id="42" w:name="call-center-mesa-de-ayuda"/>
    <w:p>
      <w:pPr>
        <w:pStyle w:val="Heading3"/>
      </w:pPr>
      <w:r>
        <w:t xml:space="preserve">5.5 Call Center / Mesa de Ayuda</w:t>
      </w:r>
    </w:p>
    <w:p>
      <w:pPr>
        <w:pStyle w:val="FirstParagraph"/>
      </w:pPr>
      <w:r>
        <w:rPr>
          <w:bCs/>
          <w:b/>
        </w:rPr>
        <w:t xml:space="preserve">Infraestructura: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Plataforma:</w:t>
      </w:r>
      <w:r>
        <w:t xml:space="preserve"> </w:t>
      </w:r>
      <w:r>
        <w:t xml:space="preserve">WolKVOX (centro de contacto)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de tickets:</w:t>
      </w:r>
      <w:r>
        <w:t xml:space="preserve"> </w:t>
      </w:r>
      <w:r>
        <w:t xml:space="preserve">Aranda (gestión de casos)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Niveles de atención:</w:t>
      </w:r>
      <w:r>
        <w:t xml:space="preserve"> </w:t>
      </w:r>
      <w:r>
        <w:t xml:space="preserve">N1 (primer nivel) / N2 (especializado)</w:t>
      </w:r>
    </w:p>
    <w:p>
      <w:pPr>
        <w:pStyle w:val="BodyText"/>
      </w:pPr>
      <w:r>
        <w:rPr>
          <w:bCs/>
          <w:b/>
        </w:rPr>
        <w:t xml:space="preserve">Funciones:</w:t>
      </w:r>
      <w:r>
        <w:t xml:space="preserve"> </w:t>
      </w:r>
      <w:r>
        <w:t xml:space="preserve">- Atención telefónica a agentes de la cadena</w:t>
      </w:r>
      <w:r>
        <w:t xml:space="preserve"> </w:t>
      </w:r>
      <w:r>
        <w:t xml:space="preserve">- Gestión de casos y tickets de soporte</w:t>
      </w:r>
      <w:r>
        <w:t xml:space="preserve"> </w:t>
      </w:r>
      <w:r>
        <w:t xml:space="preserve">- Protocolos de atención por tipo de incidente</w:t>
      </w:r>
      <w:r>
        <w:t xml:space="preserve"> </w:t>
      </w:r>
      <w:r>
        <w:t xml:space="preserve">- Grabación de llamadas (registro mensual)</w:t>
      </w:r>
      <w:r>
        <w:t xml:space="preserve"> </w:t>
      </w:r>
      <w:r>
        <w:t xml:space="preserve">- Informes mensuales de casos atendidos</w:t>
      </w:r>
      <w:r>
        <w:t xml:space="preserve"> </w:t>
      </w:r>
      <w:r>
        <w:t xml:space="preserve">- Escalamiento a N2 para casos técnicos complejos</w:t>
      </w:r>
    </w:p>
    <w:bookmarkEnd w:id="42"/>
    <w:bookmarkStart w:id="43" w:name="portal-de-autogestión"/>
    <w:p>
      <w:pPr>
        <w:pStyle w:val="Heading3"/>
      </w:pPr>
      <w:r>
        <w:t xml:space="preserve">5.6 Portal de Autogestión</w:t>
      </w:r>
    </w:p>
    <w:p>
      <w:pPr>
        <w:pStyle w:val="FirstParagraph"/>
      </w:pPr>
      <w:r>
        <w:t xml:space="preserve">Plataforma para que los agentes gestionen sus propios casos sin intervención del call center.</w:t>
      </w:r>
    </w:p>
    <w:p>
      <w:pPr>
        <w:pStyle w:val="BodyText"/>
      </w:pPr>
      <w:r>
        <w:rPr>
          <w:bCs/>
          <w:b/>
        </w:rPr>
        <w:t xml:space="preserve">Funciones:</w:t>
      </w:r>
      <w:r>
        <w:t xml:space="preserve"> </w:t>
      </w:r>
      <w:r>
        <w:t xml:space="preserve">- Radicación de casos</w:t>
      </w:r>
      <w:r>
        <w:t xml:space="preserve"> </w:t>
      </w:r>
      <w:r>
        <w:t xml:space="preserve">- Seguimiento de solicitudes</w:t>
      </w:r>
      <w:r>
        <w:t xml:space="preserve"> </w:t>
      </w:r>
      <w:r>
        <w:t xml:space="preserve">- Consulta de estado de trámites</w:t>
      </w:r>
      <w:r>
        <w:t xml:space="preserve"> </w:t>
      </w:r>
      <w:r>
        <w:t xml:space="preserve">- Actualización de datos de planta para SIGDI</w:t>
      </w:r>
      <w:r>
        <w:t xml:space="preserve"> </w:t>
      </w:r>
      <w:r>
        <w:t xml:space="preserve">- Registro de correo electrónico de planta (requerido para SIGDI)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actores-roles-y-responsables"/>
    <w:p>
      <w:pPr>
        <w:pStyle w:val="Heading2"/>
      </w:pPr>
      <w:r>
        <w:t xml:space="preserve">6. ACTORES, ROLES Y RESPONSABLES</w:t>
      </w:r>
    </w:p>
    <w:bookmarkStart w:id="45" w:name="agentes-de-la-cadena"/>
    <w:p>
      <w:pPr>
        <w:pStyle w:val="Heading3"/>
      </w:pPr>
      <w:r>
        <w:t xml:space="preserve">6.1 Agentes de la Cadena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en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Solicitante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órdenes de pedido, solicita productos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y despacha órdenes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Puesto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y registra cumplidos de órdenes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Mayorista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plantas de abastecimiento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Minorista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estaciones de servicio (EDS)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 Consumidor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 volúmenes mayores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vehículos y manifiestos</w:t>
            </w:r>
          </w:p>
        </w:tc>
      </w:tr>
    </w:tbl>
    <w:bookmarkEnd w:id="45"/>
    <w:bookmarkStart w:id="46" w:name="roles-del-ministerio-mme"/>
    <w:p>
      <w:pPr>
        <w:pStyle w:val="Heading3"/>
      </w:pPr>
      <w:r>
        <w:t xml:space="preserve">6.2 Roles del Ministerio (MME)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Funcional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información de agentes (1er validador)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Aprueba/Rechaza creación de agentes (2do validador)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Líder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Inhabilita agentes, asigna precios/volúmenes, bloqueos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firmas SIGDI, configuración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calidad del dato, auditorías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Operación Estadística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estadístico, reportes</w:t>
            </w:r>
          </w:p>
        </w:tc>
      </w:tr>
    </w:tbl>
    <w:bookmarkEnd w:id="46"/>
    <w:bookmarkStart w:id="49" w:name="equipo-operativo-sicom"/>
    <w:p>
      <w:pPr>
        <w:pStyle w:val="Heading3"/>
      </w:pPr>
      <w:r>
        <w:t xml:space="preserve">6.3 Equipo Operativo SICOM</w:t>
      </w:r>
    </w:p>
    <w:p>
      <w:pPr>
        <w:pStyle w:val="FirstParagraph"/>
      </w:pPr>
      <w:r>
        <w:t xml:space="preserve">El equipo que opera y mantiene el SICOM está compuesto por roles técnicos y funcionales:</w:t>
      </w:r>
    </w:p>
    <w:bookmarkStart w:id="47" w:name="área-funcional"/>
    <w:p>
      <w:pPr>
        <w:pStyle w:val="Heading4"/>
      </w:pPr>
      <w:r>
        <w:t xml:space="preserve">Área Funcional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estratégica del sistema, toma de decisiones funcionales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Analistas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requerimientos, diseño de procesos, pruebas funcionales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a agentes, creación de material didáctico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Operación Estadística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datos, reportes estadísticos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Aseguramiento de calidad, auditorías de procesos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Call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centro de 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calidad en atención del call center</w:t>
            </w:r>
          </w:p>
        </w:tc>
      </w:tr>
    </w:tbl>
    <w:bookmarkEnd w:id="47"/>
    <w:bookmarkStart w:id="48" w:name="área-técnica"/>
    <w:p>
      <w:pPr>
        <w:pStyle w:val="Heading4"/>
      </w:pPr>
      <w:r>
        <w:t xml:space="preserve">Área Técnica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técnica del proyecto, arquitectura de 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arquitectura de aplicaciones, estándares 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Desarrolladores 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backend, integraciones,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Desarrolladores BPM (Bizagi)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Modelado e implementación de procesos en Bizagi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cubos, tableros, ETL, calidad del 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Ingenieros de Pruebas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funcionales, automatizadas, regresión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BD, tuning, backups, replicación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 en Inteligencia de Negocios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negocio, modelos predictivos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60" w:name="funcionalidades-detalladas"/>
    <w:p>
      <w:pPr>
        <w:pStyle w:val="Heading2"/>
      </w:pPr>
      <w:r>
        <w:t xml:space="preserve">7. FUNCIONALIDADES DETALLADAS</w:t>
      </w:r>
    </w:p>
    <w:bookmarkStart w:id="51" w:name="gestión-de-agentes"/>
    <w:p>
      <w:pPr>
        <w:pStyle w:val="Heading3"/>
      </w:pPr>
      <w:r>
        <w:t xml:space="preserve">7.1 Gestión de Agentes</w:t>
      </w:r>
    </w:p>
    <w:p>
      <w:pPr>
        <w:pStyle w:val="FirstParagraph"/>
      </w:pPr>
      <w:r>
        <w:rPr>
          <w:bCs/>
          <w:b/>
        </w:rPr>
        <w:t xml:space="preserve">Crear Agente:</w:t>
      </w:r>
      <w:r>
        <w:t xml:space="preserve"> </w:t>
      </w:r>
      <w:r>
        <w:t xml:space="preserve">- Registro desde portal web externo</w:t>
      </w:r>
      <w:r>
        <w:t xml:space="preserve"> </w:t>
      </w:r>
      <w:r>
        <w:t xml:space="preserve">- Diligenciamiento de datos básicos: NIT, razón social, tipo de agente, dirección, contacto</w:t>
      </w:r>
      <w:r>
        <w:t xml:space="preserve"> </w:t>
      </w:r>
      <w:r>
        <w:t xml:space="preserve">- Adjuntos obligatorios según tipo de agente (PDF únicamente)</w:t>
      </w:r>
      <w:r>
        <w:t xml:space="preserve"> </w:t>
      </w:r>
      <w:r>
        <w:t xml:space="preserve">- Normalización automática de direcciones</w:t>
      </w:r>
      <w:r>
        <w:t xml:space="preserve"> </w:t>
      </w:r>
      <w:r>
        <w:t xml:space="preserve">- Validación de estructura de correos y páginas web</w:t>
      </w:r>
      <w:r>
        <w:t xml:space="preserve"> </w:t>
      </w:r>
      <w:r>
        <w:t xml:space="preserve">- Cálculo automático de dígito de verificación del NIT</w:t>
      </w:r>
      <w:r>
        <w:t xml:space="preserve"> </w:t>
      </w:r>
      <w:r>
        <w:t xml:space="preserve">- Workflow de validación en Bizagi (Responsable Funcional + Coordinador)</w:t>
      </w:r>
      <w:r>
        <w:t xml:space="preserve"> </w:t>
      </w:r>
      <w:r>
        <w:t xml:space="preserve">- Duración máxima de validación: 60 días</w:t>
      </w:r>
      <w:r>
        <w:t xml:space="preserve"> </w:t>
      </w:r>
      <w:r>
        <w:t xml:space="preserve">- Generación automática de código SICOM y credenciales</w:t>
      </w:r>
      <w:r>
        <w:t xml:space="preserve"> </w:t>
      </w:r>
      <w:r>
        <w:t xml:space="preserve">- Notificación por correo electrónico con memorando de aprobación</w:t>
      </w:r>
    </w:p>
    <w:p>
      <w:pPr>
        <w:pStyle w:val="BodyText"/>
      </w:pPr>
      <w:r>
        <w:rPr>
          <w:bCs/>
          <w:b/>
        </w:rPr>
        <w:t xml:space="preserve">Actualizar Agente:</w:t>
      </w:r>
      <w:r>
        <w:t xml:space="preserve"> </w:t>
      </w:r>
      <w:r>
        <w:t xml:space="preserve">- Modificación de datos del agente existente</w:t>
      </w:r>
      <w:r>
        <w:t xml:space="preserve"> </w:t>
      </w:r>
      <w:r>
        <w:t xml:space="preserve">- Reutilización del subproceso</w:t>
      </w:r>
      <w:r>
        <w:t xml:space="preserve"> </w:t>
      </w:r>
      <w:r>
        <w:t xml:space="preserve">“</w:t>
      </w:r>
      <w:r>
        <w:t xml:space="preserve">Validar Información</w:t>
      </w:r>
      <w:r>
        <w:t xml:space="preserve">”</w:t>
      </w:r>
      <w:r>
        <w:t xml:space="preserve"> </w:t>
      </w:r>
      <w:r>
        <w:t xml:space="preserve">- Control de versiones de documentos</w:t>
      </w:r>
    </w:p>
    <w:p>
      <w:pPr>
        <w:pStyle w:val="BodyText"/>
      </w:pPr>
      <w:r>
        <w:rPr>
          <w:bCs/>
          <w:b/>
        </w:rPr>
        <w:t xml:space="preserve">Inhabilitar Agente:</w:t>
      </w:r>
      <w:r>
        <w:t xml:space="preserve"> </w:t>
      </w:r>
      <w:r>
        <w:t xml:space="preserve">- Desactivación completa del agente, plantas y usuarios asociados</w:t>
      </w:r>
      <w:r>
        <w:t xml:space="preserve"> </w:t>
      </w:r>
      <w:r>
        <w:t xml:space="preserve">- Notificación automática al agente</w:t>
      </w:r>
      <w:r>
        <w:t xml:space="preserve"> </w:t>
      </w:r>
      <w:r>
        <w:t xml:space="preserve">- Job automático de validación de documentos vencidos</w:t>
      </w:r>
    </w:p>
    <w:p>
      <w:pPr>
        <w:pStyle w:val="BodyText"/>
      </w:pPr>
      <w:r>
        <w:rPr>
          <w:bCs/>
          <w:b/>
        </w:rPr>
        <w:t xml:space="preserve">Bloqueo/Desbloqueo:</w:t>
      </w:r>
      <w:r>
        <w:t xml:space="preserve"> </w:t>
      </w:r>
      <w:r>
        <w:t xml:space="preserve">- Bloqueo automático por documentos vencidos (Jobs diarios)</w:t>
      </w:r>
      <w:r>
        <w:t xml:space="preserve"> </w:t>
      </w:r>
      <w:r>
        <w:t xml:space="preserve">- Desbloqueo manual por Operador Líder</w:t>
      </w:r>
    </w:p>
    <w:bookmarkEnd w:id="51"/>
    <w:bookmarkStart w:id="52" w:name="gestión-de-plantas"/>
    <w:p>
      <w:pPr>
        <w:pStyle w:val="Heading3"/>
      </w:pPr>
      <w:r>
        <w:t xml:space="preserve">7.2 Gestión de Plantas</w:t>
      </w:r>
    </w:p>
    <w:p>
      <w:pPr>
        <w:pStyle w:val="FirstParagraph"/>
      </w:pPr>
      <w:r>
        <w:t xml:space="preserve">Tipos de plantas según el agente:</w:t>
      </w:r>
      <w:r>
        <w:t xml:space="preserve"> </w:t>
      </w:r>
      <w:r>
        <w:t xml:space="preserve">- Planta de abastecimiento (distribuidor mayorista)</w:t>
      </w:r>
      <w:r>
        <w:t xml:space="preserve"> </w:t>
      </w:r>
      <w:r>
        <w:t xml:space="preserve">- EDS Automotriz</w:t>
      </w:r>
      <w:r>
        <w:t xml:space="preserve"> </w:t>
      </w:r>
      <w:r>
        <w:t xml:space="preserve">- EDS Aviación</w:t>
      </w:r>
      <w:r>
        <w:t xml:space="preserve"> </w:t>
      </w:r>
      <w:r>
        <w:t xml:space="preserve">- EDS Marítima</w:t>
      </w:r>
      <w:r>
        <w:t xml:space="preserve"> </w:t>
      </w:r>
      <w:r>
        <w:t xml:space="preserve">- EDS Fluvial</w:t>
      </w:r>
      <w:r>
        <w:t xml:space="preserve"> </w:t>
      </w:r>
      <w:r>
        <w:t xml:space="preserve">- EDS Privada</w:t>
      </w:r>
      <w:r>
        <w:t xml:space="preserve"> </w:t>
      </w:r>
      <w:r>
        <w:t xml:space="preserve">- EDS Pública</w:t>
      </w:r>
      <w:r>
        <w:t xml:space="preserve"> </w:t>
      </w:r>
      <w:r>
        <w:t xml:space="preserve">- EDS Mixta</w:t>
      </w:r>
      <w:r>
        <w:t xml:space="preserve"> </w:t>
      </w:r>
      <w:r>
        <w:t xml:space="preserve">- Comercializador Industrial</w:t>
      </w:r>
      <w:r>
        <w:t xml:space="preserve"> </w:t>
      </w:r>
      <w:r>
        <w:t xml:space="preserve">- Instalación de Gran Consumidor</w:t>
      </w:r>
    </w:p>
    <w:p>
      <w:pPr>
        <w:pStyle w:val="BodyText"/>
      </w:pPr>
      <w:r>
        <w:rPr>
          <w:bCs/>
          <w:b/>
        </w:rPr>
        <w:t xml:space="preserve">Funcionalidades:</w:t>
      </w:r>
      <w:r>
        <w:t xml:space="preserve"> </w:t>
      </w:r>
      <w:r>
        <w:t xml:space="preserve">- Creación de planta con datos georreferenciados</w:t>
      </w:r>
      <w:r>
        <w:t xml:space="preserve"> </w:t>
      </w:r>
      <w:r>
        <w:t xml:space="preserve">- Asociación a agente propietario o arrendatario</w:t>
      </w:r>
      <w:r>
        <w:t xml:space="preserve"> </w:t>
      </w:r>
      <w:r>
        <w:t xml:space="preserve">- Configuración de productos habilitados por planta</w:t>
      </w:r>
      <w:r>
        <w:t xml:space="preserve"> </w:t>
      </w:r>
      <w:r>
        <w:t xml:space="preserve">- Gestión de documentos de la planta</w:t>
      </w:r>
      <w:r>
        <w:t xml:space="preserve"> </w:t>
      </w:r>
      <w:r>
        <w:t xml:space="preserve">- Inhabilitación automática en cascada con el agente</w:t>
      </w:r>
    </w:p>
    <w:bookmarkEnd w:id="52"/>
    <w:bookmarkStart w:id="53" w:name="gestión-de-vehículos"/>
    <w:p>
      <w:pPr>
        <w:pStyle w:val="Heading3"/>
      </w:pPr>
      <w:r>
        <w:t xml:space="preserve">7.3 Gestión de Vehículos</w:t>
      </w:r>
    </w:p>
    <w:p>
      <w:pPr>
        <w:pStyle w:val="FirstParagraph"/>
      </w:pPr>
      <w:r>
        <w:rPr>
          <w:bCs/>
          <w:b/>
        </w:rPr>
        <w:t xml:space="preserve">Datos del vehículo:</w:t>
      </w:r>
      <w:r>
        <w:t xml:space="preserve"> </w:t>
      </w:r>
      <w:r>
        <w:t xml:space="preserve">- Placa, tipo de vehículo, capacidad</w:t>
      </w:r>
      <w:r>
        <w:t xml:space="preserve"> </w:t>
      </w:r>
      <w:r>
        <w:t xml:space="preserve">- SOAT (vigencia)</w:t>
      </w:r>
      <w:r>
        <w:t xml:space="preserve"> </w:t>
      </w:r>
      <w:r>
        <w:t xml:space="preserve">- Póliza de seguro (vigencia)</w:t>
      </w:r>
      <w:r>
        <w:t xml:space="preserve"> </w:t>
      </w:r>
      <w:r>
        <w:t xml:space="preserve">- Revisión técnico-mecánica</w:t>
      </w:r>
      <w:r>
        <w:t xml:space="preserve"> </w:t>
      </w:r>
      <w:r>
        <w:t xml:space="preserve">- Licencia de conducción del conductor</w:t>
      </w:r>
    </w:p>
    <w:p>
      <w:pPr>
        <w:pStyle w:val="BodyText"/>
      </w:pPr>
      <w:r>
        <w:rPr>
          <w:bCs/>
          <w:b/>
        </w:rPr>
        <w:t xml:space="preserve">Validaciones automáticas:</w:t>
      </w:r>
      <w:r>
        <w:t xml:space="preserve"> </w:t>
      </w:r>
      <w:r>
        <w:t xml:space="preserve">- Job diario de alerta de vencimiento de póliza vehicular (JobAlerVencPoliVehi)</w:t>
      </w:r>
      <w:r>
        <w:t xml:space="preserve"> </w:t>
      </w:r>
      <w:r>
        <w:t xml:space="preserve">- Bloqueo de vehículo si documentos vencidos</w:t>
      </w:r>
      <w:r>
        <w:t xml:space="preserve"> </w:t>
      </w:r>
      <w:r>
        <w:t xml:space="preserve">- Asociación a agente transportador</w:t>
      </w:r>
    </w:p>
    <w:bookmarkEnd w:id="53"/>
    <w:bookmarkStart w:id="54" w:name="órdenes-de-pedido"/>
    <w:p>
      <w:pPr>
        <w:pStyle w:val="Heading3"/>
      </w:pPr>
      <w:r>
        <w:t xml:space="preserve">7.4 Órdenes de Pedido</w:t>
      </w:r>
    </w:p>
    <w:p>
      <w:pPr>
        <w:pStyle w:val="FirstParagraph"/>
      </w:pPr>
      <w:r>
        <w:rPr>
          <w:bCs/>
          <w:b/>
        </w:rPr>
        <w:t xml:space="preserve">Tipos de Orden de Pedido: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028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estándar de uno o más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Mayoría de transacciones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con programación temporal recurrente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Suministro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por agente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Anticipada por 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con volúmenes nominados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cupos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 entre instalaciones del mismo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Reubicación de inventario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Estados del Flujo:</w:t>
      </w:r>
      <w:r>
        <w:t xml:space="preserve"> </w:t>
      </w:r>
      <w:r>
        <w:t xml:space="preserve">1. Solicitud → 2. Aceptación → 3. Despacho → 4. Tránsito → 5. Cumplido → 6. Cierre</w:t>
      </w:r>
    </w:p>
    <w:p>
      <w:pPr>
        <w:pStyle w:val="BodyText"/>
      </w:pPr>
      <w:r>
        <w:rPr>
          <w:bCs/>
          <w:b/>
        </w:rPr>
        <w:t xml:space="preserve">Devoluciones posibles:</w:t>
      </w:r>
      <w:r>
        <w:t xml:space="preserve"> </w:t>
      </w:r>
      <w:r>
        <w:t xml:space="preserve">- Devolución a solicitud (desde aceptación)</w:t>
      </w:r>
      <w:r>
        <w:t xml:space="preserve"> </w:t>
      </w:r>
      <w:r>
        <w:t xml:space="preserve">- Devolución en despacho</w:t>
      </w:r>
      <w:r>
        <w:t xml:space="preserve"> </w:t>
      </w:r>
      <w:r>
        <w:t xml:space="preserve">- Anulación total (evento intermedio</w:t>
      </w:r>
      <w:r>
        <w:t xml:space="preserve"> </w:t>
      </w:r>
      <w:r>
        <w:t xml:space="preserve">“</w:t>
      </w:r>
      <w:r>
        <w:t xml:space="preserve">Anular OPS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Notificaciones automáticas:</w:t>
      </w:r>
      <w:r>
        <w:t xml:space="preserve"> </w:t>
      </w:r>
      <w:r>
        <w:t xml:space="preserve">- Creación de orden</w:t>
      </w:r>
      <w:r>
        <w:t xml:space="preserve"> </w:t>
      </w:r>
      <w:r>
        <w:t xml:space="preserve">- Aceptación/Rechazo</w:t>
      </w:r>
      <w:r>
        <w:t xml:space="preserve"> </w:t>
      </w:r>
      <w:r>
        <w:t xml:space="preserve">- Despacho</w:t>
      </w:r>
      <w:r>
        <w:t xml:space="preserve"> </w:t>
      </w:r>
      <w:r>
        <w:t xml:space="preserve">- Cierre</w:t>
      </w:r>
      <w:r>
        <w:t xml:space="preserve"> </w:t>
      </w:r>
      <w:r>
        <w:t xml:space="preserve">- Anulación</w:t>
      </w:r>
    </w:p>
    <w:bookmarkEnd w:id="54"/>
    <w:bookmarkStart w:id="55" w:name="guías-digitales-sigdi"/>
    <w:p>
      <w:pPr>
        <w:pStyle w:val="Heading3"/>
      </w:pPr>
      <w:r>
        <w:t xml:space="preserve">7.5 Guías Digitales (SIGDI)</w:t>
      </w:r>
    </w:p>
    <w:p>
      <w:pPr>
        <w:pStyle w:val="FirstParagraph"/>
      </w:pPr>
      <w:r>
        <w:t xml:space="preserve">Ver sección 5.2 para detalle completo.</w:t>
      </w:r>
    </w:p>
    <w:p>
      <w:pPr>
        <w:pStyle w:val="BodyText"/>
      </w:pPr>
      <w:r>
        <w:t xml:space="preserve">Puntos clave adicionales:</w:t>
      </w:r>
      <w:r>
        <w:t xml:space="preserve"> </w:t>
      </w:r>
      <w:r>
        <w:t xml:space="preserve">- Las guías se generan SOLO para órdenes en estado</w:t>
      </w:r>
      <w:r>
        <w:t xml:space="preserve"> </w:t>
      </w:r>
      <w:r>
        <w:t xml:space="preserve">“</w:t>
      </w:r>
      <w:r>
        <w:t xml:space="preserve">Despachado</w:t>
      </w:r>
      <w:r>
        <w:t xml:space="preserve">”</w:t>
      </w:r>
      <w:r>
        <w:t xml:space="preserve"> </w:t>
      </w:r>
      <w:r>
        <w:t xml:space="preserve">- Los precios se registran en SICOM y se reflejan en SIGDI</w:t>
      </w:r>
      <w:r>
        <w:t xml:space="preserve"> </w:t>
      </w:r>
      <w:r>
        <w:t xml:space="preserve">- El cierre de OPS genera automáticamente la guía</w:t>
      </w:r>
      <w:r>
        <w:t xml:space="preserve"> </w:t>
      </w:r>
      <w:r>
        <w:t xml:space="preserve">- Las guías tienen vigencia temporal definida en horas</w:t>
      </w:r>
      <w:r>
        <w:t xml:space="preserve"> </w:t>
      </w:r>
      <w:r>
        <w:t xml:space="preserve">- Las guías firmadas son válidas para transporte de combustibles a nivel nacional</w:t>
      </w:r>
      <w:r>
        <w:t xml:space="preserve"> </w:t>
      </w:r>
      <w:r>
        <w:t xml:space="preserve">- La guía incluye: información general, información de transporte, información de productos</w:t>
      </w:r>
    </w:p>
    <w:bookmarkEnd w:id="55"/>
    <w:bookmarkStart w:id="56" w:name="monitoreo-y-cumplidos"/>
    <w:p>
      <w:pPr>
        <w:pStyle w:val="Heading3"/>
      </w:pPr>
      <w:r>
        <w:t xml:space="preserve">7.6 Monitoreo y Cumplidos</w:t>
      </w:r>
    </w:p>
    <w:p>
      <w:pPr>
        <w:pStyle w:val="FirstParagraph"/>
      </w:pPr>
      <w:r>
        <w:rPr>
          <w:bCs/>
          <w:b/>
        </w:rPr>
        <w:t xml:space="preserve">Monitoreo de Vehículos:</w:t>
      </w:r>
      <w:r>
        <w:t xml:space="preserve"> </w:t>
      </w:r>
      <w:r>
        <w:t xml:space="preserve">- Subproceso que permite seguimiento de vehículos en tránsito</w:t>
      </w:r>
      <w:r>
        <w:t xml:space="preserve"> </w:t>
      </w:r>
      <w:r>
        <w:t xml:space="preserve">- Georreferenciación (integración con sistemas GPS)</w:t>
      </w:r>
      <w:r>
        <w:t xml:space="preserve"> </w:t>
      </w:r>
      <w:r>
        <w:t xml:space="preserve">- Alertas de desviación de rutas</w:t>
      </w:r>
      <w:r>
        <w:t xml:space="preserve"> </w:t>
      </w:r>
      <w:r>
        <w:t xml:space="preserve">- Control de tiempos de entrega</w:t>
      </w:r>
    </w:p>
    <w:p>
      <w:pPr>
        <w:pStyle w:val="BodyText"/>
      </w:pPr>
      <w:r>
        <w:rPr>
          <w:bCs/>
          <w:b/>
        </w:rPr>
        <w:t xml:space="preserve">Cumplidos:</w:t>
      </w:r>
      <w:r>
        <w:t xml:space="preserve"> </w:t>
      </w:r>
      <w:r>
        <w:t xml:space="preserve">- Documento que certifica la entrega de combustible</w:t>
      </w:r>
      <w:r>
        <w:t xml:space="preserve"> </w:t>
      </w:r>
      <w:r>
        <w:t xml:space="preserve">- Validado por el Puesto de Control</w:t>
      </w:r>
      <w:r>
        <w:t xml:space="preserve"> </w:t>
      </w:r>
      <w:r>
        <w:t xml:space="preserve">- Incluye volúmenes entregados, calidad del producto, observaciones</w:t>
      </w:r>
      <w:r>
        <w:t xml:space="preserve"> </w:t>
      </w:r>
      <w:r>
        <w:t xml:space="preserve">- Generación automática por el sistema cuando aplica</w:t>
      </w:r>
    </w:p>
    <w:bookmarkEnd w:id="56"/>
    <w:bookmarkStart w:id="57" w:name="precios-y-volúmenes"/>
    <w:p>
      <w:pPr>
        <w:pStyle w:val="Heading3"/>
      </w:pPr>
      <w:r>
        <w:t xml:space="preserve">7.7 Precios y Volúmenes</w:t>
      </w:r>
    </w:p>
    <w:p>
      <w:pPr>
        <w:pStyle w:val="FirstParagraph"/>
      </w:pPr>
      <w:r>
        <w:rPr>
          <w:bCs/>
          <w:b/>
        </w:rPr>
        <w:t xml:space="preserve">Registro de Precios:</w:t>
      </w:r>
      <w:r>
        <w:t xml:space="preserve"> </w:t>
      </w:r>
      <w:r>
        <w:t xml:space="preserve">- Los agentes registran precios de venta por producto y planta</w:t>
      </w:r>
      <w:r>
        <w:t xml:space="preserve"> </w:t>
      </w:r>
      <w:r>
        <w:t xml:space="preserve">- El sistema valida que estén dentro de los rangos mínimos/máximos definidos por el MME</w:t>
      </w:r>
      <w:r>
        <w:t xml:space="preserve"> </w:t>
      </w:r>
      <w:r>
        <w:t xml:space="preserve">- Histórico de precios por fecha</w:t>
      </w:r>
    </w:p>
    <w:p>
      <w:pPr>
        <w:pStyle w:val="BodyText"/>
      </w:pPr>
      <w:r>
        <w:rPr>
          <w:bCs/>
          <w:b/>
        </w:rPr>
        <w:t xml:space="preserve">Asignación de Precios Mínimos y Máximos:</w:t>
      </w:r>
      <w:r>
        <w:t xml:space="preserve"> </w:t>
      </w:r>
      <w:r>
        <w:t xml:space="preserve">- El Operador Líder del MME define rangos de precios por producto</w:t>
      </w:r>
      <w:r>
        <w:t xml:space="preserve"> </w:t>
      </w:r>
      <w:r>
        <w:t xml:space="preserve">- Los precios fuera de rango generan alertas y bloqueos</w:t>
      </w:r>
    </w:p>
    <w:p>
      <w:pPr>
        <w:pStyle w:val="BodyText"/>
      </w:pPr>
      <w:r>
        <w:rPr>
          <w:bCs/>
          <w:b/>
        </w:rPr>
        <w:t xml:space="preserve">Volumen Máximo:</w:t>
      </w:r>
      <w:r>
        <w:t xml:space="preserve"> </w:t>
      </w:r>
      <w:r>
        <w:t xml:space="preserve">- Cupos de compra máximos por agente y producto</w:t>
      </w:r>
      <w:r>
        <w:t xml:space="preserve"> </w:t>
      </w:r>
      <w:r>
        <w:t xml:space="preserve">- Solicitudes de incremento de cupo</w:t>
      </w:r>
      <w:r>
        <w:t xml:space="preserve"> </w:t>
      </w:r>
      <w:r>
        <w:t xml:space="preserve">- Reasignación de volúmenes entre agentes</w:t>
      </w:r>
      <w:r>
        <w:t xml:space="preserve"> </w:t>
      </w:r>
      <w:r>
        <w:t xml:space="preserve">- Control de consumo vs. cupo asignado</w:t>
      </w:r>
    </w:p>
    <w:bookmarkEnd w:id="57"/>
    <w:bookmarkStart w:id="58" w:name="declaración-de-información"/>
    <w:p>
      <w:pPr>
        <w:pStyle w:val="Heading3"/>
      </w:pPr>
      <w:r>
        <w:t xml:space="preserve">7.8 Declaración de Información</w:t>
      </w:r>
    </w:p>
    <w:p>
      <w:pPr>
        <w:pStyle w:val="FirstParagraph"/>
      </w:pPr>
      <w:r>
        <w:t xml:space="preserve">Los agentes deben declarar periódicamente:</w:t>
      </w:r>
      <w:r>
        <w:t xml:space="preserve"> </w:t>
      </w:r>
      <w:r>
        <w:t xml:space="preserve">- Inventarios de combustibles</w:t>
      </w:r>
      <w:r>
        <w:t xml:space="preserve"> </w:t>
      </w:r>
      <w:r>
        <w:t xml:space="preserve">- Compras y ventas</w:t>
      </w:r>
      <w:r>
        <w:t xml:space="preserve"> </w:t>
      </w:r>
      <w:r>
        <w:t xml:space="preserve">- Importaciones</w:t>
      </w:r>
      <w:r>
        <w:t xml:space="preserve"> </w:t>
      </w:r>
      <w:r>
        <w:t xml:space="preserve">- Exportaciones</w:t>
      </w:r>
      <w:r>
        <w:t xml:space="preserve"> </w:t>
      </w:r>
      <w:r>
        <w:t xml:space="preserve">- Producción (refinadores)</w:t>
      </w:r>
      <w:r>
        <w:t xml:space="preserve"> </w:t>
      </w:r>
      <w:r>
        <w:t xml:space="preserve">- Movimientos entre instalaciones</w:t>
      </w:r>
    </w:p>
    <w:p>
      <w:pPr>
        <w:pStyle w:val="BodyText"/>
      </w:pPr>
      <w:r>
        <w:rPr>
          <w:bCs/>
          <w:b/>
        </w:rPr>
        <w:t xml:space="preserve">Modalidades:</w:t>
      </w:r>
      <w:r>
        <w:t xml:space="preserve"> </w:t>
      </w:r>
      <w:r>
        <w:t xml:space="preserve">- Declaración individual por formulario web</w:t>
      </w:r>
      <w:r>
        <w:t xml:space="preserve"> </w:t>
      </w:r>
      <w:r>
        <w:t xml:space="preserve">- Cargue masivo por archivo Excel</w:t>
      </w:r>
      <w:r>
        <w:t xml:space="preserve"> </w:t>
      </w:r>
      <w:r>
        <w:t xml:space="preserve">- Actualización de declaraciones enviadas</w:t>
      </w:r>
      <w:r>
        <w:t xml:space="preserve"> </w:t>
      </w:r>
      <w:r>
        <w:t xml:space="preserve">- Validación de consistencia de datos</w:t>
      </w:r>
    </w:p>
    <w:bookmarkEnd w:id="58"/>
    <w:bookmarkStart w:id="59" w:name="gestión-de-usuarios-y-perfiles"/>
    <w:p>
      <w:pPr>
        <w:pStyle w:val="Heading3"/>
      </w:pPr>
      <w:r>
        <w:t xml:space="preserve">7.9 Gestión de Usuarios y Perfiles</w:t>
      </w:r>
    </w:p>
    <w:p>
      <w:pPr>
        <w:pStyle w:val="FirstParagraph"/>
      </w:pPr>
      <w:r>
        <w:rPr>
          <w:bCs/>
          <w:b/>
        </w:rPr>
        <w:t xml:space="preserve">Tipos de Usuario: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administrador del agente, tiene acceso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con permisos limitados, creado por el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Planta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específico para operar en SIGDI desde una planta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Permisos:</w:t>
      </w:r>
      <w:r>
        <w:t xml:space="preserve"> </w:t>
      </w:r>
      <w:r>
        <w:t xml:space="preserve">- Crear órdenes de pedido</w:t>
      </w:r>
      <w:r>
        <w:t xml:space="preserve"> </w:t>
      </w:r>
      <w:r>
        <w:t xml:space="preserve">- Aceptar/despachar órdenes</w:t>
      </w:r>
      <w:r>
        <w:t xml:space="preserve"> </w:t>
      </w:r>
      <w:r>
        <w:t xml:space="preserve">- Registrar precios</w:t>
      </w:r>
      <w:r>
        <w:t xml:space="preserve"> </w:t>
      </w:r>
      <w:r>
        <w:t xml:space="preserve">- Declarar información</w:t>
      </w:r>
      <w:r>
        <w:t xml:space="preserve"> </w:t>
      </w:r>
      <w:r>
        <w:t xml:space="preserve">- Gestionar vehículos</w:t>
      </w:r>
      <w:r>
        <w:t xml:space="preserve"> </w:t>
      </w:r>
      <w:r>
        <w:t xml:space="preserve">- Consultar reportes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infraestructura-tecnológica"/>
    <w:p>
      <w:pPr>
        <w:pStyle w:val="Heading2"/>
      </w:pPr>
      <w:r>
        <w:t xml:space="preserve">8. INFRAESTRUCTURA TECNOLÓGICA</w:t>
      </w:r>
    </w:p>
    <w:bookmarkStart w:id="61" w:name="arquitectura-de-red"/>
    <w:p>
      <w:pPr>
        <w:pStyle w:val="Heading3"/>
      </w:pPr>
      <w:r>
        <w:t xml:space="preserve">8.1 Arquitectura de Red</w:t>
      </w:r>
    </w:p>
    <w:p>
      <w:pPr>
        <w:pStyle w:val="FirstParagraph"/>
      </w:pPr>
      <w:r>
        <w:t xml:space="preserve">El SICOM opera sobre una infraestructura de red segmentada y redundante: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Conectividad Internet:</w:t>
      </w:r>
      <w:r>
        <w:t xml:space="preserve"> </w:t>
      </w:r>
      <w:r>
        <w:t xml:space="preserve">Múltiples proveedores (ETB, INTERNEXA)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Enlaces dedicados:</w:t>
      </w:r>
      <w:r>
        <w:t xml:space="preserve"> </w:t>
      </w:r>
      <w:r>
        <w:t xml:space="preserve">Conectividad punto a punto hacia instalaciones críticas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Enlaces primarios y de respaldo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Segmentación:</w:t>
      </w:r>
      <w:r>
        <w:t xml:space="preserve"> </w:t>
      </w:r>
      <w:r>
        <w:t xml:space="preserve">VLANs por función (Web, App, DB, Admin)</w:t>
      </w:r>
    </w:p>
    <w:bookmarkEnd w:id="61"/>
    <w:bookmarkStart w:id="62" w:name="seguridad-perimetral"/>
    <w:p>
      <w:pPr>
        <w:pStyle w:val="Heading3"/>
      </w:pPr>
      <w:r>
        <w:t xml:space="preserve">8.2 Seguridad Perimetral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2722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Firewall UTM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Fortinet FGT2600F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Filtrado de tráfico, VPN, IDS/IPS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aplicaciones web, anti-bot, anti-DDoS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Centralización de logs, correlación de eventos,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Antivirus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Kaspersky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endpoints corporativos</w:t>
            </w:r>
          </w:p>
        </w:tc>
      </w:tr>
    </w:tbl>
    <w:bookmarkEnd w:id="62"/>
    <w:bookmarkStart w:id="63" w:name="waf-web-application-firewall"/>
    <w:p>
      <w:pPr>
        <w:pStyle w:val="Heading3"/>
      </w:pPr>
      <w:r>
        <w:t xml:space="preserve">8.3 WAF — Web Application Firewall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FortiWeb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17"/>
        </w:numPr>
        <w:pStyle w:val="Compact"/>
      </w:pPr>
      <w:r>
        <w:t xml:space="preserve">Inspección de tráfico HTTP/HTTPS</w:t>
      </w:r>
    </w:p>
    <w:p>
      <w:pPr>
        <w:numPr>
          <w:ilvl w:val="1"/>
          <w:numId w:val="1017"/>
        </w:numPr>
        <w:pStyle w:val="Compact"/>
      </w:pPr>
      <w:r>
        <w:t xml:space="preserve">Protección contra inyección SQL</w:t>
      </w:r>
    </w:p>
    <w:p>
      <w:pPr>
        <w:numPr>
          <w:ilvl w:val="1"/>
          <w:numId w:val="1017"/>
        </w:numPr>
        <w:pStyle w:val="Compact"/>
      </w:pPr>
      <w:r>
        <w:t xml:space="preserve">Protección contra XSS (Cross-Site Scripting)</w:t>
      </w:r>
    </w:p>
    <w:p>
      <w:pPr>
        <w:numPr>
          <w:ilvl w:val="1"/>
          <w:numId w:val="1017"/>
        </w:numPr>
        <w:pStyle w:val="Compact"/>
      </w:pPr>
      <w:r>
        <w:t xml:space="preserve">Control de bots y crawlers maliciosos</w:t>
      </w:r>
    </w:p>
    <w:p>
      <w:pPr>
        <w:numPr>
          <w:ilvl w:val="1"/>
          <w:numId w:val="1017"/>
        </w:numPr>
        <w:pStyle w:val="Compact"/>
      </w:pPr>
      <w:r>
        <w:t xml:space="preserve">Reglas personalizadas por aplicación</w:t>
      </w:r>
    </w:p>
    <w:p>
      <w:pPr>
        <w:numPr>
          <w:ilvl w:val="1"/>
          <w:numId w:val="1017"/>
        </w:numPr>
        <w:pStyle w:val="Compact"/>
      </w:pPr>
      <w:r>
        <w:t xml:space="preserve">Certificados SSL/TLS administrados</w:t>
      </w:r>
    </w:p>
    <w:bookmarkEnd w:id="63"/>
    <w:bookmarkStart w:id="64" w:name="balanceadores-y-adc"/>
    <w:p>
      <w:pPr>
        <w:pStyle w:val="Heading3"/>
      </w:pPr>
      <w:r>
        <w:t xml:space="preserve">8.4 Balanceadores y ADC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A10 Thunder ADC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19"/>
        </w:numPr>
        <w:pStyle w:val="Compact"/>
      </w:pPr>
      <w:r>
        <w:t xml:space="preserve">Balanceo de carga L4/L7</w:t>
      </w:r>
    </w:p>
    <w:p>
      <w:pPr>
        <w:numPr>
          <w:ilvl w:val="1"/>
          <w:numId w:val="1019"/>
        </w:numPr>
        <w:pStyle w:val="Compact"/>
      </w:pPr>
      <w:r>
        <w:t xml:space="preserve">SSL Offloading</w:t>
      </w:r>
    </w:p>
    <w:p>
      <w:pPr>
        <w:numPr>
          <w:ilvl w:val="1"/>
          <w:numId w:val="1019"/>
        </w:numPr>
        <w:pStyle w:val="Compact"/>
      </w:pPr>
      <w:r>
        <w:t xml:space="preserve">Compresión de tráfico</w:t>
      </w:r>
    </w:p>
    <w:p>
      <w:pPr>
        <w:numPr>
          <w:ilvl w:val="1"/>
          <w:numId w:val="1019"/>
        </w:numPr>
        <w:pStyle w:val="Compact"/>
      </w:pPr>
      <w:r>
        <w:t xml:space="preserve">Health checks de servidores backend</w:t>
      </w:r>
    </w:p>
    <w:p>
      <w:pPr>
        <w:numPr>
          <w:ilvl w:val="1"/>
          <w:numId w:val="1019"/>
        </w:numPr>
        <w:pStyle w:val="Compact"/>
      </w:pPr>
      <w:r>
        <w:t xml:space="preserve">Failover automático</w:t>
      </w:r>
    </w:p>
    <w:bookmarkEnd w:id="64"/>
    <w:bookmarkStart w:id="65" w:name="bases-de-datos"/>
    <w:p>
      <w:pPr>
        <w:pStyle w:val="Heading3"/>
      </w:pPr>
      <w:r>
        <w:t xml:space="preserve">8.5 Bases de Datos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Motor principal:</w:t>
      </w:r>
      <w:r>
        <w:t xml:space="preserve"> </w:t>
      </w:r>
      <w:r>
        <w:t xml:space="preserve">Oracle Database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Esquemas:</w:t>
      </w:r>
    </w:p>
    <w:p>
      <w:pPr>
        <w:numPr>
          <w:ilvl w:val="1"/>
          <w:numId w:val="1021"/>
        </w:numPr>
        <w:pStyle w:val="Compact"/>
      </w:pPr>
      <w:r>
        <w:t xml:space="preserve">Datos maestros (agentes, plantas, vehículos)</w:t>
      </w:r>
    </w:p>
    <w:p>
      <w:pPr>
        <w:numPr>
          <w:ilvl w:val="1"/>
          <w:numId w:val="1021"/>
        </w:numPr>
        <w:pStyle w:val="Compact"/>
      </w:pPr>
      <w:r>
        <w:t xml:space="preserve">Transaccional (órdenes de pedido, guías, declaraciones)</w:t>
      </w:r>
    </w:p>
    <w:p>
      <w:pPr>
        <w:numPr>
          <w:ilvl w:val="1"/>
          <w:numId w:val="1021"/>
        </w:numPr>
        <w:pStyle w:val="Compact"/>
      </w:pPr>
      <w:r>
        <w:t xml:space="preserve">Histórico (auditoría, logs, versiones)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Administradores:</w:t>
      </w:r>
      <w:r>
        <w:t xml:space="preserve"> </w:t>
      </w:r>
      <w:r>
        <w:t xml:space="preserve">DBA especializados en Oracle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Backups:</w:t>
      </w:r>
      <w:r>
        <w:t xml:space="preserve"> </w:t>
      </w:r>
      <w:r>
        <w:t xml:space="preserve">Diarios incrementales, semanales completos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Replicación:</w:t>
      </w:r>
      <w:r>
        <w:t xml:space="preserve"> </w:t>
      </w:r>
      <w:r>
        <w:t xml:space="preserve">Standby para alta disponibilidad</w:t>
      </w:r>
    </w:p>
    <w:bookmarkEnd w:id="65"/>
    <w:bookmarkStart w:id="66" w:name="servidores-y-virtualización"/>
    <w:p>
      <w:pPr>
        <w:pStyle w:val="Heading3"/>
      </w:pPr>
      <w:r>
        <w:t xml:space="preserve">8.6 Servidores y Virtualización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VMware / Hyper-V (según certificaciones)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de aplicación:</w:t>
      </w:r>
      <w:r>
        <w:t xml:space="preserve"> </w:t>
      </w:r>
      <w:r>
        <w:t xml:space="preserve">Java EE (JBoss/WebLogic)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web:</w:t>
      </w:r>
      <w:r>
        <w:t xml:space="preserve"> </w:t>
      </w:r>
      <w:r>
        <w:t xml:space="preserve">Apache / Nginx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BPM:</w:t>
      </w:r>
      <w:r>
        <w:t xml:space="preserve"> </w:t>
      </w:r>
      <w:r>
        <w:t xml:space="preserve">Bizagi Engine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BI:</w:t>
      </w:r>
      <w:r>
        <w:t xml:space="preserve"> </w:t>
      </w:r>
      <w:r>
        <w:t xml:space="preserve">SQL Server Analysis Services / Power BI (según evidencias)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de archivos:</w:t>
      </w:r>
      <w:r>
        <w:t xml:space="preserve"> </w:t>
      </w:r>
      <w:r>
        <w:t xml:space="preserve">NAS/SAN para documentos adjuntos</w:t>
      </w:r>
    </w:p>
    <w:bookmarkEnd w:id="66"/>
    <w:bookmarkStart w:id="67" w:name="drp-disaster-recovery-plan"/>
    <w:p>
      <w:pPr>
        <w:pStyle w:val="Heading3"/>
      </w:pPr>
      <w:r>
        <w:t xml:space="preserve">8.7 DRP — Disaster Recovery Plan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Garantizar la continuidad del negocio en caso de desastre.</w:t>
      </w:r>
    </w:p>
    <w:p>
      <w:pPr>
        <w:pStyle w:val="BodyText"/>
      </w:pPr>
      <w:r>
        <w:rPr>
          <w:bCs/>
          <w:b/>
        </w:rPr>
        <w:t xml:space="preserve">Componentes: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Procedimiento de Activación DR:</w:t>
      </w:r>
      <w:r>
        <w:t xml:space="preserve"> </w:t>
      </w:r>
      <w:r>
        <w:t xml:space="preserve">Documento formalizado con pasos detallados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 de Pruebas DR:</w:t>
      </w:r>
      <w:r>
        <w:t xml:space="preserve"> </w:t>
      </w:r>
      <w:r>
        <w:t xml:space="preserve">Ejecución periódica de simulacros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Sitio de Recuperación:</w:t>
      </w:r>
      <w:r>
        <w:t xml:space="preserve"> </w:t>
      </w:r>
      <w:r>
        <w:t xml:space="preserve">Infraestructura alterna para operación crítica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RPO (Recovery Point Objective):</w:t>
      </w:r>
      <w:r>
        <w:t xml:space="preserve"> </w:t>
      </w:r>
      <w:r>
        <w:t xml:space="preserve">Máximo tiempo de pérdida de datos aceptable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RTO (Recovery Time Objective):</w:t>
      </w:r>
      <w:r>
        <w:t xml:space="preserve"> </w:t>
      </w:r>
      <w:r>
        <w:t xml:space="preserve">Tiempo máximo para restaurar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Backups en sitio alterno:</w:t>
      </w:r>
      <w:r>
        <w:t xml:space="preserve"> </w:t>
      </w:r>
      <w:r>
        <w:t xml:space="preserve">Replicación de datos críticos</w:t>
      </w:r>
    </w:p>
    <w:p>
      <w:pPr>
        <w:pStyle w:val="BodyText"/>
      </w:pPr>
      <w:r>
        <w:rPr>
          <w:bCs/>
          <w:b/>
        </w:rPr>
        <w:t xml:space="preserve">Pruebas realizadas:</w:t>
      </w:r>
      <w:r>
        <w:t xml:space="preserve"> </w:t>
      </w:r>
      <w:r>
        <w:t xml:space="preserve">- Ejecución de DRP Marzo 2025 (documentado en presentación)</w:t>
      </w:r>
      <w:r>
        <w:t xml:space="preserve"> </w:t>
      </w:r>
      <w:r>
        <w:t xml:space="preserve">- Validación de restauración de bases de datos</w:t>
      </w:r>
      <w:r>
        <w:t xml:space="preserve"> </w:t>
      </w:r>
      <w:r>
        <w:t xml:space="preserve">- Validación de conectividad de aplicaciones</w:t>
      </w:r>
      <w:r>
        <w:t xml:space="preserve"> </w:t>
      </w:r>
      <w:r>
        <w:t xml:space="preserve">- Validación de disponibilidad de servicios críticos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seguridad-de-la-información"/>
    <w:p>
      <w:pPr>
        <w:pStyle w:val="Heading2"/>
      </w:pPr>
      <w:r>
        <w:t xml:space="preserve">9. SEGURIDAD DE LA INFORMACIÓN</w:t>
      </w:r>
    </w:p>
    <w:bookmarkStart w:id="69" w:name="ethical-hacking-y-pentesting"/>
    <w:p>
      <w:pPr>
        <w:pStyle w:val="Heading3"/>
      </w:pPr>
      <w:r>
        <w:t xml:space="preserve">9.1 Ethical Hacking y Pentesting</w:t>
      </w:r>
    </w:p>
    <w:p>
      <w:pPr>
        <w:pStyle w:val="FirstParagraph"/>
      </w:pPr>
      <w:r>
        <w:rPr>
          <w:bCs/>
          <w:b/>
        </w:rPr>
        <w:t xml:space="preserve">Pruebas realizadas: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Ethical Hacking Externo:</w:t>
      </w:r>
      <w:r>
        <w:t xml:space="preserve"> </w:t>
      </w:r>
      <w:r>
        <w:t xml:space="preserve">Mayo 2025 (IDE-0020)</w:t>
      </w:r>
      <w:r>
        <w:t xml:space="preserve"> </w:t>
      </w:r>
      <w:r>
        <w:t xml:space="preserve">- Pruebas de penetración desde Internet</w:t>
      </w:r>
      <w:r>
        <w:t xml:space="preserve"> </w:t>
      </w:r>
      <w:r>
        <w:t xml:space="preserve">- Identificación de vectores de ataque externos</w:t>
      </w:r>
      <w:r>
        <w:t xml:space="preserve"> </w:t>
      </w:r>
      <w:r>
        <w:t xml:space="preserve">- Evaluación de WAF, firewalls y exposición de servicios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Ethical Hacking Interno:</w:t>
      </w:r>
      <w:r>
        <w:t xml:space="preserve"> </w:t>
      </w:r>
      <w:r>
        <w:t xml:space="preserve">Evaluación de seguridad interna</w:t>
      </w:r>
      <w:r>
        <w:t xml:space="preserve"> </w:t>
      </w:r>
      <w:r>
        <w:t xml:space="preserve">- Pruebas de movimiento lateral</w:t>
      </w:r>
      <w:r>
        <w:t xml:space="preserve"> </w:t>
      </w:r>
      <w:r>
        <w:t xml:space="preserve">- Escalación de privilegios</w:t>
      </w:r>
      <w:r>
        <w:t xml:space="preserve"> </w:t>
      </w:r>
      <w:r>
        <w:t xml:space="preserve">- Evaluación de segmentación de red</w:t>
      </w:r>
    </w:p>
    <w:bookmarkEnd w:id="69"/>
    <w:bookmarkStart w:id="70" w:name="análisis-de-vulnerabilidades"/>
    <w:p>
      <w:pPr>
        <w:pStyle w:val="Heading3"/>
      </w:pPr>
      <w:r>
        <w:t xml:space="preserve">9.2 Análisis de Vulnerabilidades</w:t>
      </w:r>
    </w:p>
    <w:p>
      <w:pPr>
        <w:pStyle w:val="FirstParagraph"/>
      </w:pPr>
      <w:r>
        <w:rPr>
          <w:bCs/>
          <w:b/>
        </w:rPr>
        <w:t xml:space="preserve">Informes generados:</w:t>
      </w:r>
      <w:r>
        <w:t xml:space="preserve"> </w:t>
      </w:r>
      <w:r>
        <w:t xml:space="preserve">- Análisis de vulnerabilidades primer semestre 2025</w:t>
      </w:r>
      <w:r>
        <w:t xml:space="preserve"> </w:t>
      </w:r>
      <w:r>
        <w:t xml:space="preserve">- Matriz de vulnerabilidades SICOM (actualizada mensualmente)</w:t>
      </w:r>
      <w:r>
        <w:t xml:space="preserve"> </w:t>
      </w:r>
      <w:r>
        <w:t xml:space="preserve">- Clasificación por criticidad: Crítica, Alta, Media, Baja</w:t>
      </w:r>
    </w:p>
    <w:p>
      <w:pPr>
        <w:pStyle w:val="BodyText"/>
      </w:pPr>
      <w:r>
        <w:rPr>
          <w:bCs/>
          <w:b/>
        </w:rPr>
        <w:t xml:space="preserve">Categorías de vulnerabilidades monitoreadas:</w:t>
      </w:r>
      <w:r>
        <w:t xml:space="preserve"> </w:t>
      </w:r>
      <w:r>
        <w:t xml:space="preserve">- Vulnerabilidades de software (SICOM, Bizagi, SO)</w:t>
      </w:r>
      <w:r>
        <w:t xml:space="preserve"> </w:t>
      </w:r>
      <w:r>
        <w:t xml:space="preserve">- Vulnerabilidades de infraestructura (firewall, balanceadores)</w:t>
      </w:r>
      <w:r>
        <w:t xml:space="preserve"> </w:t>
      </w:r>
      <w:r>
        <w:t xml:space="preserve">- Vulnerabilidades de configuración (SSL/TLS, políticas de contraseña)</w:t>
      </w:r>
      <w:r>
        <w:t xml:space="preserve"> </w:t>
      </w:r>
      <w:r>
        <w:t xml:space="preserve">- Vulnerabilidades de código (inyección SQL, XSS, CSRF)</w:t>
      </w:r>
    </w:p>
    <w:bookmarkEnd w:id="70"/>
    <w:bookmarkStart w:id="71" w:name="gestión-de-incidentes"/>
    <w:p>
      <w:pPr>
        <w:pStyle w:val="Heading3"/>
      </w:pPr>
      <w:r>
        <w:t xml:space="preserve">9.3 Gestión de Incidentes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Registro:</w:t>
      </w:r>
      <w:r>
        <w:t xml:space="preserve"> </w:t>
      </w:r>
      <w:r>
        <w:t xml:space="preserve">Todos los incidentes de seguridad se documentan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Clasificación:</w:t>
      </w:r>
      <w:r>
        <w:t xml:space="preserve"> </w:t>
      </w:r>
      <w:r>
        <w:t xml:space="preserve">Por severidad y tipo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Respuesta:</w:t>
      </w:r>
      <w:r>
        <w:t xml:space="preserve"> </w:t>
      </w:r>
      <w:r>
        <w:t xml:space="preserve">Protocolo de respuesta a incidentes con tiempos definidos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Escalamiento:</w:t>
      </w:r>
      <w:r>
        <w:t xml:space="preserve"> </w:t>
      </w:r>
      <w:r>
        <w:t xml:space="preserve">Comité Técnico de Seguridad</w:t>
      </w:r>
    </w:p>
    <w:bookmarkEnd w:id="71"/>
    <w:bookmarkStart w:id="72" w:name="comité-de-seguridad"/>
    <w:p>
      <w:pPr>
        <w:pStyle w:val="Heading3"/>
      </w:pPr>
      <w:r>
        <w:t xml:space="preserve">9.4 Comité de Seguridad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Frecuencia:</w:t>
      </w:r>
      <w:r>
        <w:t xml:space="preserve"> </w:t>
      </w:r>
      <w:r>
        <w:t xml:space="preserve">Sesiones mensuales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Participantes:</w:t>
      </w:r>
      <w:r>
        <w:t xml:space="preserve"> </w:t>
      </w:r>
      <w:r>
        <w:t xml:space="preserve">Líder Técnico, Arquitecto de Software, DBA, Especialistas de Seguridad, Líder Funcional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Temas:</w:t>
      </w:r>
    </w:p>
    <w:p>
      <w:pPr>
        <w:numPr>
          <w:ilvl w:val="1"/>
          <w:numId w:val="1025"/>
        </w:numPr>
        <w:pStyle w:val="Compact"/>
      </w:pPr>
      <w:r>
        <w:t xml:space="preserve">Estado de vulnerabilidades</w:t>
      </w:r>
    </w:p>
    <w:p>
      <w:pPr>
        <w:numPr>
          <w:ilvl w:val="1"/>
          <w:numId w:val="1025"/>
        </w:numPr>
        <w:pStyle w:val="Compact"/>
      </w:pPr>
      <w:r>
        <w:t xml:space="preserve">Incidentes de seguridad</w:t>
      </w:r>
    </w:p>
    <w:p>
      <w:pPr>
        <w:numPr>
          <w:ilvl w:val="1"/>
          <w:numId w:val="1025"/>
        </w:numPr>
        <w:pStyle w:val="Compact"/>
      </w:pPr>
      <w:r>
        <w:t xml:space="preserve">Pruebas de pentesting</w:t>
      </w:r>
    </w:p>
    <w:p>
      <w:pPr>
        <w:numPr>
          <w:ilvl w:val="1"/>
          <w:numId w:val="1025"/>
        </w:numPr>
        <w:pStyle w:val="Compact"/>
      </w:pPr>
      <w:r>
        <w:t xml:space="preserve">Actualizaciones de parches</w:t>
      </w:r>
    </w:p>
    <w:p>
      <w:pPr>
        <w:numPr>
          <w:ilvl w:val="1"/>
          <w:numId w:val="1025"/>
        </w:numPr>
        <w:pStyle w:val="Compact"/>
      </w:pPr>
      <w:r>
        <w:t xml:space="preserve">Políticas de acceso</w:t>
      </w:r>
    </w:p>
    <w:p>
      <w:pPr>
        <w:numPr>
          <w:ilvl w:val="1"/>
          <w:numId w:val="1025"/>
        </w:numPr>
        <w:pStyle w:val="Compact"/>
      </w:pPr>
      <w:r>
        <w:t xml:space="preserve">Auditorías de cumplimiento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operación-y-soporte"/>
    <w:p>
      <w:pPr>
        <w:pStyle w:val="Heading2"/>
      </w:pPr>
      <w:r>
        <w:t xml:space="preserve">10. OPERACIÓN Y SOPORTE</w:t>
      </w:r>
    </w:p>
    <w:bookmarkStart w:id="74" w:name="mesa-de-ayuda-n1-n2"/>
    <w:p>
      <w:pPr>
        <w:pStyle w:val="Heading3"/>
      </w:pPr>
      <w:r>
        <w:t xml:space="preserve">10.1 Mesa de Ayuda (N1 / N2)</w:t>
      </w:r>
    </w:p>
    <w:p>
      <w:pPr>
        <w:pStyle w:val="FirstParagraph"/>
      </w:pPr>
      <w:r>
        <w:rPr>
          <w:bCs/>
          <w:b/>
        </w:rPr>
        <w:t xml:space="preserve">Nivel 1 (N1):</w:t>
      </w:r>
      <w:r>
        <w:t xml:space="preserve"> </w:t>
      </w:r>
      <w:r>
        <w:t xml:space="preserve">- Atención telefónica y por chat</w:t>
      </w:r>
      <w:r>
        <w:t xml:space="preserve"> </w:t>
      </w:r>
      <w:r>
        <w:t xml:space="preserve">- Resolución de incidentes simples</w:t>
      </w:r>
      <w:r>
        <w:t xml:space="preserve"> </w:t>
      </w:r>
      <w:r>
        <w:t xml:space="preserve">- Reset de contraseñas</w:t>
      </w:r>
      <w:r>
        <w:t xml:space="preserve"> </w:t>
      </w:r>
      <w:r>
        <w:t xml:space="preserve">- Orientación en el uso de la plataforma</w:t>
      </w:r>
      <w:r>
        <w:t xml:space="preserve"> </w:t>
      </w:r>
      <w:r>
        <w:t xml:space="preserve">- Escalamiento a N2 si no puede resolver</w:t>
      </w:r>
    </w:p>
    <w:p>
      <w:pPr>
        <w:pStyle w:val="BodyText"/>
      </w:pPr>
      <w:r>
        <w:rPr>
          <w:bCs/>
          <w:b/>
        </w:rPr>
        <w:t xml:space="preserve">Nivel 2 (N2):</w:t>
      </w:r>
      <w:r>
        <w:t xml:space="preserve"> </w:t>
      </w:r>
      <w:r>
        <w:t xml:space="preserve">- Resolución de incidentes técnicos complejos</w:t>
      </w:r>
      <w:r>
        <w:t xml:space="preserve"> </w:t>
      </w:r>
      <w:r>
        <w:t xml:space="preserve">- Configuración de agentes y plantas</w:t>
      </w:r>
      <w:r>
        <w:t xml:space="preserve"> </w:t>
      </w:r>
      <w:r>
        <w:t xml:space="preserve">- Gestión de bugs del sistema</w:t>
      </w:r>
      <w:r>
        <w:t xml:space="preserve"> </w:t>
      </w:r>
      <w:r>
        <w:t xml:space="preserve">- Coordinación con desarrollo</w:t>
      </w:r>
      <w:r>
        <w:t xml:space="preserve"> </w:t>
      </w:r>
      <w:r>
        <w:t xml:space="preserve">- Protocolos de atención documentados</w:t>
      </w:r>
    </w:p>
    <w:bookmarkEnd w:id="74"/>
    <w:bookmarkStart w:id="75" w:name="sistema-de-tickets-aranda"/>
    <w:p>
      <w:pPr>
        <w:pStyle w:val="Heading3"/>
      </w:pPr>
      <w:r>
        <w:t xml:space="preserve">10.2 Sistema de Tickets (Aranda)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Aranda Service Desk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27"/>
        </w:numPr>
        <w:pStyle w:val="Compact"/>
      </w:pPr>
      <w:r>
        <w:t xml:space="preserve">Creación de tickets por agentes (vía call center o autogestión)</w:t>
      </w:r>
    </w:p>
    <w:p>
      <w:pPr>
        <w:numPr>
          <w:ilvl w:val="1"/>
          <w:numId w:val="1027"/>
        </w:numPr>
        <w:pStyle w:val="Compact"/>
      </w:pPr>
      <w:r>
        <w:t xml:space="preserve">Asignación automática por categoría</w:t>
      </w:r>
    </w:p>
    <w:p>
      <w:pPr>
        <w:numPr>
          <w:ilvl w:val="1"/>
          <w:numId w:val="1027"/>
        </w:numPr>
        <w:pStyle w:val="Compact"/>
      </w:pPr>
      <w:r>
        <w:t xml:space="preserve">Seguimiento de estado (nuevo, en proceso, resuelto, cerrado)</w:t>
      </w:r>
    </w:p>
    <w:p>
      <w:pPr>
        <w:numPr>
          <w:ilvl w:val="1"/>
          <w:numId w:val="1027"/>
        </w:numPr>
        <w:pStyle w:val="Compact"/>
      </w:pPr>
      <w:r>
        <w:t xml:space="preserve">SLAs definidos por tipo de ticket</w:t>
      </w:r>
    </w:p>
    <w:p>
      <w:pPr>
        <w:numPr>
          <w:ilvl w:val="1"/>
          <w:numId w:val="1027"/>
        </w:numPr>
        <w:pStyle w:val="Compact"/>
      </w:pPr>
      <w:r>
        <w:t xml:space="preserve">Escalamiento automático por vencimiento de SLA</w:t>
      </w:r>
    </w:p>
    <w:p>
      <w:pPr>
        <w:numPr>
          <w:ilvl w:val="1"/>
          <w:numId w:val="1027"/>
        </w:numPr>
        <w:pStyle w:val="Compact"/>
      </w:pPr>
      <w:r>
        <w:t xml:space="preserve">Base de conocimiento integrada</w:t>
      </w:r>
    </w:p>
    <w:bookmarkEnd w:id="75"/>
    <w:bookmarkStart w:id="76" w:name="centro-de-contacto-wolkvox"/>
    <w:p>
      <w:pPr>
        <w:pStyle w:val="Heading3"/>
      </w:pPr>
      <w:r>
        <w:t xml:space="preserve">10.3 Centro de Contacto (WolKVOX)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WolKVOX Contact Center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Canales:</w:t>
      </w:r>
      <w:r>
        <w:t xml:space="preserve"> </w:t>
      </w:r>
      <w:r>
        <w:t xml:space="preserve">Teléfono, correo electrónico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29"/>
        </w:numPr>
        <w:pStyle w:val="Compact"/>
      </w:pPr>
      <w:r>
        <w:t xml:space="preserve">IVR (respuesta de voz interactiva)</w:t>
      </w:r>
    </w:p>
    <w:p>
      <w:pPr>
        <w:numPr>
          <w:ilvl w:val="1"/>
          <w:numId w:val="1029"/>
        </w:numPr>
        <w:pStyle w:val="Compact"/>
      </w:pPr>
      <w:r>
        <w:t xml:space="preserve">Distribución automática de llamadas (ACD)</w:t>
      </w:r>
    </w:p>
    <w:p>
      <w:pPr>
        <w:numPr>
          <w:ilvl w:val="1"/>
          <w:numId w:val="1029"/>
        </w:numPr>
        <w:pStyle w:val="Compact"/>
      </w:pPr>
      <w:r>
        <w:t xml:space="preserve">Grabación de llamadas</w:t>
      </w:r>
    </w:p>
    <w:p>
      <w:pPr>
        <w:numPr>
          <w:ilvl w:val="1"/>
          <w:numId w:val="1029"/>
        </w:numPr>
        <w:pStyle w:val="Compact"/>
      </w:pPr>
      <w:r>
        <w:t xml:space="preserve">Monitoreo de agentes en tiempo real</w:t>
      </w:r>
    </w:p>
    <w:p>
      <w:pPr>
        <w:numPr>
          <w:ilvl w:val="1"/>
          <w:numId w:val="1029"/>
        </w:numPr>
        <w:pStyle w:val="Compact"/>
      </w:pPr>
      <w:r>
        <w:t xml:space="preserve">Reportes de productividad</w:t>
      </w:r>
    </w:p>
    <w:bookmarkEnd w:id="76"/>
    <w:bookmarkStart w:id="77" w:name="capacitaciones-y-formación"/>
    <w:p>
      <w:pPr>
        <w:pStyle w:val="Heading3"/>
      </w:pPr>
      <w:r>
        <w:t xml:space="preserve">10.4 Capacitaciones y Formación</w:t>
      </w:r>
    </w:p>
    <w:p>
      <w:pPr>
        <w:pStyle w:val="FirstParagraph"/>
      </w:pPr>
      <w:r>
        <w:rPr>
          <w:bCs/>
          <w:b/>
        </w:rPr>
        <w:t xml:space="preserve">Programas de capacitación:</w:t>
      </w:r>
      <w:r>
        <w:t xml:space="preserve"> </w:t>
      </w:r>
      <w:r>
        <w:t xml:space="preserve">- Webinars mensuales (2025-2026)</w:t>
      </w:r>
      <w:r>
        <w:t xml:space="preserve"> </w:t>
      </w:r>
      <w:r>
        <w:t xml:space="preserve">- Microbits (videos cortos tutoriales)</w:t>
      </w:r>
      <w:r>
        <w:t xml:space="preserve"> </w:t>
      </w:r>
      <w:r>
        <w:t xml:space="preserve">- Preturnos N1 (capacitación mensual a agentes)</w:t>
      </w:r>
      <w:r>
        <w:t xml:space="preserve"> </w:t>
      </w:r>
      <w:r>
        <w:t xml:space="preserve">- Gestión del conocimiento (documentación actualizada)</w:t>
      </w:r>
      <w:r>
        <w:t xml:space="preserve"> </w:t>
      </w:r>
      <w:r>
        <w:t xml:space="preserve">- Capacitaciones externas (agentes, entidades gubernamentales, SGI, MME)</w:t>
      </w:r>
      <w:r>
        <w:t xml:space="preserve"> </w:t>
      </w:r>
      <w:r>
        <w:t xml:space="preserve">- Módulo de consultas (formación específica)</w:t>
      </w:r>
      <w:r>
        <w:t xml:space="preserve"> </w:t>
      </w:r>
      <w:r>
        <w:t xml:space="preserve">- Videos</w:t>
      </w:r>
      <w:r>
        <w:t xml:space="preserve"> </w:t>
      </w:r>
      <w:r>
        <w:t xml:space="preserve">“</w:t>
      </w:r>
      <w:r>
        <w:t xml:space="preserve">Aprende SICOM</w:t>
      </w:r>
      <w:r>
        <w:t xml:space="preserve">”</w:t>
      </w:r>
      <w:r>
        <w:t xml:space="preserve"> </w:t>
      </w:r>
      <w:r>
        <w:t xml:space="preserve">(contenido actualizado por tipo de agente)</w:t>
      </w:r>
    </w:p>
    <w:p>
      <w:pPr>
        <w:pStyle w:val="BodyText"/>
      </w:pPr>
      <w:r>
        <w:rPr>
          <w:bCs/>
          <w:b/>
        </w:rPr>
        <w:t xml:space="preserve">Material disponible:</w:t>
      </w:r>
      <w:r>
        <w:t xml:space="preserve"> </w:t>
      </w:r>
      <w:r>
        <w:t xml:space="preserve">- Manuales de usuario</w:t>
      </w:r>
      <w:r>
        <w:t xml:space="preserve"> </w:t>
      </w:r>
      <w:r>
        <w:t xml:space="preserve">- Guías paso a paso</w:t>
      </w:r>
      <w:r>
        <w:t xml:space="preserve"> </w:t>
      </w:r>
      <w:r>
        <w:t xml:space="preserve">- Videos tutoriales</w:t>
      </w:r>
      <w:r>
        <w:t xml:space="preserve"> </w:t>
      </w:r>
      <w:r>
        <w:t xml:space="preserve">- Instructivos</w:t>
      </w:r>
      <w:r>
        <w:t xml:space="preserve"> </w:t>
      </w:r>
      <w:r>
        <w:t xml:space="preserve">- Plantillas MME</w:t>
      </w:r>
      <w:r>
        <w:t xml:space="preserve"> </w:t>
      </w:r>
      <w:r>
        <w:t xml:space="preserve">- Evaluaciones trimestrales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integraciones-y-apis"/>
    <w:p>
      <w:pPr>
        <w:pStyle w:val="Heading2"/>
      </w:pPr>
      <w:r>
        <w:t xml:space="preserve">11. INTEGRACIONES Y APIs</w:t>
      </w:r>
    </w:p>
    <w:bookmarkStart w:id="79" w:name="integraciones-principales"/>
    <w:p>
      <w:pPr>
        <w:pStyle w:val="Heading3"/>
      </w:pPr>
      <w:r>
        <w:t xml:space="preserve">11.1 Integraciones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 ↔ SICOM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SOAP /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y validación de guías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/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de cubos y tableros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Aranda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/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tickets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WolKVOX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telefónica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FortiSIEM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Syslog /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logs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FortiWeb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tráfico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Servicios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datos, consultas</w:t>
            </w:r>
          </w:p>
        </w:tc>
      </w:tr>
    </w:tbl>
    <w:bookmarkEnd w:id="79"/>
    <w:bookmarkStart w:id="80" w:name="apis-externas"/>
    <w:p>
      <w:pPr>
        <w:pStyle w:val="Heading3"/>
      </w:pPr>
      <w:r>
        <w:t xml:space="preserve">11.2 APIs Externas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Validación de NIT:</w:t>
      </w:r>
      <w:r>
        <w:t xml:space="preserve"> </w:t>
      </w:r>
      <w:r>
        <w:t xml:space="preserve">Conexión con servicios de validación de RUT/NIT de Colombia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Normalización de direcciones:</w:t>
      </w:r>
      <w:r>
        <w:t xml:space="preserve"> </w:t>
      </w:r>
      <w:r>
        <w:t xml:space="preserve">Servicio de geocodificación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Validación de correos:</w:t>
      </w:r>
      <w:r>
        <w:t xml:space="preserve"> </w:t>
      </w:r>
      <w:r>
        <w:t xml:space="preserve">Servicio de verificación de email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Firma digital:</w:t>
      </w:r>
      <w:r>
        <w:t xml:space="preserve"> </w:t>
      </w:r>
      <w:r>
        <w:t xml:space="preserve">Servicio de firma electrónica integrado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Notificaciones por correo:</w:t>
      </w:r>
      <w:r>
        <w:t xml:space="preserve"> </w:t>
      </w:r>
      <w:r>
        <w:t xml:space="preserve">SMTP integrado con plantillas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glosario"/>
    <w:p>
      <w:pPr>
        <w:pStyle w:val="Heading2"/>
      </w:pPr>
      <w:r>
        <w:t xml:space="preserve">12. 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Combustible Para Motores (diésel corriente)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natural o jurídica autorizada por el MME para operar en la cadena de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de Business Process Management (BPM) usada en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Process Management — Gestión por Procesos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único de 6 dígitos asignado a cada agente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certifica la entrega de combustible en una orden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Disaster Recovery Plan — Plan de Recuperación ante Desastres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Consumidor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Natural Comprimido Vehicular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 de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N1 / 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1 / Nivel 2 de soporte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Organismo Nacional de Acreditación de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Pedido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Información Guías Digitales de Transporte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Information and Event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Level Agreement — Acuerdo de Nivel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Object Access Protocol — Protocolo de comunicación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Obligatorio de Accidentes de Tránsito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 con registro de volumen y precio del combustible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Application Firewall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99d25e27eec25d1c8ca4f26e1d5c702bedbaa0c"/>
    <w:p>
      <w:pPr>
        <w:pStyle w:val="Heading2"/>
      </w:pPr>
      <w:r>
        <w:t xml:space="preserve">13. GOBERNANZA DEL PROYECTO Y CONTROL DE CAMBIOS</w:t>
      </w:r>
    </w:p>
    <w:bookmarkStart w:id="83" w:name="comité-de-control-de-cambios"/>
    <w:p>
      <w:pPr>
        <w:pStyle w:val="Heading3"/>
      </w:pPr>
      <w:r>
        <w:t xml:space="preserve">13.1 Comité de Control de Cambios</w:t>
      </w:r>
    </w:p>
    <w:p>
      <w:pPr>
        <w:pStyle w:val="FirstParagraph"/>
      </w:pPr>
      <w:r>
        <w:t xml:space="preserve">El SICOM opera bajo una estricta gobernanza de cambios mediante el</w:t>
      </w:r>
      <w:r>
        <w:t xml:space="preserve"> </w:t>
      </w:r>
      <w:r>
        <w:rPr>
          <w:bCs/>
          <w:b/>
        </w:rPr>
        <w:t xml:space="preserve">Comité de Control de Cambios</w:t>
      </w:r>
      <w:r>
        <w:t xml:space="preserve"> </w:t>
      </w:r>
      <w:r>
        <w:t xml:space="preserve">(CCC), conformado por representantes del MME y del equipo técnico de INTERNEXA.</w:t>
      </w:r>
    </w:p>
    <w:p>
      <w:pPr>
        <w:pStyle w:val="BodyText"/>
      </w:pPr>
      <w:r>
        <w:rPr>
          <w:bCs/>
          <w:b/>
        </w:rPr>
        <w:t xml:space="preserve">Frecuencia:</w:t>
      </w:r>
      <w:r>
        <w:t xml:space="preserve"> </w:t>
      </w:r>
      <w:r>
        <w:t xml:space="preserve">Sesiones periódicas (semanales/quincenales)</w:t>
      </w:r>
    </w:p>
    <w:p>
      <w:pPr>
        <w:pStyle w:val="BodyText"/>
      </w:pPr>
      <w:r>
        <w:rPr>
          <w:bCs/>
          <w:b/>
        </w:rPr>
        <w:t xml:space="preserve">Participantes típicos:</w:t>
      </w:r>
      <w:r>
        <w:t xml:space="preserve"> </w:t>
      </w:r>
      <w:r>
        <w:t xml:space="preserve">- Representantes del Ministerio de Minas y Energía (MME)</w:t>
      </w:r>
      <w:r>
        <w:t xml:space="preserve"> </w:t>
      </w:r>
      <w:r>
        <w:t xml:space="preserve">- Gerente / Director de Proyecto (INTERNEXA)</w:t>
      </w:r>
      <w:r>
        <w:t xml:space="preserve"> </w:t>
      </w:r>
      <w:r>
        <w:t xml:space="preserve">- Líder Técnico</w:t>
      </w:r>
      <w:r>
        <w:t xml:space="preserve"> </w:t>
      </w:r>
      <w:r>
        <w:t xml:space="preserve">- Líder Funcional</w:t>
      </w:r>
      <w:r>
        <w:t xml:space="preserve"> </w:t>
      </w:r>
      <w:r>
        <w:t xml:space="preserve">- Líder BI</w:t>
      </w:r>
      <w:r>
        <w:t xml:space="preserve"> </w:t>
      </w:r>
      <w:r>
        <w:t xml:space="preserve">- Líder Scrum</w:t>
      </w:r>
      <w:r>
        <w:t xml:space="preserve"> </w:t>
      </w:r>
      <w:r>
        <w:t xml:space="preserve">- Especialista Base de Datos</w:t>
      </w:r>
      <w:r>
        <w:t xml:space="preserve"> </w:t>
      </w:r>
      <w:r>
        <w:t xml:space="preserve">- Analista de QA</w:t>
      </w:r>
      <w:r>
        <w:t xml:space="preserve"> </w:t>
      </w:r>
      <w:r>
        <w:t xml:space="preserve">- Especialista Procesos BPM</w:t>
      </w:r>
      <w:r>
        <w:t xml:space="preserve"> </w:t>
      </w:r>
      <w:r>
        <w:t xml:space="preserve">- Analistas Funcionales</w:t>
      </w:r>
      <w:r>
        <w:t xml:space="preserve"> </w:t>
      </w:r>
      <w:r>
        <w:t xml:space="preserve">- Especialista Experiencia de Usuario</w:t>
      </w:r>
    </w:p>
    <w:bookmarkEnd w:id="83"/>
    <w:bookmarkStart w:id="84" w:name="proceso-de-cambios-rfc"/>
    <w:p>
      <w:pPr>
        <w:pStyle w:val="Heading3"/>
      </w:pPr>
      <w:r>
        <w:t xml:space="preserve">13.2 Proceso de Cambios (RFC)</w:t>
      </w:r>
    </w:p>
    <w:p>
      <w:pPr>
        <w:pStyle w:val="FirstParagraph"/>
      </w:pPr>
      <w:r>
        <w:t xml:space="preserve">Todas las modificaciones al SICOM se gestionan mediante</w:t>
      </w:r>
      <w:r>
        <w:t xml:space="preserve"> </w:t>
      </w:r>
      <w:r>
        <w:rPr>
          <w:bCs/>
          <w:b/>
        </w:rPr>
        <w:t xml:space="preserve">Requests for Change (RFC)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0"/>
        <w:gridCol w:w="2511"/>
        <w:gridCol w:w="23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RFC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planificados de bajo/medio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Control de 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RFC de 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urgentes por fallos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previa por correo del MME + Formalización posterior en comité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Evolutivos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Nuevas funcionalidades, mejoras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Validación 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Modificaciones a procesos 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BPM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Ajustes ETL, cubos,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Mejoras al módulo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SIGDI</w:t>
            </w:r>
          </w:p>
        </w:tc>
      </w:tr>
    </w:tbl>
    <w:p>
      <w:pPr>
        <w:pStyle w:val="BodyText"/>
      </w:pPr>
      <w:r>
        <w:rPr>
          <w:bCs/>
          <w:b/>
        </w:rPr>
        <w:t xml:space="preserve">Ejemplos de RFCs documentados:</w:t>
      </w:r>
      <w:r>
        <w:t xml:space="preserve"> </w:t>
      </w:r>
      <w:r>
        <w:t xml:space="preserve">- RFC 249: Ajuste ETL incremental de compras (HU 2194)</w:t>
      </w:r>
      <w:r>
        <w:t xml:space="preserve"> </w:t>
      </w:r>
      <w:r>
        <w:t xml:space="preserve">- RFC 250: Ajuste regla de negocio Orden de Pedido Simple (corrección límite de 20,000 galones)</w:t>
      </w:r>
      <w:r>
        <w:t xml:space="preserve"> </w:t>
      </w:r>
      <w:r>
        <w:t xml:space="preserve">- RFC 2026-269: Reinicio controlado servidor Nuevo Sicom BPM (emergencia)</w:t>
      </w:r>
      <w:r>
        <w:t xml:space="preserve"> </w:t>
      </w:r>
      <w:r>
        <w:t xml:space="preserve">- RFC 2026-270: Reinicio controlado de nodos Sicom BPM (emergencia)</w:t>
      </w:r>
      <w:r>
        <w:t xml:space="preserve"> </w:t>
      </w:r>
      <w:r>
        <w:t xml:space="preserve">- RFC 2026-271: Depuración de tablas propuestas por fabricante</w:t>
      </w:r>
      <w:r>
        <w:t xml:space="preserve"> </w:t>
      </w:r>
      <w:r>
        <w:t xml:space="preserve">- RFC 2026-272: Cambios BPM</w:t>
      </w:r>
      <w:r>
        <w:t xml:space="preserve"> </w:t>
      </w:r>
      <w:r>
        <w:t xml:space="preserve">- RFC 2026-273: Cambios evolutivos de BI</w:t>
      </w:r>
      <w:r>
        <w:t xml:space="preserve"> </w:t>
      </w:r>
      <w:r>
        <w:t xml:space="preserve">- RFC 2026-274: Mejoras en SIGDI</w:t>
      </w:r>
    </w:p>
    <w:bookmarkEnd w:id="84"/>
    <w:bookmarkStart w:id="85" w:name="políticas-del-comité"/>
    <w:p>
      <w:pPr>
        <w:pStyle w:val="Heading3"/>
      </w:pPr>
      <w:r>
        <w:t xml:space="preserve">13.3 Políticas del Comité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Política de Freezing:</w:t>
      </w:r>
      <w:r>
        <w:t xml:space="preserve"> </w:t>
      </w:r>
      <w:r>
        <w:t xml:space="preserve">Períodos de congelamiento donde no se ejecutan cambios (generalmente durante cierres mensuales o períodos críticos)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Política de Comunicación:</w:t>
      </w:r>
      <w:r>
        <w:t xml:space="preserve"> </w:t>
      </w:r>
      <w:r>
        <w:t xml:space="preserve">Protocolo de notificación a stakeholders ante cambios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Backup obligatorio:</w:t>
      </w:r>
      <w:r>
        <w:t xml:space="preserve"> </w:t>
      </w:r>
      <w:r>
        <w:t xml:space="preserve">Antes de cualquier cambio en BD o ETL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Validación post-cambio:</w:t>
      </w:r>
      <w:r>
        <w:t xml:space="preserve"> </w:t>
      </w:r>
      <w:r>
        <w:t xml:space="preserve">BI + Equipo funcional deben validar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Ventanas de ejecución:</w:t>
      </w:r>
      <w:r>
        <w:t xml:space="preserve"> </w:t>
      </w:r>
      <w:r>
        <w:t xml:space="preserve">Programadas para minimizar impacto operativo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migración-a-gas-proyecto-en-curso"/>
    <w:p>
      <w:pPr>
        <w:pStyle w:val="Heading2"/>
      </w:pPr>
      <w:r>
        <w:t xml:space="preserve">14. MIGRACIÓN A GAS (PROYECTO EN CURSO)</w:t>
      </w:r>
    </w:p>
    <w:bookmarkStart w:id="87" w:name="alcance-de-la-migración"/>
    <w:p>
      <w:pPr>
        <w:pStyle w:val="Heading3"/>
      </w:pPr>
      <w:r>
        <w:t xml:space="preserve">14.1 Alcance de la Migración</w:t>
      </w:r>
    </w:p>
    <w:p>
      <w:pPr>
        <w:pStyle w:val="FirstParagraph"/>
      </w:pPr>
      <w:r>
        <w:t xml:space="preserve">El proyecto SICOM está expandiendo su alcance para incluir la gestión de</w:t>
      </w:r>
      <w:r>
        <w:t xml:space="preserve"> </w:t>
      </w:r>
      <w:r>
        <w:rPr>
          <w:bCs/>
          <w:b/>
        </w:rPr>
        <w:t xml:space="preserve">gas natural vehicular (GNV / GNCV)</w:t>
      </w:r>
      <w:r>
        <w:t xml:space="preserve"> </w:t>
      </w:r>
      <w:r>
        <w:t xml:space="preserve">además de los combustibles líquidos.</w:t>
      </w:r>
    </w:p>
    <w:p>
      <w:pPr>
        <w:pStyle w:val="BodyText"/>
      </w:pPr>
      <w:r>
        <w:rPr>
          <w:bCs/>
          <w:b/>
        </w:rPr>
        <w:t xml:space="preserve">Roadmap:</w:t>
      </w:r>
      <w:r>
        <w:t xml:space="preserve"> </w:t>
      </w:r>
      <w:r>
        <w:t xml:space="preserve">Vigencia diciembre 2025 — junio 2026</w:t>
      </w:r>
    </w:p>
    <w:bookmarkEnd w:id="87"/>
    <w:bookmarkStart w:id="88" w:name="componentes-de-la-migración"/>
    <w:p>
      <w:pPr>
        <w:pStyle w:val="Heading3"/>
      </w:pPr>
      <w:r>
        <w:t xml:space="preserve">14.2 Componentes de la Migración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Datos Maestros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datos, catálogos para productos de 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Formularios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 entrada, formularios web, reglas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Transacciones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Procesos operativos, validaciones, integraciones 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Consultas y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KPIs, paneles, reportes regulatorios, reportes operativos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Alistamiento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Pruebas, despliegue, validación final</w:t>
            </w:r>
          </w:p>
        </w:tc>
      </w:tr>
    </w:tbl>
    <w:bookmarkEnd w:id="88"/>
    <w:bookmarkStart w:id="89" w:name="historias-de-usuario-hu-backlog"/>
    <w:p>
      <w:pPr>
        <w:pStyle w:val="Heading3"/>
      </w:pPr>
      <w:r>
        <w:t xml:space="preserve">14.3 Historias de Usuario (HU) — Backlog</w:t>
      </w:r>
    </w:p>
    <w:p>
      <w:pPr>
        <w:pStyle w:val="FirstParagraph"/>
      </w:pPr>
      <w:r>
        <w:rPr>
          <w:bCs/>
          <w:b/>
        </w:rPr>
        <w:t xml:space="preserve">Implementadas en UAT:</w:t>
      </w:r>
      <w:r>
        <w:t xml:space="preserve"> </w:t>
      </w:r>
      <w:r>
        <w:t xml:space="preserve">- HU 2045: Habilitación de módulo de reasignación de casos para usuario principal del agente</w:t>
      </w:r>
      <w:r>
        <w:t xml:space="preserve"> </w:t>
      </w:r>
      <w:r>
        <w:t xml:space="preserve">- HU 2068: Ajuste proceso de actualización de agentes GC (Gran Consumidor)</w:t>
      </w:r>
      <w:r>
        <w:t xml:space="preserve"> </w:t>
      </w:r>
      <w:r>
        <w:t xml:space="preserve">- HU 2184: Restricción de reportes de ventas en fechas futuras</w:t>
      </w:r>
    </w:p>
    <w:p>
      <w:pPr>
        <w:pStyle w:val="BodyText"/>
      </w:pPr>
      <w:r>
        <w:rPr>
          <w:bCs/>
          <w:b/>
        </w:rPr>
        <w:t xml:space="preserve">Depuradas en proceso de Firmas:</w:t>
      </w:r>
      <w:r>
        <w:t xml:space="preserve"> </w:t>
      </w:r>
      <w:r>
        <w:t xml:space="preserve">- HU 2185: Formulario de actualización de agentes GAS</w:t>
      </w:r>
      <w:r>
        <w:t xml:space="preserve"> </w:t>
      </w:r>
      <w:r>
        <w:t xml:space="preserve">- HU 2349: Módulo de actualización de agentes GAS</w:t>
      </w:r>
      <w:r>
        <w:t xml:space="preserve"> </w:t>
      </w:r>
      <w:r>
        <w:t xml:space="preserve">- HU 2362: Actualizar agente campos GAS</w:t>
      </w:r>
      <w:r>
        <w:t xml:space="preserve"> </w:t>
      </w:r>
      <w:r>
        <w:t xml:space="preserve">- HU 2363: Cargue masivo de vehículos</w:t>
      </w:r>
    </w:p>
    <w:p>
      <w:pPr>
        <w:pStyle w:val="BodyText"/>
      </w:pPr>
      <w:r>
        <w:rPr>
          <w:bCs/>
          <w:b/>
        </w:rPr>
        <w:t xml:space="preserve">Pendientes de levantar (proyectadas):</w:t>
      </w:r>
      <w:r>
        <w:t xml:space="preserve"> </w:t>
      </w:r>
      <w:r>
        <w:t xml:space="preserve">- Procesos (7 HU)</w:t>
      </w:r>
      <w:r>
        <w:t xml:space="preserve"> </w:t>
      </w:r>
      <w:r>
        <w:t xml:space="preserve">- Formularios y Reglas de Negocio (5 HU)</w:t>
      </w:r>
      <w:r>
        <w:t xml:space="preserve"> </w:t>
      </w:r>
      <w:r>
        <w:t xml:space="preserve">- Web Services y Reportes (10 HU)</w:t>
      </w:r>
    </w:p>
    <w:p>
      <w:pPr>
        <w:pStyle w:val="BodyText"/>
      </w:pPr>
      <w:r>
        <w:rPr>
          <w:bCs/>
          <w:b/>
        </w:rPr>
        <w:t xml:space="preserve">Sin firma en depuración:</w:t>
      </w:r>
      <w:r>
        <w:t xml:space="preserve"> </w:t>
      </w:r>
      <w:r>
        <w:t xml:space="preserve">- HU: Control de reporte de ventas EDS balance GAS</w:t>
      </w:r>
      <w:r>
        <w:t xml:space="preserve"> </w:t>
      </w:r>
      <w:r>
        <w:t xml:space="preserve">- HU: Registro contrato suministro</w:t>
      </w:r>
      <w:r>
        <w:t xml:space="preserve"> </w:t>
      </w:r>
      <w:r>
        <w:t xml:space="preserve">- HU: Modelo de datos</w:t>
      </w:r>
    </w:p>
    <w:bookmarkEnd w:id="89"/>
    <w:bookmarkStart w:id="90" w:name="X76d0e247fc9cdbac926b49b88eefbb8ec42ff27"/>
    <w:p>
      <w:pPr>
        <w:pStyle w:val="Heading3"/>
      </w:pPr>
      <w:r>
        <w:t xml:space="preserve">14.4 Procesos BPM a Migrar (Java GCV / GNCV → BPM Bizagi)</w:t>
      </w:r>
    </w:p>
    <w:p>
      <w:pPr>
        <w:pStyle w:val="FirstParagraph"/>
      </w:pPr>
      <w:r>
        <w:t xml:space="preserve">Los procesos actuales de gas que operan en Java serán migrados a la plataforma BPM Bizagi para unificar la arquitectura con los combustibles líquidos.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indicadores-y-reportes-de-servicio-ans"/>
    <w:p>
      <w:pPr>
        <w:pStyle w:val="Heading2"/>
      </w:pPr>
      <w:r>
        <w:t xml:space="preserve">15. INDICADORES Y REPORTES DE SERVICIO (ANS)</w:t>
      </w:r>
    </w:p>
    <w:bookmarkStart w:id="92" w:name="acuerdo-de-nivel-de-servicio-anssla"/>
    <w:p>
      <w:pPr>
        <w:pStyle w:val="Heading3"/>
      </w:pPr>
      <w:r>
        <w:t xml:space="preserve">15.1 Acuerdo de Nivel de Servicio (ANS/SLA)</w:t>
      </w:r>
    </w:p>
    <w:p>
      <w:pPr>
        <w:pStyle w:val="FirstParagraph"/>
      </w:pPr>
      <w:r>
        <w:t xml:space="preserve">El SICOM opera bajo ANS contractuales medidos mensualmente:</w:t>
      </w:r>
    </w:p>
    <w:p>
      <w:pPr>
        <w:pStyle w:val="BodyText"/>
      </w:pPr>
      <w:r>
        <w:rPr>
          <w:bCs/>
          <w:b/>
        </w:rPr>
        <w:t xml:space="preserve">Reportes de ANS mensuales:</w:t>
      </w:r>
      <w:r>
        <w:t xml:space="preserve"> </w:t>
      </w:r>
      <w:r>
        <w:t xml:space="preserve">- Reporte de ANS Diciembre 2025</w:t>
      </w:r>
      <w:r>
        <w:t xml:space="preserve"> </w:t>
      </w:r>
      <w:r>
        <w:t xml:space="preserve">- Reporte de ANS Enero 2026</w:t>
      </w:r>
    </w:p>
    <w:p>
      <w:pPr>
        <w:pStyle w:val="BodyText"/>
      </w:pPr>
      <w:r>
        <w:rPr>
          <w:bCs/>
          <w:b/>
        </w:rPr>
        <w:t xml:space="preserve">Indicadores típicos:</w:t>
      </w:r>
      <w:r>
        <w:t xml:space="preserve"> </w:t>
      </w:r>
      <w:r>
        <w:t xml:space="preserve">- Disponibilidad del sistema (% uptime)</w:t>
      </w:r>
      <w:r>
        <w:t xml:space="preserve"> </w:t>
      </w:r>
      <w:r>
        <w:t xml:space="preserve">- Tiempo de respuesta de aplicación</w:t>
      </w:r>
      <w:r>
        <w:t xml:space="preserve"> </w:t>
      </w:r>
      <w:r>
        <w:t xml:space="preserve">- Resolución de incidentes (N1 / N2)</w:t>
      </w:r>
      <w:r>
        <w:t xml:space="preserve"> </w:t>
      </w:r>
      <w:r>
        <w:t xml:space="preserve">- Cumplimiento de RFCs programados</w:t>
      </w:r>
      <w:r>
        <w:t xml:space="preserve"> </w:t>
      </w:r>
      <w:r>
        <w:t xml:space="preserve">- Calidad del dato (% completitud, % exactitud)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riesgos-y-controles"/>
    <w:p>
      <w:pPr>
        <w:pStyle w:val="Heading2"/>
      </w:pPr>
      <w:r>
        <w:t xml:space="preserve">16. RIESGOS Y CONTROLES</w:t>
      </w:r>
    </w:p>
    <w:p>
      <w:pPr>
        <w:pStyle w:val="FirstParagraph"/>
      </w:pPr>
      <w:r>
        <w:rPr>
          <w:bCs/>
          <w:b/>
        </w:rPr>
        <w:t xml:space="preserve">Matriz de riesgos actualizada periódicamente</w:t>
      </w:r>
      <w:r>
        <w:t xml:space="preserve"> </w:t>
      </w:r>
      <w:r>
        <w:t xml:space="preserve">con identificación de:</w:t>
      </w:r>
      <w:r>
        <w:t xml:space="preserve"> </w:t>
      </w:r>
      <w:r>
        <w:t xml:space="preserve">- Riesgos técnicos (infraestructura, disponibilidad)</w:t>
      </w:r>
      <w:r>
        <w:t xml:space="preserve"> </w:t>
      </w:r>
      <w:r>
        <w:t xml:space="preserve">- Riesgos de seguridad (vulnerabilidades, brechas)</w:t>
      </w:r>
      <w:r>
        <w:t xml:space="preserve"> </w:t>
      </w:r>
      <w:r>
        <w:t xml:space="preserve">- Riesgos funcionales (cambios regulatorios, bugs)</w:t>
      </w:r>
      <w:r>
        <w:t xml:space="preserve"> </w:t>
      </w:r>
      <w:r>
        <w:t xml:space="preserve">- Riesgos de proyecto (cronograma, recursos)</w:t>
      </w:r>
    </w:p>
    <w:p>
      <w:pPr>
        <w:pStyle w:val="BodyText"/>
      </w:pPr>
      <w:r>
        <w:rPr>
          <w:bCs/>
          <w:b/>
        </w:rPr>
        <w:t xml:space="preserve">Controles:</w:t>
      </w:r>
      <w:r>
        <w:t xml:space="preserve"> </w:t>
      </w:r>
      <w:r>
        <w:t xml:space="preserve">- Comité Técnico de Seguridad (mensual)</w:t>
      </w:r>
      <w:r>
        <w:t xml:space="preserve"> </w:t>
      </w:r>
      <w:r>
        <w:t xml:space="preserve">- Comité de Control de Cambios</w:t>
      </w:r>
      <w:r>
        <w:t xml:space="preserve"> </w:t>
      </w:r>
      <w:r>
        <w:t xml:space="preserve">- Pruebas de DRP periódicas</w:t>
      </w:r>
      <w:r>
        <w:t xml:space="preserve"> </w:t>
      </w:r>
      <w:r>
        <w:t xml:space="preserve">- Pentesting semestral</w:t>
      </w:r>
      <w:r>
        <w:t xml:space="preserve"> </w:t>
      </w:r>
      <w:r>
        <w:t xml:space="preserve">- Monitoreo continuo (FortiSIEM)</w:t>
      </w:r>
    </w:p>
    <w:p>
      <w:r>
        <w:pict>
          <v:rect style="width:0;height:1.5pt" o:hralign="center" o:hrstd="t" o:hr="t"/>
        </w:pict>
      </w:r>
    </w:p>
    <w:bookmarkEnd w:id="94"/>
    <w:bookmarkStart w:id="95" w:name="anexo-a-historial-de-rfcs-documentados"/>
    <w:p>
      <w:pPr>
        <w:pStyle w:val="Heading2"/>
      </w:pPr>
      <w:r>
        <w:t xml:space="preserve">ANEXO A: HISTORIAL DE RFCs DOCUMENTADOS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3321"/>
        <w:gridCol w:w="1532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ETL compras (HU 2194)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regla de negocio OPS (20,000 galones)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Reinicio controlado servidor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Reinicio controlado nodos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Depuración tablas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evolutivos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Mejoras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anexo-b-control-de-cambios"/>
    <w:p>
      <w:pPr>
        <w:pStyle w:val="Heading2"/>
      </w:pPr>
      <w:r>
        <w:t xml:space="preserve">ANEXO B: 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732"/>
        <w:gridCol w:w="1732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/ Análisis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inicial del SICOM a partir de 48 documentos técnicos de la carpeta operativa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generado por análisis automatizado de la carpeta documental SICOM.</w:t>
      </w:r>
      <w:r>
        <w:t xml:space="preserve"> </w:t>
      </w:r>
      <w:r>
        <w:rPr>
          <w:bCs/>
          <w:b/>
        </w:rPr>
        <w:t xml:space="preserve">Fuentes principales:</w:t>
      </w:r>
      <w:r>
        <w:t xml:space="preserve"> </w:t>
      </w:r>
      <w:r>
        <w:t xml:space="preserve">M-126 (Procesos de Apoyo V6), M-127 (Procesos Core V5), M-128 (Procesos de Control V5), Manuales SIGDI, Guías SICOM, Informes de Seguridad, Documentación de Infraestructura, DRP, Actas de Comités de Control de Cambios, Roadmap de Migración a Gas, y ~40 documentos adicionales.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ZEUS</w:t>
      </w:r>
      <w:r>
        <w:t xml:space="preserve"> </w:t>
      </w:r>
      <w:r>
        <w:t xml:space="preserve">— Sistema de Inteligencia Empresarial INNOVADATACO</w:t>
      </w:r>
      <w:r>
        <w:br/>
      </w:r>
      <w:r>
        <w:rPr>
          <w:iCs/>
          <w:i/>
        </w:rPr>
        <w:t xml:space="preserve">Análisis documental profundo — SICOM Ministerio de Minas y Energía</w:t>
      </w:r>
    </w:p>
    <w:bookmarkEnd w:id="96"/>
    <w:bookmarkEnd w:id="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2026-05-26T08:58:53Z</dcterms:created>
  <dcterms:modified xsi:type="dcterms:W3CDTF">2026-05-26T08:58:53Z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