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42977e5acc8bc5b5cf0121b7fcf3be33c30888"/>
    <w:p>
      <w:pPr>
        <w:pStyle w:val="Heading1"/>
      </w:pPr>
      <w:r>
        <w:t xml:space="preserve">HALLAZGOS CRÍTICOS — PROCESO DE ADQUISICIÓN FLOTA + ITS SETP SINCELEJO</w:t>
      </w:r>
    </w:p>
    <w:bookmarkStart w:id="20" w:name="Xb7253b6fee3477405683eb987d3c1d8a996585d"/>
    <w:p>
      <w:pPr>
        <w:pStyle w:val="Heading2"/>
      </w:pPr>
      <w:r>
        <w:t xml:space="preserve">Análisis de 3 documentos adicionales: Observaciones al Proceso, Recomendaciones, RFI Autobuses</w:t>
      </w:r>
    </w:p>
    <w:bookmarkEnd w:id="20"/>
    <w:bookmarkStart w:id="21" w:name="fecha-30-de-mayo-de-2026"/>
    <w:p>
      <w:pPr>
        <w:pStyle w:val="Heading2"/>
      </w:pPr>
      <w:r>
        <w:t xml:space="preserve">Fecha: 30 de mayo de 2026</w:t>
      </w:r>
    </w:p>
    <w:bookmarkEnd w:id="21"/>
    <w:bookmarkStart w:id="22" w:name="X4e6300d66c444d898ff52b83446d6907493d57a"/>
    <w:p>
      <w:pPr>
        <w:pStyle w:val="Heading2"/>
      </w:pPr>
      <w:r>
        <w:t xml:space="preserve">Clasificación: CONFIDENCIAL — USO INTERNO INNOVADATACO</w:t>
      </w:r>
    </w:p>
    <w:p>
      <w:r>
        <w:pict>
          <v:rect style="width:0;height:1.5pt" o:hralign="center" o:hrstd="t" o:hr="t"/>
        </w:pict>
      </w:r>
    </w:p>
    <w:bookmarkEnd w:id="22"/>
    <w:bookmarkStart w:id="23" w:name="Xe13b8d790cb6d9ea229f06d7eaf9817ace4c8ac"/>
    <w:p>
      <w:pPr>
        <w:pStyle w:val="Heading2"/>
      </w:pPr>
      <w:r>
        <w:t xml:space="preserve">🔴 HALLAZGO CRÍTICO HC-01: INCONSISTENCIA EN TECNOLOGÍA DE BUSES — DIESEL vs GAS vs ELÉCTRICO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El proceso define vehículos como</w:t>
      </w:r>
      <w:r>
        <w:t xml:space="preserve"> </w:t>
      </w:r>
      <w:r>
        <w:rPr>
          <w:bCs/>
          <w:b/>
        </w:rPr>
        <w:t xml:space="preserve">microbús Diesel Euro VI</w:t>
      </w:r>
      <w:r>
        <w:t xml:space="preserve">, pero:</w:t>
      </w:r>
      <w:r>
        <w:t xml:space="preserve"> </w:t>
      </w:r>
      <w:r>
        <w:t xml:space="preserve">- En otros anexos solicita tecnología a</w:t>
      </w:r>
      <w:r>
        <w:t xml:space="preserve"> </w:t>
      </w:r>
      <w:r>
        <w:rPr>
          <w:bCs/>
          <w:b/>
        </w:rPr>
        <w:t xml:space="preserve">gas</w:t>
      </w:r>
      <w:r>
        <w:t xml:space="preserve"> </w:t>
      </w:r>
      <w:r>
        <w:t xml:space="preserve">- La carta de elegibilidad afirma priorizar</w:t>
      </w:r>
      <w:r>
        <w:t xml:space="preserve"> </w:t>
      </w:r>
      <w:r>
        <w:rPr>
          <w:bCs/>
          <w:b/>
        </w:rPr>
        <w:t xml:space="preserve">buses eléctricos</w:t>
      </w:r>
      <w:r>
        <w:t xml:space="preserve"> </w:t>
      </w:r>
      <w:r>
        <w:t xml:space="preserve">(coherencia PNETP)</w:t>
      </w:r>
      <w:r>
        <w:t xml:space="preserve"> </w:t>
      </w:r>
      <w:r>
        <w:t xml:space="preserve">- El gerente de MetroSabanas comunicó al Ministerio que la tipología es</w:t>
      </w:r>
      <w:r>
        <w:t xml:space="preserve"> </w:t>
      </w:r>
      <w:r>
        <w:rPr>
          <w:bCs/>
          <w:b/>
        </w:rPr>
        <w:t xml:space="preserve">GNV (gas natural vehicular)</w:t>
      </w:r>
      <w:r>
        <w:t xml:space="preserve"> </w:t>
      </w:r>
      <w:r>
        <w:t xml:space="preserve">bajo Euro VI</w:t>
      </w:r>
      <w:r>
        <w:t xml:space="preserve"> </w:t>
      </w:r>
      <w:r>
        <w:t xml:space="preserve">- No hay análisis documentado de la elección tecnológica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Riesgo de licitación fallida, reclamaciones de oferentes, incumplimiento normativo ambiental.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Unificar criterio tecnológico antes de publicar pliego. Documentar análisis de elección (total cost of ownership, disponibilidad combustible en Sincelejo, infraestructura mantenimiento).</w:t>
      </w:r>
    </w:p>
    <w:p>
      <w:r>
        <w:pict>
          <v:rect style="width:0;height:1.5pt" o:hralign="center" o:hrstd="t" o:hr="t"/>
        </w:pict>
      </w:r>
    </w:p>
    <w:bookmarkEnd w:id="23"/>
    <w:bookmarkStart w:id="24" w:name="X585e9bbd3f24c3ebba0d4583afc7d84961fee9f"/>
    <w:p>
      <w:pPr>
        <w:pStyle w:val="Heading2"/>
      </w:pPr>
      <w:r>
        <w:t xml:space="preserve">🔴 HALLAZGO CRÍTICO HC-02: VALOR ITS INTEGRADO SIN SUSTENTACIÓN — $84.635 POR UNIDAD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En las cotizaciones de los 3 oferentes, el valor del</w:t>
      </w:r>
      <w:r>
        <w:t xml:space="preserve"> </w:t>
      </w:r>
      <w:r>
        <w:rPr>
          <w:bCs/>
          <w:b/>
        </w:rPr>
        <w:t xml:space="preserve">ITS integrado (SGCF+SRC+SIU) es EXACTAMENTE $84.635 pesos por unidad</w:t>
      </w:r>
      <w:r>
        <w:t xml:space="preserve"> </w:t>
      </w:r>
      <w:r>
        <w:t xml:space="preserve">— mismo valor idéntico en los tres, sin sustentación real de mercado.</w:t>
      </w:r>
    </w:p>
    <w:p>
      <w:pPr>
        <w:pStyle w:val="BodyText"/>
      </w:pPr>
      <w:r>
        <w:rPr>
          <w:bCs/>
          <w:b/>
        </w:rPr>
        <w:t xml:space="preserve">Anomalías:</w:t>
      </w:r>
      <w:r>
        <w:t xml:space="preserve"> </w:t>
      </w:r>
      <w:r>
        <w:t xml:space="preserve">- No se explica a qué corresponde este valor</w:t>
      </w:r>
      <w:r>
        <w:t xml:space="preserve"> </w:t>
      </w:r>
      <w:r>
        <w:t xml:space="preserve">- No se establece si es compra o alquiler de equipos</w:t>
      </w:r>
      <w:r>
        <w:t xml:space="preserve"> </w:t>
      </w:r>
      <w:r>
        <w:t xml:space="preserve">- No hay justificación de los valores totales mostrados</w:t>
      </w:r>
      <w:r>
        <w:t xml:space="preserve"> </w:t>
      </w:r>
      <w:r>
        <w:t xml:space="preserve">- No se encuentran cotizaciones de equipos ITS individuales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Probable</w:t>
      </w:r>
      <w:r>
        <w:t xml:space="preserve"> </w:t>
      </w:r>
      <w:r>
        <w:rPr>
          <w:bCs/>
          <w:b/>
        </w:rPr>
        <w:t xml:space="preserve">colusión</w:t>
      </w:r>
      <w:r>
        <w:t xml:space="preserve"> </w:t>
      </w:r>
      <w:r>
        <w:t xml:space="preserve">entre oferentes o</w:t>
      </w:r>
      <w:r>
        <w:t xml:space="preserve"> </w:t>
      </w:r>
      <w:r>
        <w:rPr>
          <w:bCs/>
          <w:b/>
        </w:rPr>
        <w:t xml:space="preserve">error de transcripción</w:t>
      </w:r>
      <w:r>
        <w:t xml:space="preserve"> </w:t>
      </w:r>
      <w:r>
        <w:t xml:space="preserve">en el proceso. Valor irrisorio para un sistema ITS completo (debería ser millones, no miles).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Investigar urgente. Solicitar cotizaciones detalladas desglosadas por componente. Verificar si $84.635 corresponde a valor mensual, por transacción, o es error.</w:t>
      </w:r>
    </w:p>
    <w:p>
      <w:r>
        <w:pict>
          <v:rect style="width:0;height:1.5pt" o:hralign="center" o:hrstd="t" o:hr="t"/>
        </w:pict>
      </w:r>
    </w:p>
    <w:bookmarkEnd w:id="24"/>
    <w:bookmarkStart w:id="25" w:name="X14366f7228182d8c2d0c460d117435df77306e5"/>
    <w:p>
      <w:pPr>
        <w:pStyle w:val="Heading2"/>
      </w:pPr>
      <w:r>
        <w:t xml:space="preserve">🔴 HALLAZGO CRÍTICO HC-03: EQUIPOS ITS DIMENSIONADOS PARA 40 VEHÍCULOS — PROCESO ES PARA 17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Se dimensionan equipos ITS para</w:t>
      </w:r>
      <w:r>
        <w:t xml:space="preserve"> </w:t>
      </w:r>
      <w:r>
        <w:rPr>
          <w:bCs/>
          <w:b/>
        </w:rPr>
        <w:t xml:space="preserve">40 vehículos</w:t>
      </w:r>
      <w:r>
        <w:t xml:space="preserve"> </w:t>
      </w:r>
      <w:r>
        <w:t xml:space="preserve">(validadores, routers, torniquetes, cámaras) cuando el proceso de selección es para</w:t>
      </w:r>
      <w:r>
        <w:t xml:space="preserve"> </w:t>
      </w:r>
      <w:r>
        <w:rPr>
          <w:bCs/>
          <w:b/>
        </w:rPr>
        <w:t xml:space="preserve">17 microbuses</w:t>
      </w:r>
      <w:r>
        <w:t xml:space="preserve"> </w:t>
      </w:r>
      <w:r>
        <w:t xml:space="preserve">en fase inicial.</w:t>
      </w:r>
    </w:p>
    <w:p>
      <w:pPr>
        <w:pStyle w:val="BodyText"/>
      </w:pPr>
      <w:r>
        <w:rPr>
          <w:bCs/>
          <w:b/>
        </w:rPr>
        <w:t xml:space="preserve">Inconsistencia:</w:t>
      </w:r>
      <w:r>
        <w:t xml:space="preserve"> </w:t>
      </w:r>
      <w:r>
        <w:t xml:space="preserve">Documento de MetroSabanas menciona que</w:t>
      </w:r>
      <w:r>
        <w:t xml:space="preserve"> </w:t>
      </w:r>
      <w:r>
        <w:t xml:space="preserve">“</w:t>
      </w:r>
      <w:r>
        <w:t xml:space="preserve">la adquisición de 17 microbuses corresponde a una fase inicial</w:t>
      </w:r>
      <w:r>
        <w:t xml:space="preserve">”</w:t>
      </w:r>
      <w:r>
        <w:t xml:space="preserve"> </w:t>
      </w:r>
      <w:r>
        <w:t xml:space="preserve">y que</w:t>
      </w:r>
      <w:r>
        <w:t xml:space="preserve"> </w:t>
      </w:r>
      <w:r>
        <w:t xml:space="preserve">“</w:t>
      </w:r>
      <w:r>
        <w:t xml:space="preserve">la incorporación progresiva del resto de vehículos estará sujeta a condiciones del modelo operacional y financiero, así como a disponibilidad de recursos.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Sobredimensionamiento que encarece el proceso, reduce competencia, y no responde a realidad operativa. Los 23 buses restantes no tienen origen claro ni justificación.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Ajustar dimensionamiento ITS a 17 buses (fase 1) con opción de escalabilidad contratual para fases posteriores.</w:t>
      </w:r>
    </w:p>
    <w:p>
      <w:r>
        <w:pict>
          <v:rect style="width:0;height:1.5pt" o:hralign="center" o:hrstd="t" o:hr="t"/>
        </w:pict>
      </w:r>
    </w:p>
    <w:bookmarkEnd w:id="25"/>
    <w:bookmarkStart w:id="26" w:name="Xe12364b564e2f64ab45d7417caa024df93a89d4"/>
    <w:p>
      <w:pPr>
        <w:pStyle w:val="Heading2"/>
      </w:pPr>
      <w:r>
        <w:t xml:space="preserve">🔴 HALLAZGO CRÍTICO HC-04: ANEXO TÉCNICO ITS EXIGE CBT + ABT SIMULTÁNEOS — COMPLEJIDAD DESPROPORCIONADA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El Anexo Técnico ITS exige implementar</w:t>
      </w:r>
      <w:r>
        <w:t xml:space="preserve"> </w:t>
      </w:r>
      <w:r>
        <w:rPr>
          <w:bCs/>
          <w:b/>
        </w:rPr>
        <w:t xml:space="preserve">simultáneamente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CBT</w:t>
      </w:r>
      <w:r>
        <w:t xml:space="preserve"> </w:t>
      </w:r>
      <w:r>
        <w:t xml:space="preserve">(Card Based Ticketing, Mifare Plus SL3) — tarjeta con saldo almacenado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ABT</w:t>
      </w:r>
      <w:r>
        <w:t xml:space="preserve"> </w:t>
      </w:r>
      <w:r>
        <w:t xml:space="preserve">(Account Based Ticketing, HSM en nube) — cuenta en nube</w:t>
      </w:r>
    </w:p>
    <w:p>
      <w:pPr>
        <w:pStyle w:val="BodyText"/>
      </w:pPr>
      <w:r>
        <w:rPr>
          <w:bCs/>
          <w:b/>
        </w:rPr>
        <w:t xml:space="preserve">Estas dos arquitecturas responden a lógicas de operación distintas.</w:t>
      </w:r>
      <w:r>
        <w:t xml:space="preserve"> </w:t>
      </w:r>
      <w:r>
        <w:t xml:space="preserve">Su coexistencia desde el arranque genera complejidad técnica y de costos desproporcionada para un sistema de</w:t>
      </w:r>
      <w:r>
        <w:t xml:space="preserve"> </w:t>
      </w:r>
      <w:r>
        <w:rPr>
          <w:bCs/>
          <w:b/>
        </w:rPr>
        <w:t xml:space="preserve">17 buses</w:t>
      </w:r>
      <w:r>
        <w:t xml:space="preserve"> </w:t>
      </w:r>
      <w:r>
        <w:t xml:space="preserve">sin operador de recaudo definido, sin red de puntos de carga, sin cultura de pago electrónico en Sincelejo.</w:t>
      </w:r>
    </w:p>
    <w:p>
      <w:pPr>
        <w:pStyle w:val="BodyText"/>
      </w:pPr>
      <w:r>
        <w:rPr>
          <w:bCs/>
          <w:b/>
        </w:rPr>
        <w:t xml:space="preserve">Práctica estándar:</w:t>
      </w:r>
      <w:r>
        <w:t xml:space="preserve"> </w:t>
      </w:r>
      <w:r>
        <w:t xml:space="preserve">Comenzar con una sola arquitectura de recaudo y escalar hacia la segunda en fase posterior una vez el sistema tenga demanda estabilizada.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Costos innecesarios, complejidad operativa, riesgo de fallas en arranque, reducción de oferentes que puedan cumplir ambas arquitecturas.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Simplificar a una arquitectura inicial (recomendado: CBT/Mifare por robustez offline). Dejar ABT como roadmap fase 2.</w:t>
      </w:r>
    </w:p>
    <w:p>
      <w:r>
        <w:pict>
          <v:rect style="width:0;height:1.5pt" o:hralign="center" o:hrstd="t" o:hr="t"/>
        </w:pict>
      </w:r>
    </w:p>
    <w:bookmarkEnd w:id="26"/>
    <w:bookmarkStart w:id="27" w:name="Xabba427380ed28c36fa46de7bac11a723ba5640"/>
    <w:p>
      <w:pPr>
        <w:pStyle w:val="Heading2"/>
      </w:pPr>
      <w:r>
        <w:t xml:space="preserve">🔴 HALLAZGO CRÍTICO HC-05: EMV NIVEL 2 SIN ACUERDO BANCARIO — COSTO SIN BENEFICIO INMEDIATO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Anexo exige validadores certificados</w:t>
      </w:r>
      <w:r>
        <w:t xml:space="preserve"> </w:t>
      </w:r>
      <w:r>
        <w:rPr>
          <w:bCs/>
          <w:b/>
        </w:rPr>
        <w:t xml:space="preserve">EMV Nivel 1 y 2</w:t>
      </w:r>
      <w:r>
        <w:t xml:space="preserve"> </w:t>
      </w:r>
      <w:r>
        <w:t xml:space="preserve">(pago con tarjetas bancarias crédito/débito), pero:</w:t>
      </w:r>
      <w:r>
        <w:t xml:space="preserve"> </w:t>
      </w:r>
      <w:r>
        <w:t xml:space="preserve">- Esta funcionalidad</w:t>
      </w:r>
      <w:r>
        <w:t xml:space="preserve"> </w:t>
      </w:r>
      <w:r>
        <w:rPr>
          <w:bCs/>
          <w:b/>
        </w:rPr>
        <w:t xml:space="preserve">solo se activará cuando el ente gestor logre acuerdos comerciales con banco/franquicia adquiriente</w:t>
      </w:r>
      <w:r>
        <w:t xml:space="preserve"> </w:t>
      </w:r>
      <w:r>
        <w:t xml:space="preserve">- Negociación</w:t>
      </w:r>
      <w:r>
        <w:t xml:space="preserve"> </w:t>
      </w:r>
      <w:r>
        <w:rPr>
          <w:bCs/>
          <w:b/>
        </w:rPr>
        <w:t xml:space="preserve">NO está iniciada</w:t>
      </w:r>
      <w:r>
        <w:t xml:space="preserve"> </w:t>
      </w:r>
      <w:r>
        <w:t xml:space="preserve">a fecha del proceso</w:t>
      </w:r>
      <w:r>
        <w:t xml:space="preserve"> </w:t>
      </w:r>
      <w:r>
        <w:t xml:space="preserve">- Certificación EMV Nivel 2 tiene</w:t>
      </w:r>
      <w:r>
        <w:t xml:space="preserve"> </w:t>
      </w:r>
      <w:r>
        <w:rPr>
          <w:bCs/>
          <w:b/>
        </w:rPr>
        <w:t xml:space="preserve">costo significativo de laboratorio por modelo de equipo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Hardware más caro sin garantía de uso en primeros años. Ciudad con dominio de efectivo informal no justifica esta exigencia inmediata.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Dejar EMV Nivel 2 como requisito deseable/fase 2. Exigir EMV Nivel 1 como base para futura activación.</w:t>
      </w:r>
    </w:p>
    <w:p>
      <w:r>
        <w:pict>
          <v:rect style="width:0;height:1.5pt" o:hralign="center" o:hrstd="t" o:hr="t"/>
        </w:pict>
      </w:r>
    </w:p>
    <w:bookmarkEnd w:id="27"/>
    <w:bookmarkStart w:id="28" w:name="X15d2e82df0fddb62952233b0e8a9b236e8ad608"/>
    <w:p>
      <w:pPr>
        <w:pStyle w:val="Heading2"/>
      </w:pPr>
      <w:r>
        <w:t xml:space="preserve">🔴 HALLAZGO CRÍTICO HC-06: SERVIDOR HSM 300ms — REQUERIMIENTO NO CUMPLIBLE EN COBERTURA VARIABLE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Anexo incluye servidor HSM para validación en nube con</w:t>
      </w:r>
      <w:r>
        <w:t xml:space="preserve"> </w:t>
      </w:r>
      <w:r>
        <w:rPr>
          <w:bCs/>
          <w:b/>
        </w:rPr>
        <w:t xml:space="preserve">tiempo máximo de validación de 300 milisegundos</w:t>
      </w:r>
      <w:r>
        <w:t xml:space="preserve">. En condiciones de operación real con cobertura celular variable en Sincelejo, este requerimiento puede no ser cumplible consistentemente.</w:t>
      </w:r>
    </w:p>
    <w:p>
      <w:pPr>
        <w:pStyle w:val="BodyText"/>
      </w:pPr>
      <w:r>
        <w:rPr>
          <w:bCs/>
          <w:b/>
        </w:rPr>
        <w:t xml:space="preserve">Inconsistencia:</w:t>
      </w:r>
      <w:r>
        <w:t xml:space="preserve"> </w:t>
      </w:r>
      <w:r>
        <w:t xml:space="preserve">El mismo documento reconoce la limitación señalando que</w:t>
      </w:r>
      <w:r>
        <w:t xml:space="preserve"> </w:t>
      </w:r>
      <w:r>
        <w:t xml:space="preserve">“</w:t>
      </w:r>
      <w:r>
        <w:t xml:space="preserve">si es necesario se debe hibridar el proceso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sin definir cómo</w:t>
      </w:r>
      <w:r>
        <w:t xml:space="preserve">. No hay justificación para requerir arquitectura de esta complejidad para las proporciones del sistema.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Requisito irreal que limita proveedores o genera incumplimiento contractual post-adjudicación.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Ajustar SLA de validación a 500-800ms con fallback offline. Definir claramente mecanismo de hibridación (validación local + sincronización diferida).</w:t>
      </w:r>
    </w:p>
    <w:p>
      <w:r>
        <w:pict>
          <v:rect style="width:0;height:1.5pt" o:hralign="center" o:hrstd="t" o:hr="t"/>
        </w:pict>
      </w:r>
    </w:p>
    <w:bookmarkEnd w:id="28"/>
    <w:bookmarkStart w:id="29" w:name="X5f5207eedd1fc8a0e16c6f817ba2672b5258a48"/>
    <w:p>
      <w:pPr>
        <w:pStyle w:val="Heading2"/>
      </w:pPr>
      <w:r>
        <w:t xml:space="preserve">🔴 HALLAZGO CRÍTICO HC-07: SISTEMA ITS DIMENSIONADO PARA ESCALA MAYOR A LA OPERACIÓN REAL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De forma general, el sistema ITS está dimensionado para una escala significativamente mayor a la implementación inicial. La cantidad de dispositivos en vehículo, equipos en centro de control y demás componentes no responden a la realidad del sistema de transporte de 17 buses.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Desbalance entre infraestructura tecnológica y operación real. Costos inflados, mantenimiento de sistemas subutilizados, dificultad para demostrar retorno de inversión.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Redimensionar todo el sistema ITS a escala de 17 buses con opción de escalabilidad modular contratual.</w:t>
      </w:r>
    </w:p>
    <w:p>
      <w:r>
        <w:pict>
          <v:rect style="width:0;height:1.5pt" o:hralign="center" o:hrstd="t" o:hr="t"/>
        </w:pict>
      </w:r>
    </w:p>
    <w:bookmarkEnd w:id="29"/>
    <w:bookmarkStart w:id="30" w:name="Xd5966f343763c57d56b43c55194954d541fd73c"/>
    <w:p>
      <w:pPr>
        <w:pStyle w:val="Heading2"/>
      </w:pPr>
      <w:r>
        <w:t xml:space="preserve">🟡 HALLAZGO MAYOR HM-01: PROCESO VEHÍCULO + ITS UNIFICADO RESTRINGE PLURALIDAD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La unificación del proceso vehículo + ITS en un solo contrato restringe la pluralidad de oferentes:</w:t>
      </w:r>
      <w:r>
        <w:t xml:space="preserve"> </w:t>
      </w:r>
      <w:r>
        <w:t xml:space="preserve">- Fabricantes de microbuses no son proveedores de ITS, y viceversa</w:t>
      </w:r>
      <w:r>
        <w:t xml:space="preserve"> </w:t>
      </w:r>
      <w:r>
        <w:t xml:space="preserve">- Ninguno de los dos grupos tiene capacidades integrales individualmente</w:t>
      </w:r>
      <w:r>
        <w:t xml:space="preserve"> </w:t>
      </w:r>
      <w:r>
        <w:t xml:space="preserve">- No hay mecanismo claro en pliegos sobre cómo verificar indicadores financieros para cada integrante del consorcio vs. consorcio como unidad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Reducción de competencia, posible exclusión de fabricantes nacionales o proveedores ITS especializados, riesgo de adjudicación a consorcio sin capacidad real integrada.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Evaluar separar proceso en: (a) adquisición flota, (b) contrato ITS con integrador responsable. O diseñar pliego que permita consorcios con claridad de responsabilidades.</w:t>
      </w:r>
    </w:p>
    <w:p>
      <w:r>
        <w:pict>
          <v:rect style="width:0;height:1.5pt" o:hralign="center" o:hrstd="t" o:hr="t"/>
        </w:pict>
      </w:r>
    </w:p>
    <w:bookmarkEnd w:id="30"/>
    <w:bookmarkStart w:id="31" w:name="Xc0d94dac38a04e90cbda67651e5b89b773ae6d6"/>
    <w:p>
      <w:pPr>
        <w:pStyle w:val="Heading2"/>
      </w:pPr>
      <w:r>
        <w:t xml:space="preserve">🟡 HALLAZGO MAYOR HM-02: INDICADORES FINANCIEROS INCLUYEN EMPRESAS FUERA DEL OBJETO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Indicadores financieros del estudio de sector incluyen empresas que</w:t>
      </w:r>
      <w:r>
        <w:t xml:space="preserve"> </w:t>
      </w:r>
      <w:r>
        <w:rPr>
          <w:bCs/>
          <w:b/>
        </w:rPr>
        <w:t xml:space="preserve">no corresponden al objeto a contratar</w:t>
      </w:r>
      <w:r>
        <w:t xml:space="preserve">:</w:t>
      </w:r>
      <w:r>
        <w:t xml:space="preserve"> </w:t>
      </w:r>
      <w:r>
        <w:t xml:space="preserve">- ZERO RIESGOS S.A.S</w:t>
      </w:r>
      <w:r>
        <w:t xml:space="preserve"> </w:t>
      </w:r>
      <w:r>
        <w:t xml:space="preserve">- VRAE S.A.S</w:t>
      </w:r>
      <w:r>
        <w:t xml:space="preserve"> </w:t>
      </w:r>
      <w:r>
        <w:t xml:space="preserve">- GESTIONES S.A.S</w:t>
      </w:r>
    </w:p>
    <w:p>
      <w:pPr>
        <w:pStyle w:val="BodyText"/>
      </w:pPr>
      <w:r>
        <w:t xml:space="preserve">Estas empresas no se identifican como ensambladoras, importadoras o comercializadoras de buses.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Análisis financiero sesgado, posible exlusión de empresas reales del sector, riesgo de impugnación.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Revisar y ajustar estudio de sector. Incluir solo empresas con objeto social de comercialización, ensamblaje o importación de vehículos de transporte público.</w:t>
      </w:r>
    </w:p>
    <w:p>
      <w:r>
        <w:pict>
          <v:rect style="width:0;height:1.5pt" o:hralign="center" o:hrstd="t" o:hr="t"/>
        </w:pict>
      </w:r>
    </w:p>
    <w:bookmarkEnd w:id="31"/>
    <w:bookmarkStart w:id="32" w:name="Xf717cc963ed2fef1aab24fe78df94a5ee0ebd7f"/>
    <w:p>
      <w:pPr>
        <w:pStyle w:val="Heading2"/>
      </w:pPr>
      <w:r>
        <w:t xml:space="preserve">🟡 HALLAZGO MAYOR HM-03: PONDERACIÓN TÉCNICA DESEQUILIBRADA — ITS PESA MÁS QUE EL VEHÍCULO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Distribución de 1.000 puntos:</w:t>
      </w:r>
      <w:r>
        <w:t xml:space="preserve"> </w:t>
      </w:r>
      <w:r>
        <w:t xml:space="preserve">- Factor económico: 390</w:t>
      </w:r>
      <w:r>
        <w:t xml:space="preserve"> </w:t>
      </w:r>
      <w:r>
        <w:t xml:space="preserve">- Factor técnico: 500</w:t>
      </w:r>
      <w:r>
        <w:t xml:space="preserve"> </w:t>
      </w:r>
      <w:r>
        <w:t xml:space="preserve">- Industria nacional: 100</w:t>
      </w:r>
      <w:r>
        <w:t xml:space="preserve"> </w:t>
      </w:r>
      <w:r>
        <w:t xml:space="preserve">- Discapacidad: 10</w:t>
      </w:r>
    </w:p>
    <w:p>
      <w:pPr>
        <w:pStyle w:val="BodyText"/>
      </w:pPr>
      <w:r>
        <w:t xml:space="preserve">Dentro del factor técnico (500):</w:t>
      </w:r>
      <w:r>
        <w:t xml:space="preserve"> </w:t>
      </w:r>
      <w:r>
        <w:t xml:space="preserve">- Desempeño energético vehículo: 150 pts</w:t>
      </w:r>
      <w:r>
        <w:t xml:space="preserve"> </w:t>
      </w:r>
      <w:r>
        <w:t xml:space="preserve">- Disponibilidad (tiempos entrega): 150 pts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Calidad ITS: 100 pts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Experiencia sistemas transporte: 99 pts</w:t>
      </w:r>
    </w:p>
    <w:p>
      <w:pPr>
        <w:pStyle w:val="BodyText"/>
      </w:pPr>
      <w:r>
        <w:t xml:space="preserve">Los criterios tecnológicos pueden pesar hasta</w:t>
      </w:r>
      <w:r>
        <w:t xml:space="preserve"> </w:t>
      </w:r>
      <w:r>
        <w:rPr>
          <w:bCs/>
          <w:b/>
        </w:rPr>
        <w:t xml:space="preserve">40% del puntaje total</w:t>
      </w:r>
      <w:r>
        <w:t xml:space="preserve">. Para una ciudad sin transporte público formal, la confiabilidad operativa del vehículo debería tener mayor peso.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Favorece a grandes proveedores de ITS con muchos validadores/vehículos equipados, excluyendo operadores regionales con experiencia práctica en SETP.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Reequilibrar factores. Dar mayor peso a garantía extendida, disponibilidad repuestos región, tiempo respuesta mantenimiento, vida útil.</w:t>
      </w:r>
    </w:p>
    <w:p>
      <w:r>
        <w:pict>
          <v:rect style="width:0;height:1.5pt" o:hralign="center" o:hrstd="t" o:hr="t"/>
        </w:pict>
      </w:r>
    </w:p>
    <w:bookmarkEnd w:id="32"/>
    <w:bookmarkStart w:id="33" w:name="X07c8512ac72e4425f4604470598da18423efbfe"/>
    <w:p>
      <w:pPr>
        <w:pStyle w:val="Heading2"/>
      </w:pPr>
      <w:r>
        <w:t xml:space="preserve">🟡 HALLAZGO MAYOR HM-04: UMBRAL PYMES DESACTUALIZADO — NO INCORPORA DECRETO 0287/2026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- Valor del umbral para PYMES está desactualizado</w:t>
      </w:r>
      <w:r>
        <w:t xml:space="preserve"> </w:t>
      </w:r>
      <w:r>
        <w:t xml:space="preserve">- No se han incorporado criterios diferenciales para MIPYME, emprendimientos de mujeres, emprendimientos de personas con discapacidad conforme al</w:t>
      </w:r>
      <w:r>
        <w:t xml:space="preserve"> </w:t>
      </w:r>
      <w:r>
        <w:rPr>
          <w:bCs/>
          <w:b/>
        </w:rPr>
        <w:t xml:space="preserve">Decreto 0287 de 2026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Posible vulneración de normativa vigente, exclusión de pequeños proveedores, riesgo de nulidad del proceso.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Actualizar umbral PYMES y criterios de inclusión conforme Decreto 0287/2026.</w:t>
      </w:r>
    </w:p>
    <w:p>
      <w:r>
        <w:pict>
          <v:rect style="width:0;height:1.5pt" o:hralign="center" o:hrstd="t" o:hr="t"/>
        </w:pict>
      </w:r>
    </w:p>
    <w:bookmarkEnd w:id="33"/>
    <w:bookmarkStart w:id="34" w:name="X6daa9d8f1f47a46d9f7c6037bdd7f067c4e705e"/>
    <w:p>
      <w:pPr>
        <w:pStyle w:val="Heading2"/>
      </w:pPr>
      <w:r>
        <w:t xml:space="preserve">🟡 HALLAZGO MAYOR HM-05: ESTUDIO DE MERCADO INSUFICIENTE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Observaciones_proceso_flota.docx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- Datos sin temporalidad unificada (mezcla 2022 y 2024)</w:t>
      </w:r>
      <w:r>
        <w:t xml:space="preserve"> </w:t>
      </w:r>
      <w:r>
        <w:t xml:space="preserve">- Solo 2 licitaciones consideradas para análisis de demanda</w:t>
      </w:r>
      <w:r>
        <w:t xml:space="preserve"> </w:t>
      </w:r>
      <w:r>
        <w:t xml:space="preserve">- No hay presupuesto desagregado con valor unitario de cada bus y componentes</w:t>
      </w:r>
      <w:r>
        <w:t xml:space="preserve"> </w:t>
      </w:r>
      <w:r>
        <w:t xml:space="preserve">- No se adjuntan cotizaciones reales, solo cuadro Excel</w:t>
      </w:r>
      <w:r>
        <w:t xml:space="preserve"> </w:t>
      </w:r>
      <w:r>
        <w:t xml:space="preserve">- Precios en Sincelejo mayores que otras ciudades para tipologías menores</w:t>
      </w:r>
      <w:r>
        <w:t xml:space="preserve"> </w:t>
      </w:r>
      <w:r>
        <w:t xml:space="preserve">- No se presenta análisis de elección de tecnología (Diesel vs Gas vs Eléctrico)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Falta de base objetiva para fijar presupuesto y criterios de evaluación.</w:t>
      </w:r>
    </w:p>
    <w:p>
      <w:pPr>
        <w:pStyle w:val="BodyText"/>
      </w:pPr>
      <w:r>
        <w:rPr>
          <w:bCs/>
          <w:b/>
        </w:rPr>
        <w:t xml:space="preserve">Acción:</w:t>
      </w:r>
      <w:r>
        <w:t xml:space="preserve"> </w:t>
      </w:r>
      <w:r>
        <w:t xml:space="preserve">Fortalecer estudio de mercado con: cotizaciones desglosadas, análisis elección tecnología, datos actualizados 2025-2026, comparación interciudades, presupuesto desagregado vehículo + ITS por separado.</w:t>
      </w:r>
    </w:p>
    <w:p>
      <w:r>
        <w:pict>
          <v:rect style="width:0;height:1.5pt" o:hralign="center" o:hrstd="t" o:hr="t"/>
        </w:pict>
      </w:r>
    </w:p>
    <w:bookmarkEnd w:id="34"/>
    <w:bookmarkStart w:id="35" w:name="X3db525479e143a90801dbf3d7a1ba50e8bdd279"/>
    <w:p>
      <w:pPr>
        <w:pStyle w:val="Heading2"/>
      </w:pPr>
      <w:r>
        <w:t xml:space="preserve">🟢 HALLAZGO POSITIVO HP-01: RFI DEFINE CLARAMENTE REQUISITOS DE HOMOLOGACIÓN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RFI_Autobuses.pdf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El RFI solicita claramente:</w:t>
      </w:r>
      <w:r>
        <w:t xml:space="preserve"> </w:t>
      </w:r>
      <w:r>
        <w:t xml:space="preserve">- Ficha técnica de homologación del chasis (Ministerio de Transporte)</w:t>
      </w:r>
      <w:r>
        <w:t xml:space="preserve"> </w:t>
      </w:r>
      <w:r>
        <w:t xml:space="preserve">- Ficha técnica de homologación de la carrocería (Ministerio de Transporte)</w:t>
      </w:r>
      <w:r>
        <w:t xml:space="preserve"> </w:t>
      </w:r>
      <w:r>
        <w:t xml:space="preserve">- Ficha técnica del chasis suministrada por marca</w:t>
      </w:r>
      <w:r>
        <w:t xml:space="preserve"> </w:t>
      </w:r>
      <w:r>
        <w:t xml:space="preserve">- Ficha técnica de la carrocería suministrada por marca</w:t>
      </w:r>
      <w:r>
        <w:t xml:space="preserve"> </w:t>
      </w:r>
      <w:r>
        <w:t xml:space="preserve">- Plano en PDF del chasis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Garantiza trazabilidad y cumplimiento normativo.</w:t>
      </w:r>
    </w:p>
    <w:p>
      <w:r>
        <w:pict>
          <v:rect style="width:0;height:1.5pt" o:hralign="center" o:hrstd="t" o:hr="t"/>
        </w:pict>
      </w:r>
    </w:p>
    <w:bookmarkEnd w:id="35"/>
    <w:bookmarkStart w:id="36" w:name="Xe749eafebf950ee60de565767bfd0e3c61fb8f3"/>
    <w:p>
      <w:pPr>
        <w:pStyle w:val="Heading2"/>
      </w:pPr>
      <w:r>
        <w:t xml:space="preserve">🟢 HALLAZGO POSITIVO HP-02: RECOMENDACIONES DEL PROYECTO SON CONSISTENTES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rPr>
          <w:rStyle w:val="VerbatimChar"/>
        </w:rPr>
        <w:t xml:space="preserve">Recomendaciones.docx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Recomendaciones estratificadas en corto, mediano y largo plazo: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Corto:</w:t>
      </w:r>
      <w:r>
        <w:t xml:space="preserve"> </w:t>
      </w:r>
      <w:r>
        <w:t xml:space="preserve">Organizar paraderos, personal idóneo, cultura ciudadana, terminar estación central, cumplir aportes municipio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Mediano:</w:t>
      </w:r>
      <w:r>
        <w:t xml:space="preserve"> </w:t>
      </w:r>
      <w:r>
        <w:t xml:space="preserve">Puesta en operación formal después de 15 años, integración empresarial, actualizar Plan Maestro Movilidad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Largo:</w:t>
      </w:r>
      <w:r>
        <w:t xml:space="preserve"> </w:t>
      </w:r>
      <w:r>
        <w:t xml:space="preserve">Migración progresiva flota eléctrica, infraestructura carga, integrar municipios cercanos</w:t>
      </w:r>
    </w:p>
    <w:p>
      <w:pPr>
        <w:pStyle w:val="BodyText"/>
      </w:pPr>
      <w:r>
        <w:rPr>
          <w:bCs/>
          <w:b/>
        </w:rPr>
        <w:t xml:space="preserve">Críticas constructivas:</w:t>
      </w:r>
      <w:r>
        <w:t xml:space="preserve"> </w:t>
      </w:r>
      <w:r>
        <w:t xml:space="preserve">No combatir mototaxismo sino restringir áreas del sistema, tarifa única sin excepciones, ampliar cobertura, nuevos liderazgos con capacidad institucional + legitimidad política + soporte técnico + participación ciudadana.</w:t>
      </w:r>
    </w:p>
    <w:p>
      <w:r>
        <w:pict>
          <v:rect style="width:0;height:1.5pt" o:hralign="center" o:hrstd="t" o:hr="t"/>
        </w:pict>
      </w:r>
    </w:p>
    <w:bookmarkEnd w:id="36"/>
    <w:bookmarkStart w:id="37" w:name="X20d47535f693e96dcc5d403ddf52a263e6030ab"/>
    <w:p>
      <w:pPr>
        <w:pStyle w:val="Heading2"/>
      </w:pPr>
      <w:r>
        <w:t xml:space="preserve">📊 SÍNTESIS DEL ESTADO DEL PROCESO DE ADQUISICIÓN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Tecnología buses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Inconsistente (Diesel/Gas/Eléctrico)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$84.635 idéntico en 3 oferentes — sin sustentación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Dimensionamiento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vehículos vs proceso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Arquitectura recaudo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 + ABT simultáneos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EMV Nivel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acuerdo bancario, costo sin beneficio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HSM 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Requerimiento irreal en cobertura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Dimensionado para escala mayor 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Unificación proceso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Vehículo + ITS restringe pluralidad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 financieros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fuera del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Ponderación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pesa 40%, más que vehículo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Umbral PYMES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Desactualizado, sin Decreto 0287/2026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cotizaciones reales, datos desactualizados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Mayor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 homologación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 estructurado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Recomendaciones estratégicas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Consistentes y accionables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Positivo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onclusión-ejecutiva"/>
    <w:p>
      <w:pPr>
        <w:pStyle w:val="Heading2"/>
      </w:pPr>
      <w:r>
        <w:t xml:space="preserve">CONCLUSIÓN EJECUTIVA</w:t>
      </w:r>
    </w:p>
    <w:p>
      <w:pPr>
        <w:pStyle w:val="FirstParagraph"/>
      </w:pPr>
      <w:r>
        <w:t xml:space="preserve">El proceso de adquisición de flota + ITS del SETP Sincelejo (mayo 2026) presenta</w:t>
      </w:r>
      <w:r>
        <w:t xml:space="preserve"> </w:t>
      </w:r>
      <w:r>
        <w:rPr>
          <w:bCs/>
          <w:b/>
        </w:rPr>
        <w:t xml:space="preserve">7 hallazgos críticos y 6 mayores</w:t>
      </w:r>
      <w:r>
        <w:t xml:space="preserve"> </w:t>
      </w:r>
      <w:r>
        <w:t xml:space="preserve">que ponen en riesgo la viabilidad del proceso y la calidad del sistema tecnológico a implementar. Las inconsistencias van desde la definición tecnológica de los buses (Diesel/Gas/Eléctrico) hasta el dimensionamiento del ITS (40 vehículos cuando se compran 17, CBT+ABT simultáneos, EMV Nivel 2 sin acuerdo bancario, HSM 300ms irreal).</w:t>
      </w:r>
    </w:p>
    <w:p>
      <w:pPr>
        <w:pStyle w:val="BodyText"/>
      </w:pPr>
      <w:r>
        <w:rPr>
          <w:bCs/>
          <w:b/>
        </w:rPr>
        <w:t xml:space="preserve">Recomendación INNOVADATACO:</w:t>
      </w:r>
      <w:r>
        <w:t xml:space="preserve"> </w:t>
      </w:r>
      <w:r>
        <w:t xml:space="preserve">Antes de continuar con el proceso de adquisición, Metro Sabanas debe:</w:t>
      </w:r>
      <w:r>
        <w:t xml:space="preserve"> </w:t>
      </w:r>
      <w:r>
        <w:t xml:space="preserve">1. Unificar criterio tecnológico de flota con análisis de TCO</w:t>
      </w:r>
      <w:r>
        <w:t xml:space="preserve"> </w:t>
      </w:r>
      <w:r>
        <w:t xml:space="preserve">2. Corregir dimensionamiento ITS a 17 buses (fase 1) con escalabilidad modular</w:t>
      </w:r>
      <w:r>
        <w:t xml:space="preserve"> </w:t>
      </w:r>
      <w:r>
        <w:t xml:space="preserve">3. Simplificar arquitectura de recaudo a CBT inicial, ABT como fase 2</w:t>
      </w:r>
      <w:r>
        <w:t xml:space="preserve"> </w:t>
      </w:r>
      <w:r>
        <w:t xml:space="preserve">4. Postergar EMV Nivel 2 hasta tener acuerdo bancario</w:t>
      </w:r>
      <w:r>
        <w:t xml:space="preserve"> </w:t>
      </w:r>
      <w:r>
        <w:t xml:space="preserve">5. Ajustar SLA HSM a realidad de cobertura celular en Sincelejo</w:t>
      </w:r>
      <w:r>
        <w:t xml:space="preserve"> </w:t>
      </w:r>
      <w:r>
        <w:t xml:space="preserve">6. Separar o aclarar proceso vehículo vs ITS para no restringir pluralidad</w:t>
      </w:r>
      <w:r>
        <w:t xml:space="preserve"> </w:t>
      </w:r>
      <w:r>
        <w:t xml:space="preserve">7. Actualizar estudio de mercado con cotizaciones reales desglosadas</w:t>
      </w:r>
      <w:r>
        <w:t xml:space="preserve"> </w:t>
      </w:r>
      <w:r>
        <w:t xml:space="preserve">8. Reequilibrar ponderación técnica para dar más peso a confiabilidad vehículo</w:t>
      </w:r>
      <w:r>
        <w:t xml:space="preserve"> </w:t>
      </w:r>
      <w:r>
        <w:t xml:space="preserve">9. Actualizar umbrales PYMES conforme Decreto 0287/2026</w:t>
      </w:r>
      <w:r>
        <w:t xml:space="preserve"> </w:t>
      </w:r>
      <w:r>
        <w:t xml:space="preserve">10. Incluir en análisis financiero solo empresas del sector automotriz/transporte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elaborado por ZEUS — Innovadataco</w:t>
      </w:r>
      <w:r>
        <w:t xml:space="preserve"> </w:t>
      </w:r>
      <w:r>
        <w:rPr>
          <w:iCs/>
          <w:i/>
        </w:rPr>
        <w:t xml:space="preserve">Responsable técnico: Jelkin Zair Carrillo Franco, CEO Estratégico</w:t>
      </w:r>
      <w:r>
        <w:t xml:space="preserve"> </w:t>
      </w:r>
      <w:r>
        <w:rPr>
          <w:iCs/>
          <w:i/>
        </w:rPr>
        <w:t xml:space="preserve">Fecha de elaboración: 30 de mayo de 2026</w:t>
      </w:r>
      <w:r>
        <w:t xml:space="preserve"> </w:t>
      </w:r>
      <w:r>
        <w:rPr>
          <w:iCs/>
          <w:i/>
        </w:rPr>
        <w:t xml:space="preserve">Clasificación: CONFIDENCIAL — USO INTERNO</w:t>
      </w:r>
      <w:r>
        <w:t xml:space="preserve"> </w:t>
      </w:r>
      <w:r>
        <w:rPr>
          <w:iCs/>
          <w:i/>
        </w:rPr>
        <w:t xml:space="preserve">Repositorio: Innovadataco/IDC_PROYECTOS/PROYECTO-004-2026-SETP-SINCELEJO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2026-05-30T06:12:37Z</dcterms:created>
  <dcterms:modified xsi:type="dcterms:W3CDTF">2026-05-30T06:12:37Z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