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8f5c86ce673ad4d692926f3491ef6efb3bcaf4b"/>
    <w:p>
      <w:pPr>
        <w:pStyle w:val="Heading1"/>
      </w:pPr>
      <w:r>
        <w:t xml:space="preserve">PLAN DE GESTIÓN DE LA CALIDAD DEL EMPALME SICOM</w:t>
      </w:r>
    </w:p>
    <w:bookmarkStart w:id="20" w:name="X406891045e1af1eb4fb7af4f48ea82483a0d902"/>
    <w:p>
      <w:pPr>
        <w:pStyle w:val="Heading2"/>
      </w:pPr>
      <w:r>
        <w:t xml:space="preserve">Empalme Operativo SICOM — CI2 ↔ INTERNEXA ↔ 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Aprobador:</w:t>
      </w:r>
      <w:r>
        <w:t xml:space="preserve"> </w:t>
      </w:r>
      <w:r>
        <w:t xml:space="preserve">Luis Felipe Herrera (CI2)</w:t>
      </w:r>
    </w:p>
    <w:p>
      <w:r>
        <w:pict>
          <v:rect style="width:0;height:1.5pt" o:hralign="center" o:hrstd="t" o:hr="t"/>
        </w:pict>
      </w:r>
    </w:p>
    <w:bookmarkEnd w:id="20"/>
    <w:bookmarkStart w:id="23" w:name="objetivos-de-calidad-del-empalme"/>
    <w:p>
      <w:pPr>
        <w:pStyle w:val="Heading2"/>
      </w:pPr>
      <w:r>
        <w:t xml:space="preserve">1. OBJETIVOS DE CALIDAD DEL EMPALME</w:t>
      </w:r>
    </w:p>
    <w:bookmarkStart w:id="21" w:name="objetivo-general"/>
    <w:p>
      <w:pPr>
        <w:pStyle w:val="Heading3"/>
      </w:pPr>
      <w:r>
        <w:t xml:space="preserve">1.1 Objetivo General</w:t>
      </w:r>
    </w:p>
    <w:p>
      <w:pPr>
        <w:pStyle w:val="FirstParagraph"/>
      </w:pPr>
      <w:r>
        <w:t xml:space="preserve">Garantizar que la transferencia del sistema SICOM desde INTERNEXA a CI2 cumpla con los estándares técnicos, funcionales y de seguridad requeridos para una operación continua y sin interrupciones.</w:t>
      </w:r>
    </w:p>
    <w:bookmarkEnd w:id="21"/>
    <w:bookmarkStart w:id="22" w:name="objetivos-específicos"/>
    <w:p>
      <w:pPr>
        <w:pStyle w:val="Heading3"/>
      </w:pPr>
      <w:r>
        <w:t xml:space="preserve">1.2 Objetivos Específicos</w:t>
      </w:r>
    </w:p>
    <w:p>
      <w:pPr>
        <w:numPr>
          <w:ilvl w:val="0"/>
          <w:numId w:val="1001"/>
        </w:numPr>
        <w:pStyle w:val="Compact"/>
      </w:pPr>
      <w:r>
        <w:t xml:space="preserve">Validar que todos los dominios técnicos (D1-D10) cumplan con criterios de aceptación medibles</w:t>
      </w:r>
    </w:p>
    <w:p>
      <w:pPr>
        <w:numPr>
          <w:ilvl w:val="0"/>
          <w:numId w:val="1001"/>
        </w:numPr>
        <w:pStyle w:val="Compact"/>
      </w:pPr>
      <w:r>
        <w:t xml:space="preserve">Asegurar la integridad de datos durante todo el proceso de empalme</w:t>
      </w:r>
    </w:p>
    <w:p>
      <w:pPr>
        <w:numPr>
          <w:ilvl w:val="0"/>
          <w:numId w:val="1001"/>
        </w:numPr>
        <w:pStyle w:val="Compact"/>
      </w:pPr>
      <w:r>
        <w:t xml:space="preserve">Verificar que la infraestructura destino de CI2 sopere la carga operativa real</w:t>
      </w:r>
    </w:p>
    <w:p>
      <w:pPr>
        <w:numPr>
          <w:ilvl w:val="0"/>
          <w:numId w:val="1001"/>
        </w:numPr>
        <w:pStyle w:val="Compact"/>
      </w:pPr>
      <w:r>
        <w:t xml:space="preserve">Confirmar que el equipo CI2 tenga dominio técnico mínimo viable post-corte</w:t>
      </w:r>
    </w:p>
    <w:p>
      <w:pPr>
        <w:numPr>
          <w:ilvl w:val="0"/>
          <w:numId w:val="1001"/>
        </w:numPr>
        <w:pStyle w:val="Compact"/>
      </w:pPr>
      <w:r>
        <w:t xml:space="preserve">Documentar evidencia formal de cada validación para auditoría futura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criterios-de-calidad-por-dominio-técnico"/>
    <w:p>
      <w:pPr>
        <w:pStyle w:val="Heading2"/>
      </w:pPr>
      <w:r>
        <w:t xml:space="preserve">2. CRITERIOS DE CALIDAD POR DOMINIO TÉCNICO</w:t>
      </w:r>
    </w:p>
    <w:bookmarkStart w:id="24" w:name="d1.-infraestructura"/>
    <w:p>
      <w:pPr>
        <w:pStyle w:val="Heading3"/>
      </w:pPr>
      <w:r>
        <w:t xml:space="preserve">D1. INFRAESTRUCTURA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VMs, storage, red documentados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vs ambiente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Arquitectura aterrizada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 coinciden con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visual +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Certificados vigentes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 días de validez restante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fechas de vencimiento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Redundancia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Enlaces duplicados confirmados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de espacio libre post-migración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</w:tbl>
    <w:bookmarkEnd w:id="24"/>
    <w:bookmarkStart w:id="25" w:name="d2.-código-y-despliegue"/>
    <w:p>
      <w:pPr>
        <w:pStyle w:val="Heading3"/>
      </w:pPr>
      <w:r>
        <w:t xml:space="preserve">D2. CÓDIGO Y DESPLIEGUE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Repositorios clonados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código fuente transferido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log +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+ deploy exitoso en ambiente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Artefactos versionados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artefactos identificados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artefactos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ejecutado exitosamente en &lt;30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 de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documentada y transferida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de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</w:tbl>
    <w:bookmarkEnd w:id="25"/>
    <w:bookmarkStart w:id="26" w:name="d3.-base-de-datos"/>
    <w:p>
      <w:pPr>
        <w:pStyle w:val="Heading3"/>
      </w:pPr>
      <w:r>
        <w:t xml:space="preserve">D3. BASE DE DATOS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exitoso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bases restauradas en ambiente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referencial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inconsistencias detectadas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Completitud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tablas, índices, procedimientos transferidos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esquema origen vs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 de diferencia en conteos de 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Conteos post-restore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Jobs programados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jobs identificados y documentados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</w:tbl>
    <w:bookmarkEnd w:id="26"/>
    <w:bookmarkStart w:id="27" w:name="d4.-seguridad"/>
    <w:p>
      <w:pPr>
        <w:pStyle w:val="Heading3"/>
      </w:pPr>
      <w:r>
        <w:t xml:space="preserve">D4. 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Escaneo de vulnerabilidades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vulnerabilidades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escaneo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RBAC transferido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roles y permisos replicados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multifactor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SIEM integrado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operacionales visibles en SIEM de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Hardening aplicado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de hardening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</w:tbl>
    <w:bookmarkEnd w:id="27"/>
    <w:bookmarkStart w:id="28" w:name="d5.-integraciones"/>
    <w:p>
      <w:pPr>
        <w:pStyle w:val="Heading3"/>
      </w:pPr>
      <w:r>
        <w:t xml:space="preserve">D5. INTEGRACIONES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Conectividad de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endpoints respondiendo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conectividad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web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servicios levantados y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Colas de mensajes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mensajes pendientes &gt;24h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de 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notificaciones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notificación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</w:tbl>
    <w:bookmarkEnd w:id="28"/>
    <w:bookmarkStart w:id="29" w:name="d6.-operación"/>
    <w:p>
      <w:pPr>
        <w:pStyle w:val="Heading3"/>
      </w:pPr>
      <w:r>
        <w:t xml:space="preserve">D6. OPERACIÓN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Runbooks completos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procesos críticos documentados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runbooks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Turnos 24/7 definidos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de turnos establecido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turnos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 de ayuda 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tickets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creación de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Escalamiento definido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escalamiento documentada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matriz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</w:tbl>
    <w:bookmarkEnd w:id="29"/>
    <w:bookmarkStart w:id="30" w:name="d7.-continuidad-del-negocio"/>
    <w:p>
      <w:pPr>
        <w:pStyle w:val="Heading3"/>
      </w:pPr>
      <w:r>
        <w:t xml:space="preserve">D7. CONTINUIDAD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 horas de pérdida de datos aceptable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Simulacro de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 horas de recuperación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Simulacro de conmutación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Sitio alterno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 funcionando en sitio alterno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ejecutado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Simulacro de contingencia exitoso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simulacro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bookmarkEnd w:id="30"/>
    <w:bookmarkStart w:id="31" w:name="d8.-documentación"/>
    <w:p>
      <w:pPr>
        <w:pStyle w:val="Heading3"/>
      </w:pPr>
      <w:r>
        <w:t xml:space="preserve">D8. DOCUMENTACIÓN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Carpeta maestra consolidada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documentación en repositorio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estructura de carpetas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técnica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diseño, configuraciones documentadas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de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operativa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Procedimientos, runbooks, FAQs documentadas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runbooks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de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Manuales de usuario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manuales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</w:tbl>
    <w:bookmarkEnd w:id="31"/>
    <w:bookmarkStart w:id="32" w:name="d9.-gobierno-y-calidad"/>
    <w:p>
      <w:pPr>
        <w:pStyle w:val="Heading3"/>
      </w:pPr>
      <w:r>
        <w:t xml:space="preserve">D9. GOBIERNO Y CALIDAD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completas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reuniones con acta 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actas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 actualizado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riesgos, acciones, decisiones, issues actualizada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Comité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directivo funcionando según acta de constitución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bookmarkEnd w:id="32"/>
    <w:bookmarkStart w:id="33" w:name="d10.-transferencia-de-conocimiento"/>
    <w:p>
      <w:pPr>
        <w:pStyle w:val="Heading3"/>
      </w:pPr>
      <w:r>
        <w:t xml:space="preserve">D10. TRANSFERENCIA DE CONOCIMIENTO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1272"/>
        <w:gridCol w:w="3394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Sesiones grabadas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sesiones de transferencia grabadas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grabaciones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Runbooks construidos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 procesos críticos con runbook CI2 propio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runbooks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Validación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críticos de negocio ejecutados exitosamente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funcionales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Shadowing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 de shadowing por especialista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proceso-de-aseguramiento-de-calidad"/>
    <w:p>
      <w:pPr>
        <w:pStyle w:val="Heading2"/>
      </w:pPr>
      <w:r>
        <w:t xml:space="preserve">3. PROCESO DE ASEGURAMIENTO DE CALIDAD</w:t>
      </w:r>
    </w:p>
    <w:bookmarkStart w:id="35" w:name="fase-de-validación-por-dominio"/>
    <w:p>
      <w:pPr>
        <w:pStyle w:val="Heading3"/>
      </w:pPr>
      <w:r>
        <w:t xml:space="preserve">3.1 Fase de Validación por Dominio</w:t>
      </w:r>
    </w:p>
    <w:p>
      <w:pPr>
        <w:pStyle w:val="SourceCode"/>
      </w:pPr>
      <w:r>
        <w:rPr>
          <w:rStyle w:val="VerbatimChar"/>
        </w:rPr>
        <w:t xml:space="preserve">[ENTREGA INTERNEXA] → [VALIDACIÓN CI2] → [APROBACIÓN] → [REGISTRO]</w:t>
      </w:r>
      <w:r>
        <w:br/>
      </w:r>
      <w:r>
        <w:rPr>
          <w:rStyle w:val="VerbatimChar"/>
        </w:rPr>
        <w:t xml:space="preserve">      ↓                      ↓                ↓            ↓</w:t>
      </w:r>
      <w:r>
        <w:br/>
      </w:r>
      <w:r>
        <w:rPr>
          <w:rStyle w:val="VerbatimChar"/>
        </w:rPr>
        <w:t xml:space="preserve">   Documentos            Checklist        Firma         Acta</w:t>
      </w:r>
      <w:r>
        <w:br/>
      </w:r>
      <w:r>
        <w:rPr>
          <w:rStyle w:val="VerbatimChar"/>
        </w:rPr>
        <w:t xml:space="preserve">   Accesos               Pruebas          Aceptación     Evidencia</w:t>
      </w:r>
      <w:r>
        <w:br/>
      </w:r>
      <w:r>
        <w:rPr>
          <w:rStyle w:val="VerbatimChar"/>
        </w:rPr>
        <w:t xml:space="preserve">   Código                Revisión         Go/No-Go       RAID</w:t>
      </w:r>
    </w:p>
    <w:bookmarkEnd w:id="35"/>
    <w:bookmarkStart w:id="36" w:name="roles-de-calidad"/>
    <w:p>
      <w:pPr>
        <w:pStyle w:val="Heading3"/>
      </w:pPr>
      <w:r>
        <w:t xml:space="preserve">3.2 Roles de Calidad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4343"/>
        <w:gridCol w:w="2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Aseguramiento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criterios, auditar cumplimiento, reportar desviaciones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 de Calidad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validaciones técnicas, documentar 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Aceptación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Firmar actas de recibo, aprobar hitos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 (CI2) + Elizabeth (MME)</w:t>
            </w:r>
          </w:p>
        </w:tc>
      </w:tr>
    </w:tbl>
    <w:bookmarkEnd w:id="36"/>
    <w:bookmarkStart w:id="37" w:name="herramientas-de-calidad"/>
    <w:p>
      <w:pPr>
        <w:pStyle w:val="Heading3"/>
      </w:pPr>
      <w:r>
        <w:t xml:space="preserve">3.3 Herramientas de Calidad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3550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Checklist de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Sheets /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por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de bugs y 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Escaneo de vulnerabilidades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según stack]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de 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según stack]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 y carga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en tiempo real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gestión-de-no-conformidades"/>
    <w:p>
      <w:pPr>
        <w:pStyle w:val="Heading2"/>
      </w:pPr>
      <w:r>
        <w:t xml:space="preserve">4. GESTIÓN DE NO CONFORMIDADES</w:t>
      </w:r>
    </w:p>
    <w:bookmarkStart w:id="39" w:name="clasificación-de-hallazgos"/>
    <w:p>
      <w:pPr>
        <w:pStyle w:val="Heading3"/>
      </w:pPr>
      <w:r>
        <w:t xml:space="preserve">4.1 Clasificación de Hallazgos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3"/>
        <w:gridCol w:w="1793"/>
        <w:gridCol w:w="1344"/>
        <w:gridCol w:w="31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Resolución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 el empalme, riesgo de falla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 no restaurables, caída de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Afecta dominio técnico, requiere acción antes del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incompleta, credenciales faltantes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 resolverse antes de estabilización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subóptima, performance degradada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recomendada, no bloqueante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desactualizada, optimización 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Post-empalme</w:t>
            </w:r>
          </w:p>
        </w:tc>
      </w:tr>
    </w:tbl>
    <w:bookmarkEnd w:id="39"/>
    <w:bookmarkStart w:id="40" w:name="proceso-de-manejo-de-hallazgos"/>
    <w:p>
      <w:pPr>
        <w:pStyle w:val="Heading3"/>
      </w:pPr>
      <w:r>
        <w:t xml:space="preserve">4.2 Proceso de Manejo de Hallazgos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Detección:</w:t>
      </w:r>
      <w:r>
        <w:t xml:space="preserve"> </w:t>
      </w:r>
      <w:r>
        <w:t xml:space="preserve">Especialista CI2 identifica hallazgo durante validación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Registro:</w:t>
      </w:r>
      <w:r>
        <w:t xml:space="preserve"> </w:t>
      </w:r>
      <w:r>
        <w:t xml:space="preserve">Documentar en GitHub Issues con severidad y evidencia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Notificación:</w:t>
      </w:r>
      <w:r>
        <w:t xml:space="preserve"> </w:t>
      </w:r>
      <w:r>
        <w:t xml:space="preserve">Alertar a Jelkin Carrillo y Luis Herrera si es Crítica/Alta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Asignación:</w:t>
      </w:r>
      <w:r>
        <w:t xml:space="preserve"> </w:t>
      </w:r>
      <w:r>
        <w:t xml:space="preserve">Asignar responsable de cierre (INTERNEXA o CI2)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Seguimiento:</w:t>
      </w:r>
      <w:r>
        <w:t xml:space="preserve"> </w:t>
      </w:r>
      <w:r>
        <w:t xml:space="preserve">Monitorear diariamente hasta cierre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Validación:</w:t>
      </w:r>
      <w:r>
        <w:t xml:space="preserve"> </w:t>
      </w:r>
      <w:r>
        <w:t xml:space="preserve">Revalidar por especialista CI2 una vez corregido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Cierre:</w:t>
      </w:r>
      <w:r>
        <w:t xml:space="preserve"> </w:t>
      </w:r>
      <w:r>
        <w:t xml:space="preserve">Documentar resolución y cerrar issue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auditorías-y-revisiones"/>
    <w:p>
      <w:pPr>
        <w:pStyle w:val="Heading2"/>
      </w:pPr>
      <w:r>
        <w:t xml:space="preserve">5. AUDITORÍAS Y REVISIONES</w:t>
      </w:r>
    </w:p>
    <w:bookmarkStart w:id="42" w:name="auditorías-programadas"/>
    <w:p>
      <w:pPr>
        <w:pStyle w:val="Heading3"/>
      </w:pPr>
      <w:r>
        <w:t xml:space="preserve">5.1 Auditorías Programadas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36"/>
        <w:gridCol w:w="2112"/>
        <w:gridCol w:w="228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dominios técnicos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validación por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riesgos y 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no conformidades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Completitud y calidad de actas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 de vulnerabilidades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de calidad pre-corte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final Go/No-Go</w:t>
            </w:r>
          </w:p>
        </w:tc>
      </w:tr>
    </w:tbl>
    <w:bookmarkEnd w:id="42"/>
    <w:bookmarkStart w:id="43" w:name="revisiones-por-fase"/>
    <w:p>
      <w:pPr>
        <w:pStyle w:val="Heading3"/>
      </w:pPr>
      <w:r>
        <w:t xml:space="preserve">5.2 Revisiones por Fase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5"/>
        <w:gridCol w:w="1841"/>
        <w:gridCol w:w="2762"/>
        <w:gridCol w:w="22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Semana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INTERNEXA +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inventario validado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Semana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restore validado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Semana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 operación en sombra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shadowing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Semana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pre-corte (Go/No-Go)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+ MME +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Decisión formal de corte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indicadores-de-calidad-kpis"/>
    <w:p>
      <w:pPr>
        <w:pStyle w:val="Heading2"/>
      </w:pPr>
      <w:r>
        <w:t xml:space="preserve">6. INDICADORES DE CALIDAD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5"/>
        <w:gridCol w:w="990"/>
        <w:gridCol w:w="3960"/>
        <w:gridCol w:w="21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de Medición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dominios técnicos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 de hallazgos críticos abiertos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 de hallazgos altos abiertos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documentación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casos de prueba exitosos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promedio de resolución de 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 Luis Herrera con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aprobación-del-plan-de-calidad"/>
    <w:p>
      <w:pPr>
        <w:pStyle w:val="Heading2"/>
      </w:pPr>
      <w:r>
        <w:t xml:space="preserve">7. APROBACIÓN DEL PLAN DE CALIDAD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2346"/>
        <w:gridCol w:w="2053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2026-05-19T21:55:52Z</dcterms:created>
  <dcterms:modified xsi:type="dcterms:W3CDTF">2026-05-19T21:55:52Z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